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111F71" w:rsidRPr="00740788" w:rsidTr="00483337">
        <w:trPr>
          <w:trHeight w:val="756"/>
        </w:trPr>
        <w:tc>
          <w:tcPr>
            <w:tcW w:w="2660" w:type="dxa"/>
            <w:vAlign w:val="center"/>
          </w:tcPr>
          <w:p w:rsidR="00111F71" w:rsidRPr="00CC7635" w:rsidRDefault="00111F71" w:rsidP="00300037">
            <w:pPr>
              <w:pStyle w:val="Header"/>
              <w:spacing w:line="269" w:lineRule="auto"/>
              <w:jc w:val="both"/>
              <w:rPr>
                <w:rFonts w:ascii="Arial" w:hAnsi="Arial" w:cs="Arial"/>
                <w:b/>
                <w:sz w:val="28"/>
                <w:szCs w:val="28"/>
              </w:rPr>
            </w:pPr>
            <w:r w:rsidRPr="00CC7635">
              <w:rPr>
                <w:rFonts w:ascii="Arial" w:hAnsi="Arial" w:cs="Arial"/>
                <w:b/>
                <w:sz w:val="28"/>
                <w:szCs w:val="28"/>
              </w:rPr>
              <w:t>Submission to:</w:t>
            </w:r>
          </w:p>
        </w:tc>
        <w:tc>
          <w:tcPr>
            <w:tcW w:w="6379" w:type="dxa"/>
            <w:vAlign w:val="center"/>
          </w:tcPr>
          <w:p w:rsidR="00111F71" w:rsidRPr="00CC7635" w:rsidRDefault="00D34BAB" w:rsidP="00300037">
            <w:pPr>
              <w:pStyle w:val="Header"/>
              <w:spacing w:line="269" w:lineRule="auto"/>
              <w:jc w:val="both"/>
              <w:rPr>
                <w:rFonts w:ascii="Arial" w:hAnsi="Arial" w:cs="Arial"/>
                <w:sz w:val="28"/>
                <w:szCs w:val="28"/>
              </w:rPr>
            </w:pPr>
            <w:r w:rsidRPr="00CC7635">
              <w:rPr>
                <w:rFonts w:ascii="Arial" w:hAnsi="Arial" w:cs="Arial"/>
                <w:sz w:val="28"/>
                <w:szCs w:val="28"/>
              </w:rPr>
              <w:t>National Transport Commission</w:t>
            </w:r>
          </w:p>
        </w:tc>
      </w:tr>
      <w:tr w:rsidR="00111F71" w:rsidRPr="00740788" w:rsidTr="00483337">
        <w:trPr>
          <w:trHeight w:val="756"/>
        </w:trPr>
        <w:tc>
          <w:tcPr>
            <w:tcW w:w="2660" w:type="dxa"/>
            <w:vAlign w:val="center"/>
          </w:tcPr>
          <w:p w:rsidR="00111F71" w:rsidRPr="00CC7635" w:rsidRDefault="00111F71" w:rsidP="00300037">
            <w:pPr>
              <w:pStyle w:val="Header"/>
              <w:spacing w:line="269" w:lineRule="auto"/>
              <w:jc w:val="both"/>
              <w:rPr>
                <w:rFonts w:ascii="Arial" w:hAnsi="Arial" w:cs="Arial"/>
                <w:b/>
                <w:sz w:val="28"/>
                <w:szCs w:val="28"/>
              </w:rPr>
            </w:pPr>
            <w:r w:rsidRPr="00CC7635">
              <w:rPr>
                <w:rFonts w:ascii="Arial" w:hAnsi="Arial" w:cs="Arial"/>
                <w:b/>
                <w:sz w:val="28"/>
                <w:szCs w:val="28"/>
              </w:rPr>
              <w:t>Title:</w:t>
            </w:r>
          </w:p>
        </w:tc>
        <w:tc>
          <w:tcPr>
            <w:tcW w:w="6379" w:type="dxa"/>
            <w:vAlign w:val="center"/>
          </w:tcPr>
          <w:p w:rsidR="00111F71" w:rsidRPr="00CC7635" w:rsidRDefault="00D34BAB" w:rsidP="00300037">
            <w:pPr>
              <w:pStyle w:val="Header"/>
              <w:spacing w:line="269" w:lineRule="auto"/>
              <w:jc w:val="both"/>
              <w:rPr>
                <w:rFonts w:ascii="Arial" w:hAnsi="Arial" w:cs="Arial"/>
                <w:sz w:val="28"/>
                <w:szCs w:val="28"/>
              </w:rPr>
            </w:pPr>
            <w:r w:rsidRPr="00CC7635">
              <w:rPr>
                <w:rFonts w:ascii="Arial" w:hAnsi="Arial" w:cs="Arial"/>
                <w:sz w:val="28"/>
                <w:szCs w:val="28"/>
              </w:rPr>
              <w:t xml:space="preserve">Heavy </w:t>
            </w:r>
            <w:r w:rsidR="00A96823" w:rsidRPr="00CC7635">
              <w:rPr>
                <w:rFonts w:ascii="Arial" w:hAnsi="Arial" w:cs="Arial"/>
                <w:sz w:val="28"/>
                <w:szCs w:val="28"/>
              </w:rPr>
              <w:t>Vehicle Charges Issues Discussion P</w:t>
            </w:r>
            <w:r w:rsidRPr="00CC7635">
              <w:rPr>
                <w:rFonts w:ascii="Arial" w:hAnsi="Arial" w:cs="Arial"/>
                <w:sz w:val="28"/>
                <w:szCs w:val="28"/>
              </w:rPr>
              <w:t>aper</w:t>
            </w:r>
          </w:p>
        </w:tc>
      </w:tr>
      <w:tr w:rsidR="00111F71" w:rsidRPr="00740788" w:rsidTr="00483337">
        <w:trPr>
          <w:trHeight w:val="756"/>
        </w:trPr>
        <w:tc>
          <w:tcPr>
            <w:tcW w:w="2660" w:type="dxa"/>
            <w:vAlign w:val="center"/>
          </w:tcPr>
          <w:p w:rsidR="00111F71" w:rsidRPr="00CC7635" w:rsidRDefault="00111F71" w:rsidP="00300037">
            <w:pPr>
              <w:pStyle w:val="Header"/>
              <w:spacing w:line="269" w:lineRule="auto"/>
              <w:jc w:val="both"/>
              <w:rPr>
                <w:rFonts w:ascii="Arial" w:hAnsi="Arial" w:cs="Arial"/>
                <w:b/>
                <w:sz w:val="28"/>
                <w:szCs w:val="28"/>
              </w:rPr>
            </w:pPr>
            <w:r w:rsidRPr="00CC7635">
              <w:rPr>
                <w:rFonts w:ascii="Arial" w:hAnsi="Arial" w:cs="Arial"/>
                <w:b/>
                <w:sz w:val="28"/>
                <w:szCs w:val="28"/>
              </w:rPr>
              <w:t>Date:</w:t>
            </w:r>
          </w:p>
        </w:tc>
        <w:tc>
          <w:tcPr>
            <w:tcW w:w="6379" w:type="dxa"/>
            <w:vAlign w:val="center"/>
          </w:tcPr>
          <w:p w:rsidR="00111F71" w:rsidRPr="00CC7635" w:rsidRDefault="009F38D5" w:rsidP="00300037">
            <w:pPr>
              <w:pStyle w:val="Header"/>
              <w:spacing w:line="269" w:lineRule="auto"/>
              <w:jc w:val="both"/>
              <w:rPr>
                <w:rFonts w:ascii="Arial" w:hAnsi="Arial" w:cs="Arial"/>
                <w:sz w:val="28"/>
                <w:szCs w:val="28"/>
              </w:rPr>
            </w:pPr>
            <w:r w:rsidRPr="00CC7635">
              <w:rPr>
                <w:rFonts w:ascii="Arial" w:hAnsi="Arial" w:cs="Arial"/>
                <w:sz w:val="28"/>
                <w:szCs w:val="28"/>
              </w:rPr>
              <w:t xml:space="preserve">February </w:t>
            </w:r>
            <w:r w:rsidR="00D34BAB" w:rsidRPr="00CC7635">
              <w:rPr>
                <w:rFonts w:ascii="Arial" w:hAnsi="Arial" w:cs="Arial"/>
                <w:sz w:val="28"/>
                <w:szCs w:val="28"/>
              </w:rPr>
              <w:t>2012</w:t>
            </w:r>
          </w:p>
        </w:tc>
      </w:tr>
    </w:tbl>
    <w:p w:rsidR="00111F71" w:rsidRPr="00740788" w:rsidRDefault="00111F71" w:rsidP="00300037">
      <w:pPr>
        <w:pStyle w:val="Header"/>
        <w:spacing w:line="269" w:lineRule="auto"/>
        <w:jc w:val="both"/>
        <w:rPr>
          <w:rFonts w:ascii="Arial" w:hAnsi="Arial" w:cs="Arial"/>
          <w:sz w:val="20"/>
          <w:szCs w:val="20"/>
        </w:rPr>
      </w:pPr>
    </w:p>
    <w:p w:rsidR="00111F71" w:rsidRPr="00740788" w:rsidRDefault="00111F71" w:rsidP="00300037">
      <w:pPr>
        <w:pStyle w:val="Header"/>
        <w:spacing w:line="269" w:lineRule="auto"/>
        <w:jc w:val="both"/>
        <w:rPr>
          <w:rFonts w:ascii="Arial" w:hAnsi="Arial" w:cs="Arial"/>
          <w:sz w:val="20"/>
          <w:szCs w:val="20"/>
        </w:rPr>
      </w:pPr>
    </w:p>
    <w:p w:rsidR="00111F71" w:rsidRPr="00740788" w:rsidRDefault="00111F71" w:rsidP="00300037">
      <w:pPr>
        <w:pStyle w:val="Header"/>
        <w:spacing w:line="269" w:lineRule="auto"/>
        <w:jc w:val="both"/>
        <w:rPr>
          <w:rFonts w:ascii="Arial" w:hAnsi="Arial" w:cs="Arial"/>
          <w:sz w:val="20"/>
          <w:szCs w:val="20"/>
        </w:rPr>
      </w:pPr>
    </w:p>
    <w:p w:rsidR="00111F71" w:rsidRPr="00740788" w:rsidRDefault="00111F71" w:rsidP="00300037">
      <w:pPr>
        <w:spacing w:line="269" w:lineRule="auto"/>
        <w:jc w:val="both"/>
        <w:rPr>
          <w:rFonts w:ascii="Arial" w:hAnsi="Arial" w:cs="Arial"/>
          <w:sz w:val="20"/>
          <w:szCs w:val="20"/>
          <w:lang w:val="en-GB"/>
        </w:rPr>
        <w:sectPr w:rsidR="00111F71" w:rsidRPr="00740788" w:rsidSect="00483337">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111F71" w:rsidRPr="00740788" w:rsidRDefault="00111F71" w:rsidP="00300037">
      <w:pPr>
        <w:spacing w:line="269" w:lineRule="auto"/>
        <w:jc w:val="both"/>
        <w:rPr>
          <w:rFonts w:ascii="Arial" w:hAnsi="Arial" w:cs="Arial"/>
          <w:sz w:val="20"/>
          <w:szCs w:val="20"/>
        </w:rPr>
      </w:pPr>
    </w:p>
    <w:p w:rsidR="00111F71" w:rsidRPr="00740788" w:rsidRDefault="00111F71" w:rsidP="00300037">
      <w:pPr>
        <w:spacing w:line="269" w:lineRule="auto"/>
        <w:jc w:val="both"/>
        <w:rPr>
          <w:rFonts w:ascii="Arial" w:hAnsi="Arial" w:cs="Arial"/>
          <w:sz w:val="20"/>
          <w:szCs w:val="20"/>
        </w:rPr>
      </w:pPr>
    </w:p>
    <w:p w:rsidR="00111F71" w:rsidRPr="00740788" w:rsidRDefault="00111F71" w:rsidP="00300037">
      <w:pPr>
        <w:spacing w:line="269" w:lineRule="auto"/>
        <w:jc w:val="both"/>
        <w:rPr>
          <w:rFonts w:ascii="Arial" w:hAnsi="Arial" w:cs="Arial"/>
          <w:sz w:val="20"/>
          <w:szCs w:val="20"/>
        </w:rPr>
      </w:pPr>
    </w:p>
    <w:p w:rsidR="00111F71" w:rsidRPr="00740788" w:rsidRDefault="00111F71" w:rsidP="00300037">
      <w:pPr>
        <w:spacing w:line="269" w:lineRule="auto"/>
        <w:jc w:val="both"/>
        <w:rPr>
          <w:rFonts w:ascii="Arial" w:hAnsi="Arial" w:cs="Arial"/>
          <w:sz w:val="20"/>
          <w:szCs w:val="20"/>
        </w:rPr>
      </w:pPr>
    </w:p>
    <w:p w:rsidR="00111F71" w:rsidRPr="00740788" w:rsidRDefault="00111F71" w:rsidP="00300037">
      <w:pPr>
        <w:spacing w:line="269" w:lineRule="auto"/>
        <w:jc w:val="both"/>
        <w:rPr>
          <w:rFonts w:ascii="Arial" w:hAnsi="Arial" w:cs="Arial"/>
          <w:sz w:val="20"/>
          <w:szCs w:val="20"/>
        </w:rPr>
      </w:pPr>
    </w:p>
    <w:p w:rsidR="00111F71" w:rsidRPr="00740788" w:rsidRDefault="00111F71" w:rsidP="00300037">
      <w:pPr>
        <w:spacing w:line="269" w:lineRule="auto"/>
        <w:jc w:val="both"/>
        <w:rPr>
          <w:rFonts w:ascii="Arial" w:hAnsi="Arial" w:cs="Arial"/>
          <w:b/>
          <w:color w:val="000064"/>
          <w:sz w:val="28"/>
          <w:szCs w:val="28"/>
        </w:rPr>
      </w:pPr>
      <w:r w:rsidRPr="00740788">
        <w:rPr>
          <w:rFonts w:ascii="Arial" w:hAnsi="Arial" w:cs="Arial"/>
          <w:b/>
          <w:color w:val="000064"/>
          <w:sz w:val="28"/>
          <w:szCs w:val="28"/>
        </w:rPr>
        <w:t>Contents</w:t>
      </w:r>
    </w:p>
    <w:p w:rsidR="00111F71" w:rsidRPr="00740788" w:rsidRDefault="00111F71" w:rsidP="00300037">
      <w:pPr>
        <w:spacing w:line="269" w:lineRule="auto"/>
        <w:jc w:val="both"/>
        <w:rPr>
          <w:rFonts w:ascii="Arial" w:hAnsi="Arial" w:cs="Arial"/>
          <w:sz w:val="28"/>
          <w:szCs w:val="28"/>
        </w:rPr>
      </w:pPr>
    </w:p>
    <w:p w:rsidR="00111F71" w:rsidRPr="00740788" w:rsidRDefault="00111F71" w:rsidP="00300037">
      <w:pPr>
        <w:spacing w:line="269" w:lineRule="auto"/>
        <w:jc w:val="both"/>
        <w:rPr>
          <w:rFonts w:ascii="Arial" w:hAnsi="Arial" w:cs="Arial"/>
          <w:sz w:val="28"/>
          <w:szCs w:val="28"/>
        </w:rPr>
      </w:pPr>
    </w:p>
    <w:p w:rsidR="0074238A" w:rsidRDefault="002A0F54">
      <w:pPr>
        <w:pStyle w:val="TOC1"/>
        <w:tabs>
          <w:tab w:val="left" w:pos="440"/>
        </w:tabs>
        <w:rPr>
          <w:rFonts w:asciiTheme="minorHAnsi" w:eastAsiaTheme="minorEastAsia" w:hAnsiTheme="minorHAnsi" w:cstheme="minorBidi"/>
          <w:b w:val="0"/>
          <w:sz w:val="22"/>
          <w:szCs w:val="22"/>
          <w:lang w:eastAsia="en-AU"/>
        </w:rPr>
      </w:pPr>
      <w:r w:rsidRPr="009017FD">
        <w:rPr>
          <w:b w:val="0"/>
          <w:sz w:val="28"/>
          <w:szCs w:val="28"/>
        </w:rPr>
        <w:fldChar w:fldCharType="begin"/>
      </w:r>
      <w:r w:rsidR="00111F71" w:rsidRPr="009017FD">
        <w:rPr>
          <w:b w:val="0"/>
          <w:sz w:val="28"/>
          <w:szCs w:val="28"/>
        </w:rPr>
        <w:instrText xml:space="preserve"> TOC \o "1-2" \t "ATA Heading 2,2" </w:instrText>
      </w:r>
      <w:r w:rsidRPr="009017FD">
        <w:rPr>
          <w:b w:val="0"/>
          <w:sz w:val="28"/>
          <w:szCs w:val="28"/>
        </w:rPr>
        <w:fldChar w:fldCharType="separate"/>
      </w:r>
      <w:r w:rsidR="0074238A" w:rsidRPr="005871F9">
        <w:rPr>
          <w:rFonts w:cs="Times New Roman"/>
        </w:rPr>
        <w:t>1.</w:t>
      </w:r>
      <w:r w:rsidR="0074238A">
        <w:rPr>
          <w:rFonts w:asciiTheme="minorHAnsi" w:eastAsiaTheme="minorEastAsia" w:hAnsiTheme="minorHAnsi" w:cstheme="minorBidi"/>
          <w:b w:val="0"/>
          <w:sz w:val="22"/>
          <w:szCs w:val="22"/>
          <w:lang w:eastAsia="en-AU"/>
        </w:rPr>
        <w:tab/>
      </w:r>
      <w:r w:rsidR="0074238A">
        <w:t>Introduction</w:t>
      </w:r>
      <w:r w:rsidR="0074238A">
        <w:tab/>
      </w:r>
      <w:r w:rsidR="0074238A">
        <w:fldChar w:fldCharType="begin"/>
      </w:r>
      <w:r w:rsidR="0074238A">
        <w:instrText xml:space="preserve"> PAGEREF _Toc316396802 \h </w:instrText>
      </w:r>
      <w:r w:rsidR="0074238A">
        <w:fldChar w:fldCharType="separate"/>
      </w:r>
      <w:r w:rsidR="0074238A">
        <w:t>3</w:t>
      </w:r>
      <w:r w:rsidR="0074238A">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rsidRPr="005871F9">
        <w:rPr>
          <w:rFonts w:cs="Times New Roman"/>
        </w:rPr>
        <w:t>2.</w:t>
      </w:r>
      <w:r>
        <w:rPr>
          <w:rFonts w:asciiTheme="minorHAnsi" w:eastAsiaTheme="minorEastAsia" w:hAnsiTheme="minorHAnsi" w:cstheme="minorBidi"/>
          <w:b w:val="0"/>
          <w:sz w:val="22"/>
          <w:szCs w:val="22"/>
          <w:lang w:eastAsia="en-AU"/>
        </w:rPr>
        <w:tab/>
      </w:r>
      <w:r>
        <w:t>Recommendations</w:t>
      </w:r>
      <w:r>
        <w:tab/>
      </w:r>
      <w:r>
        <w:fldChar w:fldCharType="begin"/>
      </w:r>
      <w:r>
        <w:instrText xml:space="preserve"> PAGEREF _Toc316396803 \h </w:instrText>
      </w:r>
      <w:r>
        <w:fldChar w:fldCharType="separate"/>
      </w:r>
      <w:r>
        <w:t>6</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rsidRPr="005871F9">
        <w:rPr>
          <w:rFonts w:cs="Times New Roman"/>
        </w:rPr>
        <w:t>3.</w:t>
      </w:r>
      <w:r>
        <w:rPr>
          <w:rFonts w:asciiTheme="minorHAnsi" w:eastAsiaTheme="minorEastAsia" w:hAnsiTheme="minorHAnsi" w:cstheme="minorBidi"/>
          <w:b w:val="0"/>
          <w:sz w:val="22"/>
          <w:szCs w:val="22"/>
          <w:lang w:eastAsia="en-AU"/>
        </w:rPr>
        <w:tab/>
      </w:r>
      <w:r>
        <w:t>NTC objectives</w:t>
      </w:r>
      <w:r>
        <w:tab/>
      </w:r>
      <w:r>
        <w:fldChar w:fldCharType="begin"/>
      </w:r>
      <w:r>
        <w:instrText xml:space="preserve"> PAGEREF _Toc316396804 \h </w:instrText>
      </w:r>
      <w:r>
        <w:fldChar w:fldCharType="separate"/>
      </w:r>
      <w:r>
        <w:t>6</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rsidRPr="005871F9">
        <w:rPr>
          <w:rFonts w:cs="Times New Roman"/>
        </w:rPr>
        <w:t>4.</w:t>
      </w:r>
      <w:r>
        <w:rPr>
          <w:rFonts w:asciiTheme="minorHAnsi" w:eastAsiaTheme="minorEastAsia" w:hAnsiTheme="minorHAnsi" w:cstheme="minorBidi"/>
          <w:b w:val="0"/>
          <w:sz w:val="22"/>
          <w:szCs w:val="22"/>
          <w:lang w:eastAsia="en-AU"/>
        </w:rPr>
        <w:tab/>
      </w:r>
      <w:r>
        <w:t>NTC paper</w:t>
      </w:r>
      <w:r>
        <w:tab/>
      </w:r>
      <w:r>
        <w:fldChar w:fldCharType="begin"/>
      </w:r>
      <w:r>
        <w:instrText xml:space="preserve"> PAGEREF _Toc316396805 \h </w:instrText>
      </w:r>
      <w:r>
        <w:fldChar w:fldCharType="separate"/>
      </w:r>
      <w:r>
        <w:t>7</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rsidRPr="005871F9">
        <w:rPr>
          <w:rFonts w:cs="Times New Roman"/>
        </w:rPr>
        <w:t>5.</w:t>
      </w:r>
      <w:r>
        <w:rPr>
          <w:rFonts w:asciiTheme="minorHAnsi" w:eastAsiaTheme="minorEastAsia" w:hAnsiTheme="minorHAnsi" w:cstheme="minorBidi"/>
          <w:b w:val="0"/>
          <w:sz w:val="22"/>
          <w:szCs w:val="22"/>
          <w:lang w:eastAsia="en-AU"/>
        </w:rPr>
        <w:tab/>
      </w:r>
      <w:r>
        <w:t>Options</w:t>
      </w:r>
      <w:r>
        <w:tab/>
      </w:r>
      <w:r>
        <w:fldChar w:fldCharType="begin"/>
      </w:r>
      <w:r>
        <w:instrText xml:space="preserve"> PAGEREF _Toc316396806 \h </w:instrText>
      </w:r>
      <w:r>
        <w:fldChar w:fldCharType="separate"/>
      </w:r>
      <w:r>
        <w:t>8</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tab/>
        <w:t>a)</w:t>
      </w:r>
      <w:r>
        <w:rPr>
          <w:rFonts w:asciiTheme="minorHAnsi" w:eastAsiaTheme="minorEastAsia" w:hAnsiTheme="minorHAnsi" w:cstheme="minorBidi"/>
          <w:b w:val="0"/>
          <w:sz w:val="22"/>
          <w:szCs w:val="22"/>
          <w:lang w:eastAsia="en-AU"/>
        </w:rPr>
        <w:t xml:space="preserve"> </w:t>
      </w:r>
      <w:r>
        <w:t>Option 1 – updating ESA values in the cost allocation models</w:t>
      </w:r>
      <w:r>
        <w:tab/>
      </w:r>
      <w:r>
        <w:fldChar w:fldCharType="begin"/>
      </w:r>
      <w:r>
        <w:instrText xml:space="preserve"> PAGEREF _Toc316396807 \h </w:instrText>
      </w:r>
      <w:r>
        <w:fldChar w:fldCharType="separate"/>
      </w:r>
      <w:r>
        <w:t>9</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tab/>
        <w:t>b)</w:t>
      </w:r>
      <w:r>
        <w:rPr>
          <w:rFonts w:asciiTheme="minorHAnsi" w:eastAsiaTheme="minorEastAsia" w:hAnsiTheme="minorHAnsi" w:cstheme="minorBidi"/>
          <w:b w:val="0"/>
          <w:sz w:val="22"/>
          <w:szCs w:val="22"/>
          <w:lang w:eastAsia="en-AU"/>
        </w:rPr>
        <w:t xml:space="preserve"> </w:t>
      </w:r>
      <w:r>
        <w:t>Option 2 – Standard trailer axle charge</w:t>
      </w:r>
      <w:r>
        <w:tab/>
      </w:r>
      <w:r>
        <w:fldChar w:fldCharType="begin"/>
      </w:r>
      <w:r>
        <w:instrText xml:space="preserve"> PAGEREF _Toc316396808 \h </w:instrText>
      </w:r>
      <w:r>
        <w:fldChar w:fldCharType="separate"/>
      </w:r>
      <w:r>
        <w:t>9</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tab/>
        <w:t>c)</w:t>
      </w:r>
      <w:r>
        <w:rPr>
          <w:rFonts w:asciiTheme="minorHAnsi" w:eastAsiaTheme="minorEastAsia" w:hAnsiTheme="minorHAnsi" w:cstheme="minorBidi"/>
          <w:b w:val="0"/>
          <w:sz w:val="22"/>
          <w:szCs w:val="22"/>
          <w:lang w:eastAsia="en-AU"/>
        </w:rPr>
        <w:t xml:space="preserve"> </w:t>
      </w:r>
      <w:r>
        <w:t>Option 3- change the split between registration and the road user charge</w:t>
      </w:r>
      <w:r>
        <w:tab/>
      </w:r>
      <w:r>
        <w:fldChar w:fldCharType="begin"/>
      </w:r>
      <w:r>
        <w:instrText xml:space="preserve"> PAGEREF _Toc316396809 \h </w:instrText>
      </w:r>
      <w:r>
        <w:fldChar w:fldCharType="separate"/>
      </w:r>
      <w:r>
        <w:t>11</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tab/>
        <w:t>d)</w:t>
      </w:r>
      <w:r>
        <w:rPr>
          <w:rFonts w:asciiTheme="minorHAnsi" w:eastAsiaTheme="minorEastAsia" w:hAnsiTheme="minorHAnsi" w:cstheme="minorBidi"/>
          <w:b w:val="0"/>
          <w:sz w:val="22"/>
          <w:szCs w:val="22"/>
          <w:lang w:eastAsia="en-AU"/>
        </w:rPr>
        <w:t xml:space="preserve"> </w:t>
      </w:r>
      <w:r>
        <w:t>Option 4 – update ESAs, B-triple discount, and increased RUC</w:t>
      </w:r>
      <w:r>
        <w:tab/>
      </w:r>
      <w:r>
        <w:fldChar w:fldCharType="begin"/>
      </w:r>
      <w:r>
        <w:instrText xml:space="preserve"> PAGEREF _Toc316396810 \h </w:instrText>
      </w:r>
      <w:r>
        <w:fldChar w:fldCharType="separate"/>
      </w:r>
      <w:r>
        <w:t>11</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rsidRPr="005871F9">
        <w:rPr>
          <w:rFonts w:cs="Times New Roman"/>
        </w:rPr>
        <w:t>6.</w:t>
      </w:r>
      <w:r>
        <w:rPr>
          <w:rFonts w:asciiTheme="minorHAnsi" w:eastAsiaTheme="minorEastAsia" w:hAnsiTheme="minorHAnsi" w:cstheme="minorBidi"/>
          <w:b w:val="0"/>
          <w:sz w:val="22"/>
          <w:szCs w:val="22"/>
          <w:lang w:eastAsia="en-AU"/>
        </w:rPr>
        <w:tab/>
      </w:r>
      <w:r>
        <w:t>The charges</w:t>
      </w:r>
      <w:r>
        <w:tab/>
      </w:r>
      <w:r>
        <w:fldChar w:fldCharType="begin"/>
      </w:r>
      <w:r>
        <w:instrText xml:space="preserve"> PAGEREF _Toc316396811 \h </w:instrText>
      </w:r>
      <w:r>
        <w:fldChar w:fldCharType="separate"/>
      </w:r>
      <w:r>
        <w:t>11</w:t>
      </w:r>
      <w:r>
        <w:fldChar w:fldCharType="end"/>
      </w:r>
    </w:p>
    <w:p w:rsidR="0074238A" w:rsidRDefault="0074238A">
      <w:pPr>
        <w:pStyle w:val="TOC1"/>
        <w:tabs>
          <w:tab w:val="left" w:pos="440"/>
        </w:tabs>
        <w:rPr>
          <w:rFonts w:asciiTheme="minorHAnsi" w:eastAsiaTheme="minorEastAsia" w:hAnsiTheme="minorHAnsi" w:cstheme="minorBidi"/>
          <w:b w:val="0"/>
          <w:sz w:val="22"/>
          <w:szCs w:val="22"/>
          <w:lang w:eastAsia="en-AU"/>
        </w:rPr>
      </w:pPr>
      <w:r w:rsidRPr="005871F9">
        <w:rPr>
          <w:rFonts w:cs="Times New Roman"/>
        </w:rPr>
        <w:t>7.</w:t>
      </w:r>
      <w:r>
        <w:rPr>
          <w:rFonts w:asciiTheme="minorHAnsi" w:eastAsiaTheme="minorEastAsia" w:hAnsiTheme="minorHAnsi" w:cstheme="minorBidi"/>
          <w:b w:val="0"/>
          <w:sz w:val="22"/>
          <w:szCs w:val="22"/>
          <w:lang w:eastAsia="en-AU"/>
        </w:rPr>
        <w:tab/>
      </w:r>
      <w:r>
        <w:t>Conclusion</w:t>
      </w:r>
      <w:r>
        <w:tab/>
      </w:r>
      <w:r>
        <w:fldChar w:fldCharType="begin"/>
      </w:r>
      <w:r>
        <w:instrText xml:space="preserve"> PAGEREF _Toc316396812 \h </w:instrText>
      </w:r>
      <w:r>
        <w:fldChar w:fldCharType="separate"/>
      </w:r>
      <w:r>
        <w:t>13</w:t>
      </w:r>
      <w:r>
        <w:fldChar w:fldCharType="end"/>
      </w:r>
    </w:p>
    <w:p w:rsidR="00111F71" w:rsidRPr="00740788" w:rsidRDefault="002A0F54" w:rsidP="00300037">
      <w:pPr>
        <w:tabs>
          <w:tab w:val="right" w:leader="dot" w:pos="9645"/>
        </w:tabs>
        <w:spacing w:line="269" w:lineRule="auto"/>
        <w:jc w:val="both"/>
        <w:rPr>
          <w:rFonts w:ascii="Arial" w:hAnsi="Arial" w:cs="Arial"/>
          <w:sz w:val="28"/>
          <w:szCs w:val="28"/>
        </w:rPr>
      </w:pPr>
      <w:r w:rsidRPr="009017FD">
        <w:rPr>
          <w:rFonts w:ascii="Arial" w:hAnsi="Arial" w:cs="Arial"/>
          <w:sz w:val="28"/>
          <w:szCs w:val="28"/>
        </w:rPr>
        <w:fldChar w:fldCharType="end"/>
      </w:r>
    </w:p>
    <w:p w:rsidR="00111F71" w:rsidRPr="00740788" w:rsidRDefault="00111F71" w:rsidP="00300037">
      <w:pPr>
        <w:spacing w:line="269" w:lineRule="auto"/>
        <w:jc w:val="both"/>
        <w:rPr>
          <w:rFonts w:ascii="Arial" w:hAnsi="Arial" w:cs="Arial"/>
          <w:sz w:val="28"/>
          <w:szCs w:val="28"/>
        </w:rPr>
      </w:pPr>
      <w:r w:rsidRPr="00740788">
        <w:rPr>
          <w:rFonts w:ascii="Arial" w:hAnsi="Arial" w:cs="Arial"/>
          <w:sz w:val="28"/>
          <w:szCs w:val="28"/>
        </w:rPr>
        <w:br w:type="page"/>
      </w:r>
    </w:p>
    <w:p w:rsidR="00111F71" w:rsidRPr="00740788" w:rsidRDefault="00111F71" w:rsidP="00300037">
      <w:pPr>
        <w:pStyle w:val="Heading1"/>
        <w:spacing w:line="269" w:lineRule="auto"/>
        <w:jc w:val="both"/>
      </w:pPr>
      <w:bookmarkStart w:id="0" w:name="_Toc316396802"/>
      <w:r w:rsidRPr="00740788">
        <w:lastRenderedPageBreak/>
        <w:t>Introduction</w:t>
      </w:r>
      <w:bookmarkEnd w:id="0"/>
    </w:p>
    <w:p w:rsidR="002E0FF1" w:rsidRPr="00740788" w:rsidRDefault="002E0FF1" w:rsidP="00300037">
      <w:pPr>
        <w:spacing w:line="269" w:lineRule="auto"/>
        <w:jc w:val="both"/>
        <w:rPr>
          <w:rFonts w:ascii="Arial" w:hAnsi="Arial" w:cs="Arial"/>
          <w:sz w:val="20"/>
          <w:szCs w:val="20"/>
        </w:rPr>
      </w:pPr>
    </w:p>
    <w:p w:rsidR="002E0FF1" w:rsidRPr="00740788" w:rsidRDefault="00C42187" w:rsidP="00300037">
      <w:pPr>
        <w:spacing w:line="269" w:lineRule="auto"/>
        <w:jc w:val="both"/>
        <w:rPr>
          <w:rFonts w:ascii="Arial" w:hAnsi="Arial" w:cs="Arial"/>
          <w:sz w:val="20"/>
          <w:szCs w:val="20"/>
        </w:rPr>
      </w:pPr>
      <w:r w:rsidRPr="00740788">
        <w:rPr>
          <w:rFonts w:ascii="Arial" w:hAnsi="Arial" w:cs="Arial"/>
          <w:sz w:val="20"/>
          <w:szCs w:val="20"/>
        </w:rPr>
        <w:t>The</w:t>
      </w:r>
      <w:r w:rsidR="002E0FF1" w:rsidRPr="00740788">
        <w:rPr>
          <w:rFonts w:ascii="Arial" w:hAnsi="Arial" w:cs="Arial"/>
          <w:sz w:val="20"/>
          <w:szCs w:val="20"/>
        </w:rPr>
        <w:t xml:space="preserve"> </w:t>
      </w:r>
      <w:r w:rsidR="00791D34">
        <w:rPr>
          <w:rFonts w:ascii="Arial" w:hAnsi="Arial" w:cs="Arial"/>
          <w:sz w:val="20"/>
          <w:szCs w:val="20"/>
        </w:rPr>
        <w:t xml:space="preserve">ATA believes that </w:t>
      </w:r>
      <w:r w:rsidR="00CD3EE7">
        <w:rPr>
          <w:rFonts w:ascii="Arial" w:hAnsi="Arial" w:cs="Arial"/>
          <w:sz w:val="20"/>
          <w:szCs w:val="20"/>
        </w:rPr>
        <w:t xml:space="preserve">the </w:t>
      </w:r>
      <w:r w:rsidR="00CD3EE7" w:rsidRPr="00740788">
        <w:rPr>
          <w:rFonts w:ascii="Arial" w:hAnsi="Arial" w:cs="Arial"/>
          <w:sz w:val="20"/>
          <w:szCs w:val="20"/>
        </w:rPr>
        <w:t>work</w:t>
      </w:r>
      <w:r w:rsidRPr="00740788">
        <w:rPr>
          <w:rFonts w:ascii="Arial" w:hAnsi="Arial" w:cs="Arial"/>
          <w:sz w:val="20"/>
          <w:szCs w:val="20"/>
        </w:rPr>
        <w:t xml:space="preserve"> </w:t>
      </w:r>
      <w:r w:rsidR="00791D34">
        <w:rPr>
          <w:rFonts w:ascii="Arial" w:hAnsi="Arial" w:cs="Arial"/>
          <w:sz w:val="20"/>
          <w:szCs w:val="20"/>
        </w:rPr>
        <w:t xml:space="preserve">done </w:t>
      </w:r>
      <w:r w:rsidRPr="00740788">
        <w:rPr>
          <w:rFonts w:ascii="Arial" w:hAnsi="Arial" w:cs="Arial"/>
          <w:sz w:val="20"/>
          <w:szCs w:val="20"/>
        </w:rPr>
        <w:t>on A-trailers has</w:t>
      </w:r>
      <w:r w:rsidR="002E0FF1" w:rsidRPr="00740788">
        <w:rPr>
          <w:rFonts w:ascii="Arial" w:hAnsi="Arial" w:cs="Arial"/>
          <w:sz w:val="20"/>
          <w:szCs w:val="20"/>
        </w:rPr>
        <w:t xml:space="preserve"> severely overlooked </w:t>
      </w:r>
      <w:r w:rsidRPr="00740788">
        <w:rPr>
          <w:rFonts w:ascii="Arial" w:hAnsi="Arial" w:cs="Arial"/>
          <w:sz w:val="20"/>
          <w:szCs w:val="20"/>
        </w:rPr>
        <w:t>important</w:t>
      </w:r>
      <w:r w:rsidR="002E0FF1" w:rsidRPr="00740788">
        <w:rPr>
          <w:rFonts w:ascii="Arial" w:hAnsi="Arial" w:cs="Arial"/>
          <w:sz w:val="20"/>
          <w:szCs w:val="20"/>
        </w:rPr>
        <w:t xml:space="preserve"> principles</w:t>
      </w:r>
      <w:r w:rsidRPr="00740788">
        <w:rPr>
          <w:rFonts w:ascii="Arial" w:hAnsi="Arial" w:cs="Arial"/>
          <w:sz w:val="20"/>
          <w:szCs w:val="20"/>
        </w:rPr>
        <w:t xml:space="preserve"> and</w:t>
      </w:r>
      <w:r w:rsidR="005D5CDE" w:rsidRPr="00740788">
        <w:rPr>
          <w:rFonts w:ascii="Arial" w:hAnsi="Arial" w:cs="Arial"/>
          <w:sz w:val="20"/>
          <w:szCs w:val="20"/>
        </w:rPr>
        <w:t xml:space="preserve"> safety</w:t>
      </w:r>
      <w:r w:rsidRPr="00740788">
        <w:rPr>
          <w:rFonts w:ascii="Arial" w:hAnsi="Arial" w:cs="Arial"/>
          <w:sz w:val="20"/>
          <w:szCs w:val="20"/>
        </w:rPr>
        <w:t xml:space="preserve"> </w:t>
      </w:r>
      <w:r w:rsidR="00536CAD" w:rsidRPr="00740788">
        <w:rPr>
          <w:rFonts w:ascii="Arial" w:hAnsi="Arial" w:cs="Arial"/>
          <w:sz w:val="20"/>
          <w:szCs w:val="20"/>
        </w:rPr>
        <w:t>evidence</w:t>
      </w:r>
      <w:r w:rsidR="00536CAD">
        <w:rPr>
          <w:rFonts w:ascii="Arial" w:hAnsi="Arial" w:cs="Arial"/>
          <w:sz w:val="20"/>
          <w:szCs w:val="20"/>
        </w:rPr>
        <w:t xml:space="preserve"> that</w:t>
      </w:r>
      <w:r w:rsidR="002E0FF1" w:rsidRPr="00740788">
        <w:rPr>
          <w:rFonts w:ascii="Arial" w:hAnsi="Arial" w:cs="Arial"/>
          <w:sz w:val="20"/>
          <w:szCs w:val="20"/>
        </w:rPr>
        <w:t xml:space="preserve"> led to</w:t>
      </w:r>
      <w:r w:rsidR="00355C9F" w:rsidRPr="00740788">
        <w:rPr>
          <w:rFonts w:ascii="Arial" w:hAnsi="Arial" w:cs="Arial"/>
          <w:sz w:val="20"/>
          <w:szCs w:val="20"/>
        </w:rPr>
        <w:t xml:space="preserve"> </w:t>
      </w:r>
      <w:proofErr w:type="gramStart"/>
      <w:r w:rsidR="00CC7635" w:rsidRPr="00740788">
        <w:rPr>
          <w:rFonts w:ascii="Arial" w:hAnsi="Arial" w:cs="Arial"/>
          <w:sz w:val="20"/>
          <w:szCs w:val="20"/>
        </w:rPr>
        <w:t>A-trailers</w:t>
      </w:r>
      <w:r w:rsidR="00791D34">
        <w:rPr>
          <w:rFonts w:ascii="Arial" w:hAnsi="Arial" w:cs="Arial"/>
          <w:sz w:val="20"/>
          <w:szCs w:val="20"/>
        </w:rPr>
        <w:t>,</w:t>
      </w:r>
      <w:proofErr w:type="gramEnd"/>
      <w:r w:rsidRPr="00740788">
        <w:rPr>
          <w:rFonts w:ascii="Arial" w:hAnsi="Arial" w:cs="Arial"/>
          <w:sz w:val="20"/>
          <w:szCs w:val="20"/>
        </w:rPr>
        <w:t xml:space="preserve"> and specifically </w:t>
      </w:r>
      <w:r w:rsidR="002E0FF1" w:rsidRPr="00740788">
        <w:rPr>
          <w:rFonts w:ascii="Arial" w:hAnsi="Arial" w:cs="Arial"/>
          <w:sz w:val="20"/>
          <w:szCs w:val="20"/>
        </w:rPr>
        <w:t>the use of A-trailers in B-doubles</w:t>
      </w:r>
      <w:r w:rsidR="00793840" w:rsidRPr="00740788">
        <w:rPr>
          <w:rFonts w:ascii="Arial" w:hAnsi="Arial" w:cs="Arial"/>
          <w:sz w:val="20"/>
          <w:szCs w:val="20"/>
        </w:rPr>
        <w:t>,</w:t>
      </w:r>
      <w:r w:rsidR="002E0FF1" w:rsidRPr="00740788">
        <w:rPr>
          <w:rFonts w:ascii="Arial" w:hAnsi="Arial" w:cs="Arial"/>
          <w:sz w:val="20"/>
          <w:szCs w:val="20"/>
        </w:rPr>
        <w:t xml:space="preserve"> </w:t>
      </w:r>
      <w:r w:rsidR="00355C9F" w:rsidRPr="00740788">
        <w:rPr>
          <w:rFonts w:ascii="Arial" w:hAnsi="Arial" w:cs="Arial"/>
          <w:sz w:val="20"/>
          <w:szCs w:val="20"/>
        </w:rPr>
        <w:t>being</w:t>
      </w:r>
      <w:r w:rsidR="002E0FF1" w:rsidRPr="00740788">
        <w:rPr>
          <w:rFonts w:ascii="Arial" w:hAnsi="Arial" w:cs="Arial"/>
          <w:sz w:val="20"/>
          <w:szCs w:val="20"/>
        </w:rPr>
        <w:t xml:space="preserve"> encouraged with lower registration fees</w:t>
      </w:r>
      <w:r w:rsidR="00776376" w:rsidRPr="00740788">
        <w:rPr>
          <w:rFonts w:ascii="Arial" w:hAnsi="Arial" w:cs="Arial"/>
          <w:sz w:val="20"/>
          <w:szCs w:val="20"/>
        </w:rPr>
        <w:t xml:space="preserve"> in the past. </w:t>
      </w:r>
      <w:r w:rsidR="00203FCD" w:rsidRPr="00740788">
        <w:rPr>
          <w:rFonts w:ascii="Arial" w:hAnsi="Arial" w:cs="Arial"/>
          <w:sz w:val="20"/>
          <w:szCs w:val="20"/>
        </w:rPr>
        <w:t>The original purpose of lower charges for A-trailers was anticipated to lead to an accelerated uptake of these safer, more productive vehicles. This, in turn, was expected to see a reduction in the growth of the number of trucks on the road, producing a safer outcome through reduced exposure.</w:t>
      </w:r>
      <w:r w:rsidR="001D4ADF" w:rsidRPr="00740788">
        <w:rPr>
          <w:rFonts w:ascii="Arial" w:hAnsi="Arial" w:cs="Arial"/>
          <w:sz w:val="20"/>
          <w:szCs w:val="20"/>
        </w:rPr>
        <w:t xml:space="preserve"> This policy was working well</w:t>
      </w:r>
      <w:r w:rsidR="00793840" w:rsidRPr="00740788">
        <w:rPr>
          <w:rFonts w:ascii="Arial" w:hAnsi="Arial" w:cs="Arial"/>
          <w:sz w:val="20"/>
          <w:szCs w:val="20"/>
        </w:rPr>
        <w:t>,</w:t>
      </w:r>
      <w:r w:rsidR="001D4ADF" w:rsidRPr="00740788">
        <w:rPr>
          <w:rFonts w:ascii="Arial" w:hAnsi="Arial" w:cs="Arial"/>
          <w:sz w:val="20"/>
          <w:szCs w:val="20"/>
        </w:rPr>
        <w:t xml:space="preserve"> as safety was improving and truck growth was being moderated.</w:t>
      </w:r>
    </w:p>
    <w:p w:rsidR="002E0FF1" w:rsidRPr="00740788" w:rsidRDefault="002E0FF1" w:rsidP="00300037">
      <w:pPr>
        <w:spacing w:line="269" w:lineRule="auto"/>
        <w:jc w:val="both"/>
        <w:rPr>
          <w:rFonts w:ascii="Arial" w:hAnsi="Arial" w:cs="Arial"/>
          <w:sz w:val="20"/>
          <w:szCs w:val="20"/>
        </w:rPr>
      </w:pPr>
    </w:p>
    <w:p w:rsidR="00CD361B" w:rsidRDefault="00CD361B" w:rsidP="00300037">
      <w:pPr>
        <w:spacing w:line="269" w:lineRule="auto"/>
        <w:jc w:val="both"/>
        <w:rPr>
          <w:rFonts w:ascii="Arial" w:hAnsi="Arial" w:cs="Arial"/>
          <w:sz w:val="20"/>
          <w:szCs w:val="20"/>
        </w:rPr>
      </w:pPr>
      <w:r>
        <w:rPr>
          <w:rFonts w:ascii="Arial" w:hAnsi="Arial" w:cs="Arial"/>
          <w:sz w:val="20"/>
          <w:szCs w:val="20"/>
        </w:rPr>
        <w:t>The pursuit of no-cross subsidisation between different types of combi</w:t>
      </w:r>
      <w:r w:rsidR="00FD3B16">
        <w:rPr>
          <w:rFonts w:ascii="Arial" w:hAnsi="Arial" w:cs="Arial"/>
          <w:sz w:val="20"/>
          <w:szCs w:val="20"/>
        </w:rPr>
        <w:t xml:space="preserve">nations led to increased registration </w:t>
      </w:r>
      <w:r>
        <w:rPr>
          <w:rFonts w:ascii="Arial" w:hAnsi="Arial" w:cs="Arial"/>
          <w:sz w:val="20"/>
          <w:szCs w:val="20"/>
        </w:rPr>
        <w:t>in A-trailers, which at the time of the 2007 determination</w:t>
      </w:r>
      <w:r w:rsidR="00FD3B16">
        <w:rPr>
          <w:rFonts w:ascii="Arial" w:hAnsi="Arial" w:cs="Arial"/>
          <w:sz w:val="20"/>
          <w:szCs w:val="20"/>
        </w:rPr>
        <w:t xml:space="preserve"> was set to reflect the </w:t>
      </w:r>
      <w:r w:rsidR="00D91752">
        <w:rPr>
          <w:rFonts w:ascii="Arial" w:hAnsi="Arial" w:cs="Arial"/>
          <w:sz w:val="20"/>
          <w:szCs w:val="20"/>
        </w:rPr>
        <w:t>Equivalent standard axles (ESA) predictions</w:t>
      </w:r>
      <w:r w:rsidR="00791D34">
        <w:rPr>
          <w:rFonts w:ascii="Arial" w:hAnsi="Arial" w:cs="Arial"/>
          <w:sz w:val="20"/>
          <w:szCs w:val="20"/>
        </w:rPr>
        <w:t>.</w:t>
      </w:r>
      <w:r w:rsidR="00FD3B16">
        <w:rPr>
          <w:rFonts w:ascii="Arial" w:hAnsi="Arial" w:cs="Arial"/>
          <w:sz w:val="20"/>
          <w:szCs w:val="20"/>
        </w:rPr>
        <w:t xml:space="preserve"> </w:t>
      </w:r>
      <w:r w:rsidR="00791D34">
        <w:rPr>
          <w:rFonts w:ascii="Arial" w:hAnsi="Arial" w:cs="Arial"/>
          <w:sz w:val="20"/>
          <w:szCs w:val="20"/>
        </w:rPr>
        <w:t xml:space="preserve">These </w:t>
      </w:r>
      <w:r>
        <w:rPr>
          <w:rFonts w:ascii="Arial" w:hAnsi="Arial" w:cs="Arial"/>
          <w:sz w:val="20"/>
          <w:szCs w:val="20"/>
        </w:rPr>
        <w:t xml:space="preserve">were </w:t>
      </w:r>
      <w:r w:rsidR="00D91752">
        <w:rPr>
          <w:rFonts w:ascii="Arial" w:hAnsi="Arial" w:cs="Arial"/>
          <w:sz w:val="20"/>
          <w:szCs w:val="20"/>
        </w:rPr>
        <w:t xml:space="preserve">incorrect </w:t>
      </w:r>
      <w:r w:rsidR="00FD3B16">
        <w:rPr>
          <w:rFonts w:ascii="Arial" w:hAnsi="Arial" w:cs="Arial"/>
          <w:sz w:val="20"/>
          <w:szCs w:val="20"/>
        </w:rPr>
        <w:t xml:space="preserve">as ARRB and the NTC </w:t>
      </w:r>
      <w:r w:rsidR="00791D34">
        <w:rPr>
          <w:rFonts w:ascii="Arial" w:hAnsi="Arial" w:cs="Arial"/>
          <w:sz w:val="20"/>
          <w:szCs w:val="20"/>
        </w:rPr>
        <w:t xml:space="preserve">have </w:t>
      </w:r>
      <w:r w:rsidR="00FD3B16">
        <w:rPr>
          <w:rFonts w:ascii="Arial" w:hAnsi="Arial" w:cs="Arial"/>
          <w:sz w:val="20"/>
          <w:szCs w:val="20"/>
        </w:rPr>
        <w:t>admit</w:t>
      </w:r>
      <w:r w:rsidR="00791D34">
        <w:rPr>
          <w:rFonts w:ascii="Arial" w:hAnsi="Arial" w:cs="Arial"/>
          <w:sz w:val="20"/>
          <w:szCs w:val="20"/>
        </w:rPr>
        <w:t>ted</w:t>
      </w:r>
      <w:r w:rsidR="00FD3B16">
        <w:rPr>
          <w:rFonts w:ascii="Arial" w:hAnsi="Arial" w:cs="Arial"/>
          <w:sz w:val="20"/>
          <w:szCs w:val="20"/>
        </w:rPr>
        <w:t>. This</w:t>
      </w:r>
      <w:r>
        <w:rPr>
          <w:rFonts w:ascii="Arial" w:hAnsi="Arial" w:cs="Arial"/>
          <w:sz w:val="20"/>
          <w:szCs w:val="20"/>
        </w:rPr>
        <w:t xml:space="preserve"> led to the policy to increase A-trailer charges in order to recover the costs. This increase has led to negative outcomes that need to be addresse</w:t>
      </w:r>
      <w:r w:rsidR="00FD3B16">
        <w:rPr>
          <w:rFonts w:ascii="Arial" w:hAnsi="Arial" w:cs="Arial"/>
          <w:sz w:val="20"/>
          <w:szCs w:val="20"/>
        </w:rPr>
        <w:t>d and reconsidered in the face of</w:t>
      </w:r>
      <w:r>
        <w:rPr>
          <w:rFonts w:ascii="Arial" w:hAnsi="Arial" w:cs="Arial"/>
          <w:sz w:val="20"/>
          <w:szCs w:val="20"/>
        </w:rPr>
        <w:t xml:space="preserve"> the decline of A-trailer use. The Government can alter COAG principles in order to </w:t>
      </w:r>
      <w:r w:rsidR="00FD3B16">
        <w:rPr>
          <w:rFonts w:ascii="Arial" w:hAnsi="Arial" w:cs="Arial"/>
          <w:sz w:val="20"/>
          <w:szCs w:val="20"/>
        </w:rPr>
        <w:t xml:space="preserve">make the right decision. </w:t>
      </w:r>
    </w:p>
    <w:p w:rsidR="00776376" w:rsidRPr="00740788" w:rsidRDefault="00776376" w:rsidP="00300037">
      <w:pPr>
        <w:spacing w:line="269" w:lineRule="auto"/>
        <w:jc w:val="both"/>
        <w:rPr>
          <w:rFonts w:ascii="Arial" w:hAnsi="Arial" w:cs="Arial"/>
          <w:sz w:val="20"/>
          <w:szCs w:val="20"/>
        </w:rPr>
      </w:pPr>
    </w:p>
    <w:p w:rsidR="001751C5" w:rsidRPr="00740788" w:rsidRDefault="00776376" w:rsidP="00300037">
      <w:pPr>
        <w:spacing w:line="269" w:lineRule="auto"/>
        <w:jc w:val="both"/>
        <w:rPr>
          <w:rFonts w:ascii="Arial" w:hAnsi="Arial" w:cs="Arial"/>
          <w:sz w:val="20"/>
          <w:szCs w:val="20"/>
        </w:rPr>
      </w:pPr>
      <w:r w:rsidRPr="00740788">
        <w:rPr>
          <w:rFonts w:ascii="Arial" w:hAnsi="Arial" w:cs="Arial"/>
          <w:sz w:val="20"/>
          <w:szCs w:val="20"/>
        </w:rPr>
        <w:t xml:space="preserve">We </w:t>
      </w:r>
      <w:r w:rsidR="00355C9F" w:rsidRPr="00740788">
        <w:rPr>
          <w:rFonts w:ascii="Arial" w:hAnsi="Arial" w:cs="Arial"/>
          <w:sz w:val="20"/>
          <w:szCs w:val="20"/>
        </w:rPr>
        <w:t>note</w:t>
      </w:r>
      <w:r w:rsidRPr="00740788">
        <w:rPr>
          <w:rFonts w:ascii="Arial" w:hAnsi="Arial" w:cs="Arial"/>
          <w:sz w:val="20"/>
          <w:szCs w:val="20"/>
        </w:rPr>
        <w:t xml:space="preserve"> that many other COAG principles and commitments are not held as </w:t>
      </w:r>
      <w:r w:rsidR="00572C7D">
        <w:rPr>
          <w:rFonts w:ascii="Arial" w:hAnsi="Arial" w:cs="Arial"/>
          <w:sz w:val="20"/>
          <w:szCs w:val="20"/>
        </w:rPr>
        <w:t>rigidly as cross-subsidisation is</w:t>
      </w:r>
      <w:r w:rsidRPr="00740788">
        <w:rPr>
          <w:rFonts w:ascii="Arial" w:hAnsi="Arial" w:cs="Arial"/>
          <w:sz w:val="20"/>
          <w:szCs w:val="20"/>
        </w:rPr>
        <w:t xml:space="preserve">. For example, </w:t>
      </w:r>
      <w:r w:rsidR="00355C9F" w:rsidRPr="00740788">
        <w:rPr>
          <w:rFonts w:ascii="Arial" w:hAnsi="Arial" w:cs="Arial"/>
          <w:sz w:val="20"/>
          <w:szCs w:val="20"/>
        </w:rPr>
        <w:t>the</w:t>
      </w:r>
      <w:r w:rsidRPr="00740788">
        <w:rPr>
          <w:rFonts w:ascii="Arial" w:hAnsi="Arial" w:cs="Arial"/>
          <w:sz w:val="20"/>
          <w:szCs w:val="20"/>
        </w:rPr>
        <w:t xml:space="preserve"> </w:t>
      </w:r>
      <w:r w:rsidR="00D91752" w:rsidRPr="00740788">
        <w:rPr>
          <w:rFonts w:ascii="Arial" w:hAnsi="Arial" w:cs="Arial"/>
          <w:sz w:val="20"/>
          <w:szCs w:val="20"/>
        </w:rPr>
        <w:t>obligation</w:t>
      </w:r>
      <w:r w:rsidR="00D91752">
        <w:rPr>
          <w:rFonts w:ascii="Arial" w:hAnsi="Arial" w:cs="Arial"/>
          <w:sz w:val="20"/>
          <w:szCs w:val="20"/>
        </w:rPr>
        <w:t xml:space="preserve"> to increase the</w:t>
      </w:r>
      <w:r w:rsidR="00D91752" w:rsidRPr="00740788">
        <w:rPr>
          <w:rFonts w:ascii="Arial" w:hAnsi="Arial" w:cs="Arial"/>
          <w:sz w:val="20"/>
          <w:szCs w:val="20"/>
        </w:rPr>
        <w:t xml:space="preserve"> use of B-triples has not been met</w:t>
      </w:r>
      <w:r w:rsidR="00D91752">
        <w:rPr>
          <w:rFonts w:ascii="Arial" w:hAnsi="Arial" w:cs="Arial"/>
          <w:sz w:val="20"/>
          <w:szCs w:val="20"/>
        </w:rPr>
        <w:t xml:space="preserve">, nor provides a single decision point in performance based standards. </w:t>
      </w:r>
    </w:p>
    <w:p w:rsidR="00493DB5" w:rsidRPr="00740788" w:rsidRDefault="00493DB5" w:rsidP="00300037">
      <w:pPr>
        <w:spacing w:line="269" w:lineRule="auto"/>
        <w:jc w:val="both"/>
        <w:rPr>
          <w:rFonts w:ascii="Arial" w:hAnsi="Arial" w:cs="Arial"/>
          <w:sz w:val="20"/>
          <w:szCs w:val="20"/>
        </w:rPr>
      </w:pPr>
    </w:p>
    <w:p w:rsidR="00B97C38" w:rsidRPr="00740788" w:rsidRDefault="004476EE" w:rsidP="00300037">
      <w:pPr>
        <w:spacing w:line="269" w:lineRule="auto"/>
        <w:jc w:val="both"/>
        <w:rPr>
          <w:rFonts w:ascii="Arial" w:hAnsi="Arial" w:cs="Arial"/>
          <w:sz w:val="20"/>
          <w:szCs w:val="20"/>
        </w:rPr>
      </w:pPr>
      <w:r w:rsidRPr="00740788">
        <w:rPr>
          <w:rFonts w:ascii="Arial" w:hAnsi="Arial" w:cs="Arial"/>
          <w:sz w:val="20"/>
          <w:szCs w:val="20"/>
        </w:rPr>
        <w:t xml:space="preserve">The </w:t>
      </w:r>
      <w:r w:rsidR="001653C5" w:rsidRPr="00740788">
        <w:rPr>
          <w:rFonts w:ascii="Arial" w:hAnsi="Arial" w:cs="Arial"/>
          <w:sz w:val="20"/>
          <w:szCs w:val="20"/>
        </w:rPr>
        <w:t xml:space="preserve">foundation of the </w:t>
      </w:r>
      <w:r w:rsidR="00776376" w:rsidRPr="00740788">
        <w:rPr>
          <w:rFonts w:ascii="Arial" w:hAnsi="Arial" w:cs="Arial"/>
          <w:sz w:val="20"/>
          <w:szCs w:val="20"/>
        </w:rPr>
        <w:t xml:space="preserve">current </w:t>
      </w:r>
      <w:r w:rsidR="001653C5" w:rsidRPr="00740788">
        <w:rPr>
          <w:rFonts w:ascii="Arial" w:hAnsi="Arial" w:cs="Arial"/>
          <w:sz w:val="20"/>
          <w:szCs w:val="20"/>
        </w:rPr>
        <w:t>charges is</w:t>
      </w:r>
      <w:r w:rsidRPr="00740788">
        <w:rPr>
          <w:rFonts w:ascii="Arial" w:hAnsi="Arial" w:cs="Arial"/>
          <w:sz w:val="20"/>
          <w:szCs w:val="20"/>
        </w:rPr>
        <w:t xml:space="preserve"> the 2</w:t>
      </w:r>
      <w:r w:rsidR="00776376" w:rsidRPr="00740788">
        <w:rPr>
          <w:rFonts w:ascii="Arial" w:hAnsi="Arial" w:cs="Arial"/>
          <w:sz w:val="20"/>
          <w:szCs w:val="20"/>
        </w:rPr>
        <w:t xml:space="preserve">007 determination. Prior to that </w:t>
      </w:r>
      <w:r w:rsidRPr="00740788">
        <w:rPr>
          <w:rFonts w:ascii="Arial" w:hAnsi="Arial" w:cs="Arial"/>
          <w:sz w:val="20"/>
          <w:szCs w:val="20"/>
        </w:rPr>
        <w:t>determination, all trailers were charged</w:t>
      </w:r>
      <w:r w:rsidR="001653C5" w:rsidRPr="00740788">
        <w:rPr>
          <w:rFonts w:ascii="Arial" w:hAnsi="Arial" w:cs="Arial"/>
          <w:sz w:val="20"/>
          <w:szCs w:val="20"/>
        </w:rPr>
        <w:t xml:space="preserve"> on</w:t>
      </w:r>
      <w:r w:rsidRPr="00740788">
        <w:rPr>
          <w:rFonts w:ascii="Arial" w:hAnsi="Arial" w:cs="Arial"/>
          <w:sz w:val="20"/>
          <w:szCs w:val="20"/>
        </w:rPr>
        <w:t xml:space="preserve"> a common per axle basis. Industry believes this was</w:t>
      </w:r>
      <w:r w:rsidR="002553C7" w:rsidRPr="00740788">
        <w:rPr>
          <w:rFonts w:ascii="Arial" w:hAnsi="Arial" w:cs="Arial"/>
          <w:sz w:val="20"/>
          <w:szCs w:val="20"/>
        </w:rPr>
        <w:t>,</w:t>
      </w:r>
      <w:r w:rsidRPr="00740788">
        <w:rPr>
          <w:rFonts w:ascii="Arial" w:hAnsi="Arial" w:cs="Arial"/>
          <w:sz w:val="20"/>
          <w:szCs w:val="20"/>
        </w:rPr>
        <w:t xml:space="preserve"> and remains</w:t>
      </w:r>
      <w:r w:rsidR="002553C7" w:rsidRPr="00740788">
        <w:rPr>
          <w:rFonts w:ascii="Arial" w:hAnsi="Arial" w:cs="Arial"/>
          <w:sz w:val="20"/>
          <w:szCs w:val="20"/>
        </w:rPr>
        <w:t>,</w:t>
      </w:r>
      <w:r w:rsidRPr="00740788">
        <w:rPr>
          <w:rFonts w:ascii="Arial" w:hAnsi="Arial" w:cs="Arial"/>
          <w:sz w:val="20"/>
          <w:szCs w:val="20"/>
        </w:rPr>
        <w:t xml:space="preserve"> a fair and logical platform for all trailer charges. The charges should return to a common per axle charge </w:t>
      </w:r>
      <w:r w:rsidR="00C37FF3" w:rsidRPr="00740788">
        <w:rPr>
          <w:rFonts w:ascii="Arial" w:hAnsi="Arial" w:cs="Arial"/>
          <w:sz w:val="20"/>
          <w:szCs w:val="20"/>
        </w:rPr>
        <w:t>for trailers before advancing to a longer-term model, which moves charges away from fixed registration charges and towards more revenue recovery from a variable fuel charge.</w:t>
      </w:r>
    </w:p>
    <w:p w:rsidR="00B97C38" w:rsidRPr="00740788" w:rsidRDefault="00B97C38" w:rsidP="00300037">
      <w:pPr>
        <w:spacing w:line="269" w:lineRule="auto"/>
        <w:jc w:val="both"/>
        <w:rPr>
          <w:rFonts w:ascii="Arial" w:hAnsi="Arial" w:cs="Arial"/>
          <w:sz w:val="20"/>
          <w:szCs w:val="20"/>
        </w:rPr>
      </w:pPr>
    </w:p>
    <w:p w:rsidR="00493DB5" w:rsidRPr="00740788" w:rsidRDefault="00493DB5" w:rsidP="00300037">
      <w:pPr>
        <w:spacing w:line="269" w:lineRule="auto"/>
        <w:jc w:val="both"/>
        <w:rPr>
          <w:rFonts w:ascii="Arial" w:hAnsi="Arial" w:cs="Arial"/>
          <w:sz w:val="20"/>
          <w:szCs w:val="20"/>
        </w:rPr>
      </w:pPr>
      <w:r w:rsidRPr="00740788">
        <w:rPr>
          <w:rFonts w:ascii="Arial" w:hAnsi="Arial" w:cs="Arial"/>
          <w:sz w:val="20"/>
          <w:szCs w:val="20"/>
        </w:rPr>
        <w:t>Many in industry have rejected</w:t>
      </w:r>
      <w:r w:rsidR="00536CAD">
        <w:rPr>
          <w:rFonts w:ascii="Arial" w:hAnsi="Arial" w:cs="Arial"/>
          <w:sz w:val="20"/>
          <w:szCs w:val="20"/>
        </w:rPr>
        <w:t xml:space="preserve"> the high A-trailer charges</w:t>
      </w:r>
      <w:r w:rsidRPr="00740788">
        <w:rPr>
          <w:rFonts w:ascii="Arial" w:hAnsi="Arial" w:cs="Arial"/>
          <w:sz w:val="20"/>
          <w:szCs w:val="20"/>
        </w:rPr>
        <w:t xml:space="preserve"> as being too </w:t>
      </w:r>
      <w:r w:rsidR="002553C7" w:rsidRPr="00740788">
        <w:rPr>
          <w:rFonts w:ascii="Arial" w:hAnsi="Arial" w:cs="Arial"/>
          <w:sz w:val="20"/>
          <w:szCs w:val="20"/>
        </w:rPr>
        <w:t xml:space="preserve">extreme </w:t>
      </w:r>
      <w:r w:rsidRPr="00740788">
        <w:rPr>
          <w:rFonts w:ascii="Arial" w:hAnsi="Arial" w:cs="Arial"/>
          <w:sz w:val="20"/>
          <w:szCs w:val="20"/>
        </w:rPr>
        <w:t xml:space="preserve">to </w:t>
      </w:r>
      <w:r w:rsidR="002553C7" w:rsidRPr="00740788">
        <w:rPr>
          <w:rFonts w:ascii="Arial" w:hAnsi="Arial" w:cs="Arial"/>
          <w:sz w:val="20"/>
          <w:szCs w:val="20"/>
        </w:rPr>
        <w:t xml:space="preserve">maintain their </w:t>
      </w:r>
      <w:r w:rsidR="005D5CDE" w:rsidRPr="00740788">
        <w:rPr>
          <w:rFonts w:ascii="Arial" w:hAnsi="Arial" w:cs="Arial"/>
          <w:sz w:val="20"/>
          <w:szCs w:val="20"/>
        </w:rPr>
        <w:t>viability</w:t>
      </w:r>
      <w:r w:rsidRPr="00740788">
        <w:rPr>
          <w:rFonts w:ascii="Arial" w:hAnsi="Arial" w:cs="Arial"/>
          <w:sz w:val="20"/>
          <w:szCs w:val="20"/>
        </w:rPr>
        <w:t xml:space="preserve"> and have reduced A-trailer use as a d</w:t>
      </w:r>
      <w:r w:rsidR="00355C9F" w:rsidRPr="00740788">
        <w:rPr>
          <w:rFonts w:ascii="Arial" w:hAnsi="Arial" w:cs="Arial"/>
          <w:sz w:val="20"/>
          <w:szCs w:val="20"/>
        </w:rPr>
        <w:t xml:space="preserve">irect result. </w:t>
      </w:r>
      <w:r w:rsidRPr="00740788">
        <w:rPr>
          <w:rFonts w:ascii="Arial" w:hAnsi="Arial" w:cs="Arial"/>
          <w:sz w:val="20"/>
          <w:szCs w:val="20"/>
        </w:rPr>
        <w:t>To match the community’s freight demands</w:t>
      </w:r>
      <w:r w:rsidR="002553C7" w:rsidRPr="00740788">
        <w:rPr>
          <w:rFonts w:ascii="Arial" w:hAnsi="Arial" w:cs="Arial"/>
          <w:sz w:val="20"/>
          <w:szCs w:val="20"/>
        </w:rPr>
        <w:t>,</w:t>
      </w:r>
      <w:r w:rsidRPr="00740788">
        <w:rPr>
          <w:rFonts w:ascii="Arial" w:hAnsi="Arial" w:cs="Arial"/>
          <w:sz w:val="20"/>
          <w:szCs w:val="20"/>
        </w:rPr>
        <w:t xml:space="preserve"> industry is simply using greater numbers of smaller combinations. This has a negative effect </w:t>
      </w:r>
      <w:r w:rsidR="002553C7" w:rsidRPr="00740788">
        <w:rPr>
          <w:rFonts w:ascii="Arial" w:hAnsi="Arial" w:cs="Arial"/>
          <w:sz w:val="20"/>
          <w:szCs w:val="20"/>
        </w:rPr>
        <w:t xml:space="preserve">on </w:t>
      </w:r>
      <w:r w:rsidRPr="00740788">
        <w:rPr>
          <w:rFonts w:ascii="Arial" w:hAnsi="Arial" w:cs="Arial"/>
          <w:sz w:val="20"/>
          <w:szCs w:val="20"/>
        </w:rPr>
        <w:t>safety, productivity</w:t>
      </w:r>
      <w:r w:rsidR="005D5CDE" w:rsidRPr="00740788">
        <w:rPr>
          <w:rFonts w:ascii="Arial" w:hAnsi="Arial" w:cs="Arial"/>
          <w:sz w:val="20"/>
          <w:szCs w:val="20"/>
        </w:rPr>
        <w:t>, environmental outcomes and</w:t>
      </w:r>
      <w:r w:rsidRPr="00740788">
        <w:rPr>
          <w:rFonts w:ascii="Arial" w:hAnsi="Arial" w:cs="Arial"/>
          <w:sz w:val="20"/>
          <w:szCs w:val="20"/>
        </w:rPr>
        <w:t xml:space="preserve"> </w:t>
      </w:r>
      <w:r w:rsidR="00776376" w:rsidRPr="00740788">
        <w:rPr>
          <w:rFonts w:ascii="Arial" w:hAnsi="Arial" w:cs="Arial"/>
          <w:sz w:val="20"/>
          <w:szCs w:val="20"/>
        </w:rPr>
        <w:t xml:space="preserve">future-proofing </w:t>
      </w:r>
      <w:r w:rsidRPr="00740788">
        <w:rPr>
          <w:rFonts w:ascii="Arial" w:hAnsi="Arial" w:cs="Arial"/>
          <w:sz w:val="20"/>
          <w:szCs w:val="20"/>
        </w:rPr>
        <w:t>heavy vehicle investment.</w:t>
      </w:r>
    </w:p>
    <w:p w:rsidR="005D5CDE" w:rsidRPr="00740788" w:rsidRDefault="005D5CDE" w:rsidP="00300037">
      <w:pPr>
        <w:spacing w:line="269" w:lineRule="auto"/>
        <w:jc w:val="both"/>
        <w:rPr>
          <w:rFonts w:ascii="Arial" w:hAnsi="Arial" w:cs="Arial"/>
          <w:sz w:val="20"/>
          <w:szCs w:val="20"/>
        </w:rPr>
      </w:pPr>
    </w:p>
    <w:p w:rsidR="001751C5" w:rsidRPr="00740788" w:rsidRDefault="00536CAD" w:rsidP="00300037">
      <w:pPr>
        <w:spacing w:line="269" w:lineRule="auto"/>
        <w:jc w:val="both"/>
        <w:rPr>
          <w:rFonts w:ascii="Arial" w:hAnsi="Arial" w:cs="Arial"/>
          <w:sz w:val="20"/>
          <w:szCs w:val="20"/>
          <w:u w:val="single"/>
        </w:rPr>
      </w:pPr>
      <w:r>
        <w:rPr>
          <w:rFonts w:ascii="Arial" w:hAnsi="Arial" w:cs="Arial"/>
          <w:sz w:val="20"/>
          <w:szCs w:val="20"/>
        </w:rPr>
        <w:t>The evidence is clear. I</w:t>
      </w:r>
      <w:r w:rsidR="005D5CDE" w:rsidRPr="00740788">
        <w:rPr>
          <w:rFonts w:ascii="Arial" w:hAnsi="Arial" w:cs="Arial"/>
          <w:sz w:val="20"/>
          <w:szCs w:val="20"/>
        </w:rPr>
        <w:t>ndustry will not pay registration charges that are too high</w:t>
      </w:r>
      <w:r w:rsidR="00EA1F41">
        <w:rPr>
          <w:rFonts w:ascii="Arial" w:hAnsi="Arial" w:cs="Arial"/>
          <w:sz w:val="20"/>
          <w:szCs w:val="20"/>
        </w:rPr>
        <w:t xml:space="preserve"> as they are simply not affordable</w:t>
      </w:r>
      <w:r w:rsidR="005D5CDE" w:rsidRPr="00740788">
        <w:rPr>
          <w:rFonts w:ascii="Arial" w:hAnsi="Arial" w:cs="Arial"/>
          <w:sz w:val="20"/>
          <w:szCs w:val="20"/>
        </w:rPr>
        <w:t>. If a charge for a more productive, safer combination is above what the operators can afford and be viable in the industry, industry will simply use more (smaller) trucks at higher net cost to the community.</w:t>
      </w:r>
    </w:p>
    <w:p w:rsidR="005D5CDE" w:rsidRPr="00740788" w:rsidRDefault="005D5CDE" w:rsidP="00300037">
      <w:pPr>
        <w:spacing w:line="269" w:lineRule="auto"/>
        <w:jc w:val="both"/>
        <w:rPr>
          <w:rFonts w:ascii="Arial" w:hAnsi="Arial" w:cs="Arial"/>
          <w:sz w:val="20"/>
          <w:szCs w:val="20"/>
        </w:rPr>
      </w:pPr>
    </w:p>
    <w:p w:rsidR="00B97C38" w:rsidRPr="00740788" w:rsidRDefault="00536CAD" w:rsidP="00300037">
      <w:pPr>
        <w:spacing w:line="269" w:lineRule="auto"/>
        <w:jc w:val="both"/>
        <w:rPr>
          <w:rFonts w:ascii="Arial" w:hAnsi="Arial" w:cs="Arial"/>
          <w:sz w:val="20"/>
          <w:szCs w:val="20"/>
        </w:rPr>
      </w:pPr>
      <w:r>
        <w:rPr>
          <w:rFonts w:ascii="Arial" w:hAnsi="Arial" w:cs="Arial"/>
          <w:sz w:val="20"/>
          <w:szCs w:val="20"/>
        </w:rPr>
        <w:t xml:space="preserve">An </w:t>
      </w:r>
      <w:r w:rsidR="00183AA0" w:rsidRPr="00740788">
        <w:rPr>
          <w:rFonts w:ascii="Arial" w:hAnsi="Arial" w:cs="Arial"/>
          <w:sz w:val="20"/>
          <w:szCs w:val="20"/>
        </w:rPr>
        <w:t>A-trailer carries half the freight of a semi-trailer (12</w:t>
      </w:r>
      <w:r w:rsidR="0048037F" w:rsidRPr="00740788">
        <w:rPr>
          <w:rFonts w:ascii="Arial" w:hAnsi="Arial" w:cs="Arial"/>
          <w:sz w:val="20"/>
          <w:szCs w:val="20"/>
        </w:rPr>
        <w:t xml:space="preserve"> pallets</w:t>
      </w:r>
      <w:r w:rsidR="00776376" w:rsidRPr="00740788">
        <w:rPr>
          <w:rFonts w:ascii="Arial" w:hAnsi="Arial" w:cs="Arial"/>
          <w:sz w:val="20"/>
          <w:szCs w:val="20"/>
        </w:rPr>
        <w:t xml:space="preserve"> v 22 pallets) but it</w:t>
      </w:r>
      <w:r w:rsidR="00183AA0" w:rsidRPr="00740788">
        <w:rPr>
          <w:rFonts w:ascii="Arial" w:hAnsi="Arial" w:cs="Arial"/>
          <w:sz w:val="20"/>
          <w:szCs w:val="20"/>
        </w:rPr>
        <w:t xml:space="preserve"> currently costs </w:t>
      </w:r>
      <w:r w:rsidR="00B65A5E" w:rsidRPr="00740788">
        <w:rPr>
          <w:rFonts w:ascii="Arial" w:hAnsi="Arial" w:cs="Arial"/>
          <w:sz w:val="20"/>
          <w:szCs w:val="20"/>
        </w:rPr>
        <w:t>close to five times the registration charge ($1,419 v $6,525).</w:t>
      </w:r>
      <w:r w:rsidR="0048037F" w:rsidRPr="00740788">
        <w:rPr>
          <w:rFonts w:ascii="Arial" w:hAnsi="Arial" w:cs="Arial"/>
          <w:sz w:val="20"/>
          <w:szCs w:val="20"/>
        </w:rPr>
        <w:t xml:space="preserve"> It makes engineering, economic and common sense that semi trailer</w:t>
      </w:r>
      <w:r w:rsidR="002553C7" w:rsidRPr="00740788">
        <w:rPr>
          <w:rFonts w:ascii="Arial" w:hAnsi="Arial" w:cs="Arial"/>
          <w:sz w:val="20"/>
          <w:szCs w:val="20"/>
        </w:rPr>
        <w:t>s</w:t>
      </w:r>
      <w:r w:rsidR="0048037F" w:rsidRPr="00740788">
        <w:rPr>
          <w:rFonts w:ascii="Arial" w:hAnsi="Arial" w:cs="Arial"/>
          <w:sz w:val="20"/>
          <w:szCs w:val="20"/>
        </w:rPr>
        <w:t xml:space="preserve"> and A-trailers</w:t>
      </w:r>
      <w:r w:rsidR="002553C7" w:rsidRPr="00740788">
        <w:rPr>
          <w:rFonts w:ascii="Arial" w:hAnsi="Arial" w:cs="Arial"/>
          <w:sz w:val="20"/>
          <w:szCs w:val="20"/>
        </w:rPr>
        <w:t>,</w:t>
      </w:r>
      <w:r w:rsidR="001D4ADF" w:rsidRPr="00740788">
        <w:rPr>
          <w:rFonts w:ascii="Arial" w:hAnsi="Arial" w:cs="Arial"/>
          <w:sz w:val="20"/>
          <w:szCs w:val="20"/>
        </w:rPr>
        <w:t xml:space="preserve"> which</w:t>
      </w:r>
      <w:r w:rsidR="0048037F" w:rsidRPr="00740788">
        <w:rPr>
          <w:rFonts w:ascii="Arial" w:hAnsi="Arial" w:cs="Arial"/>
          <w:sz w:val="20"/>
          <w:szCs w:val="20"/>
        </w:rPr>
        <w:t xml:space="preserve"> </w:t>
      </w:r>
      <w:r w:rsidR="00CB6823" w:rsidRPr="00740788">
        <w:rPr>
          <w:rFonts w:ascii="Arial" w:hAnsi="Arial" w:cs="Arial"/>
          <w:sz w:val="20"/>
          <w:szCs w:val="20"/>
        </w:rPr>
        <w:t>have the same axle groups and the</w:t>
      </w:r>
      <w:r w:rsidR="00CA6395" w:rsidRPr="00740788">
        <w:rPr>
          <w:rFonts w:ascii="Arial" w:hAnsi="Arial" w:cs="Arial"/>
          <w:sz w:val="20"/>
          <w:szCs w:val="20"/>
        </w:rPr>
        <w:t xml:space="preserve"> same allowed axle group loads</w:t>
      </w:r>
      <w:r w:rsidR="002553C7" w:rsidRPr="00740788">
        <w:rPr>
          <w:rFonts w:ascii="Arial" w:hAnsi="Arial" w:cs="Arial"/>
          <w:sz w:val="20"/>
          <w:szCs w:val="20"/>
        </w:rPr>
        <w:t>,</w:t>
      </w:r>
      <w:r w:rsidR="00CB6823" w:rsidRPr="00740788">
        <w:rPr>
          <w:rFonts w:ascii="Arial" w:hAnsi="Arial" w:cs="Arial"/>
          <w:sz w:val="20"/>
          <w:szCs w:val="20"/>
        </w:rPr>
        <w:t xml:space="preserve"> should be charged the same.</w:t>
      </w:r>
    </w:p>
    <w:p w:rsidR="00183AA0" w:rsidRPr="00740788" w:rsidRDefault="00183AA0" w:rsidP="00300037">
      <w:pPr>
        <w:spacing w:line="269" w:lineRule="auto"/>
        <w:jc w:val="both"/>
        <w:rPr>
          <w:rFonts w:ascii="Arial" w:hAnsi="Arial" w:cs="Arial"/>
          <w:sz w:val="20"/>
          <w:szCs w:val="20"/>
        </w:rPr>
      </w:pPr>
    </w:p>
    <w:p w:rsidR="00550BBC" w:rsidRDefault="00241591" w:rsidP="00300037">
      <w:pPr>
        <w:spacing w:line="269" w:lineRule="auto"/>
        <w:jc w:val="both"/>
        <w:rPr>
          <w:rFonts w:ascii="Arial" w:hAnsi="Arial" w:cs="Arial"/>
          <w:sz w:val="20"/>
          <w:szCs w:val="20"/>
        </w:rPr>
      </w:pPr>
      <w:r>
        <w:rPr>
          <w:rFonts w:ascii="Arial" w:hAnsi="Arial" w:cs="Arial"/>
          <w:sz w:val="20"/>
          <w:szCs w:val="20"/>
        </w:rPr>
        <w:t>The ATA has been unable to analyse the NTC options as the model used has not been pro</w:t>
      </w:r>
      <w:r w:rsidR="00550BBC">
        <w:rPr>
          <w:rFonts w:ascii="Arial" w:hAnsi="Arial" w:cs="Arial"/>
          <w:sz w:val="20"/>
          <w:szCs w:val="20"/>
        </w:rPr>
        <w:t xml:space="preserve">vided for public review. The refusal </w:t>
      </w:r>
      <w:r w:rsidR="00550BBC" w:rsidRPr="00550BBC">
        <w:rPr>
          <w:rFonts w:ascii="Arial" w:hAnsi="Arial" w:cs="Arial"/>
          <w:sz w:val="20"/>
          <w:szCs w:val="20"/>
        </w:rPr>
        <w:t>to provide the PayGo model for review and scenario testing by the industry</w:t>
      </w:r>
      <w:r w:rsidR="00791D34">
        <w:rPr>
          <w:rFonts w:ascii="Arial" w:hAnsi="Arial" w:cs="Arial"/>
          <w:sz w:val="20"/>
          <w:szCs w:val="20"/>
        </w:rPr>
        <w:t>,</w:t>
      </w:r>
      <w:r w:rsidR="00550BBC" w:rsidRPr="00550BBC">
        <w:rPr>
          <w:rFonts w:ascii="Arial" w:hAnsi="Arial" w:cs="Arial"/>
          <w:sz w:val="20"/>
          <w:szCs w:val="20"/>
        </w:rPr>
        <w:t xml:space="preserve"> </w:t>
      </w:r>
      <w:r w:rsidR="00550BBC">
        <w:rPr>
          <w:rFonts w:ascii="Arial" w:hAnsi="Arial" w:cs="Arial"/>
          <w:sz w:val="20"/>
          <w:szCs w:val="20"/>
        </w:rPr>
        <w:t>means that c</w:t>
      </w:r>
      <w:r w:rsidR="00550BBC" w:rsidRPr="00550BBC">
        <w:rPr>
          <w:rFonts w:ascii="Arial" w:hAnsi="Arial" w:cs="Arial"/>
          <w:sz w:val="20"/>
          <w:szCs w:val="20"/>
        </w:rPr>
        <w:t>alculations, methodologies, assumptions and inputs cannot be adequately scrutinised</w:t>
      </w:r>
      <w:r w:rsidR="00550BBC">
        <w:rPr>
          <w:rFonts w:ascii="Arial" w:hAnsi="Arial" w:cs="Arial"/>
          <w:sz w:val="20"/>
          <w:szCs w:val="20"/>
        </w:rPr>
        <w:t xml:space="preserve">, therefore the ATA does not endorse any of the </w:t>
      </w:r>
      <w:r w:rsidR="00791D34">
        <w:rPr>
          <w:rFonts w:ascii="Arial" w:hAnsi="Arial" w:cs="Arial"/>
          <w:sz w:val="20"/>
          <w:szCs w:val="20"/>
        </w:rPr>
        <w:t xml:space="preserve">these </w:t>
      </w:r>
      <w:r w:rsidR="00550BBC">
        <w:rPr>
          <w:rFonts w:ascii="Arial" w:hAnsi="Arial" w:cs="Arial"/>
          <w:sz w:val="20"/>
          <w:szCs w:val="20"/>
        </w:rPr>
        <w:t>options. There is little analysis on the effects each option would have on industry, meaning industry has had to do its own investigations, modelling and analysis based on the NTC’s (ever changing) charges. There is a large risk that the NTC options will cause more pain for stakeholders than relief</w:t>
      </w:r>
      <w:r w:rsidR="00791D34">
        <w:rPr>
          <w:rFonts w:ascii="Arial" w:hAnsi="Arial" w:cs="Arial"/>
          <w:sz w:val="20"/>
          <w:szCs w:val="20"/>
        </w:rPr>
        <w:t>.</w:t>
      </w:r>
      <w:r w:rsidR="00550BBC">
        <w:rPr>
          <w:rFonts w:ascii="Arial" w:hAnsi="Arial" w:cs="Arial"/>
          <w:sz w:val="20"/>
          <w:szCs w:val="20"/>
        </w:rPr>
        <w:t xml:space="preserve"> </w:t>
      </w:r>
    </w:p>
    <w:p w:rsidR="00D91752" w:rsidRDefault="00D91752" w:rsidP="00300037">
      <w:pPr>
        <w:spacing w:line="269" w:lineRule="auto"/>
        <w:jc w:val="both"/>
        <w:rPr>
          <w:rFonts w:ascii="Arial" w:hAnsi="Arial" w:cs="Arial"/>
          <w:sz w:val="20"/>
          <w:szCs w:val="20"/>
        </w:rPr>
      </w:pPr>
    </w:p>
    <w:p w:rsidR="00BC6217" w:rsidRPr="00740788" w:rsidRDefault="00550BBC" w:rsidP="00300037">
      <w:pPr>
        <w:spacing w:line="269" w:lineRule="auto"/>
        <w:jc w:val="both"/>
        <w:rPr>
          <w:rFonts w:ascii="Arial" w:hAnsi="Arial" w:cs="Arial"/>
          <w:sz w:val="20"/>
          <w:szCs w:val="20"/>
        </w:rPr>
      </w:pPr>
      <w:r>
        <w:rPr>
          <w:rFonts w:ascii="Arial" w:hAnsi="Arial" w:cs="Arial"/>
          <w:sz w:val="20"/>
          <w:szCs w:val="20"/>
        </w:rPr>
        <w:t xml:space="preserve">If ministers are to follow the NTC recommendations, it is </w:t>
      </w:r>
      <w:r w:rsidR="00CD3EE7">
        <w:rPr>
          <w:rFonts w:ascii="Arial" w:hAnsi="Arial" w:cs="Arial"/>
          <w:sz w:val="20"/>
          <w:szCs w:val="20"/>
        </w:rPr>
        <w:t>our view</w:t>
      </w:r>
      <w:r>
        <w:rPr>
          <w:rFonts w:ascii="Arial" w:hAnsi="Arial" w:cs="Arial"/>
          <w:sz w:val="20"/>
          <w:szCs w:val="20"/>
        </w:rPr>
        <w:t xml:space="preserve"> </w:t>
      </w:r>
      <w:r w:rsidR="00932BC4">
        <w:rPr>
          <w:rFonts w:ascii="Arial" w:hAnsi="Arial" w:cs="Arial"/>
          <w:sz w:val="20"/>
          <w:szCs w:val="20"/>
        </w:rPr>
        <w:t>these</w:t>
      </w:r>
      <w:r>
        <w:rPr>
          <w:rFonts w:ascii="Arial" w:hAnsi="Arial" w:cs="Arial"/>
          <w:sz w:val="20"/>
          <w:szCs w:val="20"/>
        </w:rPr>
        <w:t xml:space="preserve"> proposals will </w:t>
      </w:r>
      <w:r w:rsidR="00932BC4">
        <w:rPr>
          <w:rFonts w:ascii="Arial" w:hAnsi="Arial" w:cs="Arial"/>
          <w:sz w:val="20"/>
          <w:szCs w:val="20"/>
        </w:rPr>
        <w:t xml:space="preserve">not </w:t>
      </w:r>
      <w:r w:rsidR="00CD3EE7">
        <w:rPr>
          <w:rFonts w:ascii="Arial" w:hAnsi="Arial" w:cs="Arial"/>
          <w:sz w:val="20"/>
          <w:szCs w:val="20"/>
        </w:rPr>
        <w:t>deliver the</w:t>
      </w:r>
      <w:r w:rsidR="00932BC4">
        <w:rPr>
          <w:rFonts w:ascii="Arial" w:hAnsi="Arial" w:cs="Arial"/>
          <w:sz w:val="20"/>
          <w:szCs w:val="20"/>
        </w:rPr>
        <w:t xml:space="preserve"> </w:t>
      </w:r>
      <w:r>
        <w:rPr>
          <w:rFonts w:ascii="Arial" w:hAnsi="Arial" w:cs="Arial"/>
          <w:sz w:val="20"/>
          <w:szCs w:val="20"/>
        </w:rPr>
        <w:t xml:space="preserve">safety </w:t>
      </w:r>
      <w:r w:rsidR="00932BC4">
        <w:rPr>
          <w:rFonts w:ascii="Arial" w:hAnsi="Arial" w:cs="Arial"/>
          <w:sz w:val="20"/>
          <w:szCs w:val="20"/>
        </w:rPr>
        <w:t xml:space="preserve">and other productivity outcomes ministers desire. </w:t>
      </w:r>
    </w:p>
    <w:p w:rsidR="00062FCC" w:rsidRPr="00740788" w:rsidRDefault="00062FCC" w:rsidP="00300037">
      <w:pPr>
        <w:spacing w:line="269" w:lineRule="auto"/>
        <w:jc w:val="both"/>
        <w:rPr>
          <w:rFonts w:ascii="Arial" w:hAnsi="Arial" w:cs="Arial"/>
          <w:sz w:val="20"/>
          <w:szCs w:val="20"/>
        </w:rPr>
      </w:pPr>
    </w:p>
    <w:p w:rsidR="00443877" w:rsidRDefault="00443877" w:rsidP="00443877">
      <w:pPr>
        <w:spacing w:line="269" w:lineRule="auto"/>
        <w:jc w:val="both"/>
        <w:rPr>
          <w:rFonts w:ascii="Arial" w:hAnsi="Arial" w:cs="Arial"/>
          <w:sz w:val="20"/>
          <w:szCs w:val="20"/>
        </w:rPr>
      </w:pPr>
      <w:r w:rsidRPr="00740788">
        <w:rPr>
          <w:rFonts w:ascii="Arial" w:hAnsi="Arial" w:cs="Arial"/>
          <w:sz w:val="20"/>
          <w:szCs w:val="20"/>
        </w:rPr>
        <w:t>The PayGo cost allocation approach is not fatally flawed</w:t>
      </w:r>
      <w:r w:rsidR="00CD6715">
        <w:rPr>
          <w:rFonts w:ascii="Arial" w:hAnsi="Arial" w:cs="Arial"/>
          <w:sz w:val="20"/>
          <w:szCs w:val="20"/>
        </w:rPr>
        <w:t>.</w:t>
      </w:r>
      <w:r w:rsidRPr="00740788">
        <w:rPr>
          <w:rFonts w:ascii="Arial" w:hAnsi="Arial" w:cs="Arial"/>
          <w:sz w:val="20"/>
          <w:szCs w:val="20"/>
        </w:rPr>
        <w:t xml:space="preserve"> We acknowledge there are aspects where further debate with industry will improve the robustness, for example, the treatment of weathering effects.</w:t>
      </w:r>
    </w:p>
    <w:p w:rsidR="00443877" w:rsidRDefault="00443877" w:rsidP="00443877">
      <w:pPr>
        <w:spacing w:line="269" w:lineRule="auto"/>
        <w:jc w:val="both"/>
        <w:rPr>
          <w:rFonts w:ascii="Arial" w:hAnsi="Arial" w:cs="Arial"/>
          <w:sz w:val="20"/>
          <w:szCs w:val="20"/>
        </w:rPr>
      </w:pPr>
    </w:p>
    <w:p w:rsidR="000969DD" w:rsidRDefault="000969DD">
      <w:pPr>
        <w:spacing w:after="200" w:line="276" w:lineRule="auto"/>
        <w:rPr>
          <w:rFonts w:ascii="Arial" w:hAnsi="Arial" w:cs="Arial"/>
          <w:sz w:val="20"/>
          <w:szCs w:val="20"/>
        </w:rPr>
      </w:pPr>
      <w:r>
        <w:rPr>
          <w:rFonts w:ascii="Arial" w:hAnsi="Arial" w:cs="Arial"/>
          <w:sz w:val="20"/>
          <w:szCs w:val="20"/>
        </w:rPr>
        <w:br w:type="page"/>
      </w:r>
    </w:p>
    <w:p w:rsidR="00062FCC" w:rsidRPr="00740788" w:rsidRDefault="00062FCC" w:rsidP="00300037">
      <w:pPr>
        <w:spacing w:line="269" w:lineRule="auto"/>
        <w:jc w:val="both"/>
        <w:rPr>
          <w:rFonts w:ascii="Arial" w:hAnsi="Arial" w:cs="Arial"/>
          <w:sz w:val="20"/>
          <w:szCs w:val="20"/>
        </w:rPr>
      </w:pPr>
      <w:r w:rsidRPr="00740788">
        <w:rPr>
          <w:rFonts w:ascii="Arial" w:hAnsi="Arial" w:cs="Arial"/>
          <w:sz w:val="20"/>
          <w:szCs w:val="20"/>
        </w:rPr>
        <w:lastRenderedPageBreak/>
        <w:t xml:space="preserve">Some states have opted out of the national charges to continue to support the positive </w:t>
      </w:r>
      <w:r w:rsidR="00A96823" w:rsidRPr="00740788">
        <w:rPr>
          <w:rFonts w:ascii="Arial" w:hAnsi="Arial" w:cs="Arial"/>
          <w:sz w:val="20"/>
          <w:szCs w:val="20"/>
        </w:rPr>
        <w:t>effects</w:t>
      </w:r>
      <w:r w:rsidRPr="00740788">
        <w:rPr>
          <w:rFonts w:ascii="Arial" w:hAnsi="Arial" w:cs="Arial"/>
          <w:sz w:val="20"/>
          <w:szCs w:val="20"/>
        </w:rPr>
        <w:t xml:space="preserve"> of B-doubles and B-triples</w:t>
      </w:r>
      <w:r w:rsidR="00CD6715">
        <w:rPr>
          <w:rFonts w:ascii="Arial" w:hAnsi="Arial" w:cs="Arial"/>
          <w:sz w:val="20"/>
          <w:szCs w:val="20"/>
        </w:rPr>
        <w:t>, in an effort to assist operators to be safer and more productive.</w:t>
      </w:r>
      <w:r w:rsidRPr="00740788">
        <w:rPr>
          <w:rFonts w:ascii="Arial" w:hAnsi="Arial" w:cs="Arial"/>
          <w:sz w:val="20"/>
          <w:szCs w:val="20"/>
        </w:rPr>
        <w:t xml:space="preserve"> The ATA supports any state that wishes to keep A-trailers at semi-trailer levels, as Western Australia has. We </w:t>
      </w:r>
      <w:r w:rsidR="005B3A20" w:rsidRPr="00740788">
        <w:rPr>
          <w:rFonts w:ascii="Arial" w:hAnsi="Arial" w:cs="Arial"/>
          <w:sz w:val="20"/>
          <w:szCs w:val="20"/>
        </w:rPr>
        <w:t xml:space="preserve">fully </w:t>
      </w:r>
      <w:r w:rsidRPr="00740788">
        <w:rPr>
          <w:rFonts w:ascii="Arial" w:hAnsi="Arial" w:cs="Arial"/>
          <w:sz w:val="20"/>
          <w:szCs w:val="20"/>
        </w:rPr>
        <w:t xml:space="preserve">support the South Australian </w:t>
      </w:r>
      <w:r w:rsidR="00F83170" w:rsidRPr="00740788">
        <w:rPr>
          <w:rFonts w:ascii="Arial" w:hAnsi="Arial" w:cs="Arial"/>
          <w:sz w:val="20"/>
          <w:szCs w:val="20"/>
        </w:rPr>
        <w:t>Minister’s public</w:t>
      </w:r>
      <w:r w:rsidRPr="00740788">
        <w:rPr>
          <w:rFonts w:ascii="Arial" w:hAnsi="Arial" w:cs="Arial"/>
          <w:sz w:val="20"/>
          <w:szCs w:val="20"/>
        </w:rPr>
        <w:t xml:space="preserve"> statements </w:t>
      </w:r>
      <w:r w:rsidR="009165C9" w:rsidRPr="00740788">
        <w:rPr>
          <w:rFonts w:ascii="Arial" w:hAnsi="Arial" w:cs="Arial"/>
          <w:sz w:val="20"/>
          <w:szCs w:val="20"/>
        </w:rPr>
        <w:t>which indicate</w:t>
      </w:r>
      <w:r w:rsidRPr="00740788">
        <w:rPr>
          <w:rFonts w:ascii="Arial" w:hAnsi="Arial" w:cs="Arial"/>
          <w:sz w:val="20"/>
          <w:szCs w:val="20"/>
        </w:rPr>
        <w:t xml:space="preserve"> he seeks to reduce A-trailer charges to semi-trailer levels</w:t>
      </w:r>
      <w:r w:rsidR="005B3A20" w:rsidRPr="00740788">
        <w:rPr>
          <w:rFonts w:ascii="Arial" w:hAnsi="Arial" w:cs="Arial"/>
          <w:sz w:val="20"/>
          <w:szCs w:val="20"/>
        </w:rPr>
        <w:t>, thus</w:t>
      </w:r>
      <w:r w:rsidRPr="00740788">
        <w:rPr>
          <w:rFonts w:ascii="Arial" w:hAnsi="Arial" w:cs="Arial"/>
          <w:sz w:val="20"/>
          <w:szCs w:val="20"/>
        </w:rPr>
        <w:t xml:space="preserve"> ensur</w:t>
      </w:r>
      <w:r w:rsidR="005B3A20" w:rsidRPr="00740788">
        <w:rPr>
          <w:rFonts w:ascii="Arial" w:hAnsi="Arial" w:cs="Arial"/>
          <w:sz w:val="20"/>
          <w:szCs w:val="20"/>
        </w:rPr>
        <w:t>ing</w:t>
      </w:r>
      <w:r w:rsidRPr="00740788">
        <w:rPr>
          <w:rFonts w:ascii="Arial" w:hAnsi="Arial" w:cs="Arial"/>
          <w:sz w:val="20"/>
          <w:szCs w:val="20"/>
        </w:rPr>
        <w:t xml:space="preserve"> operators cho</w:t>
      </w:r>
      <w:r w:rsidR="005B3A20" w:rsidRPr="00740788">
        <w:rPr>
          <w:rFonts w:ascii="Arial" w:hAnsi="Arial" w:cs="Arial"/>
          <w:sz w:val="20"/>
          <w:szCs w:val="20"/>
        </w:rPr>
        <w:t>o</w:t>
      </w:r>
      <w:r w:rsidRPr="00740788">
        <w:rPr>
          <w:rFonts w:ascii="Arial" w:hAnsi="Arial" w:cs="Arial"/>
          <w:sz w:val="20"/>
          <w:szCs w:val="20"/>
        </w:rPr>
        <w:t>se safer, more productive, less wearing and environmentally friendlier combinations.</w:t>
      </w:r>
    </w:p>
    <w:p w:rsidR="00062FCC" w:rsidRPr="00740788" w:rsidRDefault="00062FCC" w:rsidP="00300037">
      <w:pPr>
        <w:spacing w:line="269" w:lineRule="auto"/>
        <w:jc w:val="both"/>
        <w:rPr>
          <w:rFonts w:ascii="Arial" w:hAnsi="Arial" w:cs="Arial"/>
          <w:sz w:val="20"/>
          <w:szCs w:val="20"/>
        </w:rPr>
      </w:pPr>
    </w:p>
    <w:p w:rsidR="00203FCD" w:rsidRPr="00740788" w:rsidRDefault="00203FCD" w:rsidP="00300037">
      <w:pPr>
        <w:spacing w:line="269" w:lineRule="auto"/>
        <w:jc w:val="both"/>
        <w:rPr>
          <w:rFonts w:ascii="Arial" w:hAnsi="Arial" w:cs="Arial"/>
          <w:sz w:val="20"/>
          <w:szCs w:val="20"/>
          <w:u w:val="single"/>
        </w:rPr>
      </w:pPr>
      <w:r w:rsidRPr="00740788">
        <w:rPr>
          <w:rFonts w:ascii="Arial" w:hAnsi="Arial" w:cs="Arial"/>
          <w:sz w:val="20"/>
          <w:szCs w:val="20"/>
          <w:u w:val="single"/>
        </w:rPr>
        <w:t>Safety concerns</w:t>
      </w:r>
    </w:p>
    <w:p w:rsidR="00203FCD" w:rsidRPr="00740788" w:rsidRDefault="00203FCD" w:rsidP="00300037">
      <w:pPr>
        <w:spacing w:line="269" w:lineRule="auto"/>
        <w:jc w:val="both"/>
        <w:rPr>
          <w:rFonts w:ascii="Arial" w:hAnsi="Arial" w:cs="Arial"/>
          <w:sz w:val="20"/>
          <w:szCs w:val="20"/>
          <w:u w:val="single"/>
        </w:rPr>
      </w:pPr>
    </w:p>
    <w:p w:rsidR="00203FCD" w:rsidRPr="00740788" w:rsidRDefault="00203FCD" w:rsidP="00300037">
      <w:pPr>
        <w:spacing w:line="269" w:lineRule="auto"/>
        <w:jc w:val="both"/>
        <w:rPr>
          <w:rFonts w:ascii="Arial" w:hAnsi="Arial" w:cs="Arial"/>
          <w:i/>
          <w:sz w:val="20"/>
          <w:szCs w:val="20"/>
        </w:rPr>
      </w:pPr>
      <w:r w:rsidRPr="00740788">
        <w:rPr>
          <w:rFonts w:ascii="Arial" w:hAnsi="Arial" w:cs="Arial"/>
          <w:sz w:val="20"/>
          <w:szCs w:val="20"/>
        </w:rPr>
        <w:t>The safety benefits of</w:t>
      </w:r>
      <w:r w:rsidR="00A96823" w:rsidRPr="00740788">
        <w:rPr>
          <w:rFonts w:ascii="Arial" w:hAnsi="Arial" w:cs="Arial"/>
          <w:sz w:val="20"/>
          <w:szCs w:val="20"/>
        </w:rPr>
        <w:t xml:space="preserve"> high productivity freight vehicles such as</w:t>
      </w:r>
      <w:r w:rsidRPr="00740788">
        <w:rPr>
          <w:rFonts w:ascii="Arial" w:hAnsi="Arial" w:cs="Arial"/>
          <w:sz w:val="20"/>
          <w:szCs w:val="20"/>
        </w:rPr>
        <w:t xml:space="preserve"> B-doubles</w:t>
      </w:r>
      <w:r w:rsidR="00A96823" w:rsidRPr="00740788">
        <w:rPr>
          <w:rFonts w:ascii="Arial" w:hAnsi="Arial" w:cs="Arial"/>
          <w:sz w:val="20"/>
          <w:szCs w:val="20"/>
        </w:rPr>
        <w:t xml:space="preserve"> and B-triples</w:t>
      </w:r>
      <w:r w:rsidRPr="00740788">
        <w:rPr>
          <w:rFonts w:ascii="Arial" w:hAnsi="Arial" w:cs="Arial"/>
          <w:sz w:val="20"/>
          <w:szCs w:val="20"/>
        </w:rPr>
        <w:t xml:space="preserve"> </w:t>
      </w:r>
      <w:r w:rsidR="009165C9" w:rsidRPr="00740788">
        <w:rPr>
          <w:rFonts w:ascii="Arial" w:hAnsi="Arial" w:cs="Arial"/>
          <w:sz w:val="20"/>
          <w:szCs w:val="20"/>
        </w:rPr>
        <w:t>are</w:t>
      </w:r>
      <w:r w:rsidRPr="00740788">
        <w:rPr>
          <w:rFonts w:ascii="Arial" w:hAnsi="Arial" w:cs="Arial"/>
          <w:sz w:val="20"/>
          <w:szCs w:val="20"/>
        </w:rPr>
        <w:t xml:space="preserve"> </w:t>
      </w:r>
      <w:r w:rsidR="009165C9" w:rsidRPr="00740788">
        <w:rPr>
          <w:rFonts w:ascii="Arial" w:hAnsi="Arial" w:cs="Arial"/>
          <w:sz w:val="20"/>
          <w:szCs w:val="20"/>
        </w:rPr>
        <w:t>well-known</w:t>
      </w:r>
      <w:r w:rsidR="00536CAD">
        <w:rPr>
          <w:rFonts w:ascii="Arial" w:hAnsi="Arial" w:cs="Arial"/>
          <w:sz w:val="20"/>
          <w:szCs w:val="20"/>
        </w:rPr>
        <w:t>;</w:t>
      </w:r>
      <w:r w:rsidRPr="00740788">
        <w:rPr>
          <w:rFonts w:ascii="Arial" w:hAnsi="Arial" w:cs="Arial"/>
          <w:sz w:val="20"/>
          <w:szCs w:val="20"/>
        </w:rPr>
        <w:t xml:space="preserve"> improved stability, better </w:t>
      </w:r>
      <w:r w:rsidR="00536CAD" w:rsidRPr="00740788">
        <w:rPr>
          <w:rFonts w:ascii="Arial" w:hAnsi="Arial" w:cs="Arial"/>
          <w:sz w:val="20"/>
          <w:szCs w:val="20"/>
        </w:rPr>
        <w:t>competency</w:t>
      </w:r>
      <w:r w:rsidRPr="00740788">
        <w:rPr>
          <w:rFonts w:ascii="Arial" w:hAnsi="Arial" w:cs="Arial"/>
          <w:sz w:val="20"/>
          <w:szCs w:val="20"/>
        </w:rPr>
        <w:t xml:space="preserve"> on the road and completing the freight task in </w:t>
      </w:r>
      <w:r w:rsidR="00107B06" w:rsidRPr="00740788">
        <w:rPr>
          <w:rFonts w:ascii="Arial" w:hAnsi="Arial" w:cs="Arial"/>
          <w:sz w:val="20"/>
          <w:szCs w:val="20"/>
        </w:rPr>
        <w:t>fewer</w:t>
      </w:r>
      <w:r w:rsidRPr="00740788">
        <w:rPr>
          <w:rFonts w:ascii="Arial" w:hAnsi="Arial" w:cs="Arial"/>
          <w:sz w:val="20"/>
          <w:szCs w:val="20"/>
        </w:rPr>
        <w:t xml:space="preserve"> trips, </w:t>
      </w:r>
      <w:r w:rsidR="005B3A20" w:rsidRPr="00740788">
        <w:rPr>
          <w:rFonts w:ascii="Arial" w:hAnsi="Arial" w:cs="Arial"/>
          <w:sz w:val="20"/>
          <w:szCs w:val="20"/>
        </w:rPr>
        <w:t xml:space="preserve">thereby </w:t>
      </w:r>
      <w:r w:rsidRPr="00740788">
        <w:rPr>
          <w:rFonts w:ascii="Arial" w:hAnsi="Arial" w:cs="Arial"/>
          <w:sz w:val="20"/>
          <w:szCs w:val="20"/>
        </w:rPr>
        <w:t>lowering the risk of accident.</w:t>
      </w:r>
    </w:p>
    <w:p w:rsidR="002E0FF1" w:rsidRPr="00740788" w:rsidRDefault="002E0FF1" w:rsidP="00300037">
      <w:pPr>
        <w:spacing w:line="269" w:lineRule="auto"/>
        <w:jc w:val="both"/>
        <w:rPr>
          <w:rFonts w:ascii="Arial" w:hAnsi="Arial" w:cs="Arial"/>
          <w:sz w:val="20"/>
          <w:szCs w:val="20"/>
        </w:rPr>
      </w:pPr>
    </w:p>
    <w:p w:rsidR="00643A2A"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Research has shown that the introduction of B-doubles saved more than 350 lives between 1990 and 2003. The number of crashes caused by B-doubles between those times showed that B-doubles were involved in 2 fatal crashes compared to 329 fatal crashes caused by single articulated vehicles over the same period</w:t>
      </w:r>
      <w:r w:rsidRPr="00740788">
        <w:rPr>
          <w:rStyle w:val="FootnoteReference"/>
          <w:rFonts w:ascii="Arial" w:hAnsi="Arial" w:cs="Arial"/>
          <w:sz w:val="20"/>
          <w:szCs w:val="20"/>
        </w:rPr>
        <w:footnoteReference w:id="1"/>
      </w:r>
      <w:r w:rsidRPr="00740788">
        <w:rPr>
          <w:rFonts w:ascii="Arial" w:hAnsi="Arial" w:cs="Arial"/>
          <w:sz w:val="20"/>
          <w:szCs w:val="20"/>
        </w:rPr>
        <w:t>.</w:t>
      </w:r>
    </w:p>
    <w:p w:rsidR="00A5651B" w:rsidRPr="00740788" w:rsidRDefault="00A5651B" w:rsidP="00300037">
      <w:pPr>
        <w:spacing w:line="269" w:lineRule="auto"/>
        <w:jc w:val="both"/>
        <w:rPr>
          <w:rFonts w:ascii="Arial" w:hAnsi="Arial" w:cs="Arial"/>
          <w:sz w:val="20"/>
          <w:szCs w:val="20"/>
        </w:rPr>
      </w:pPr>
    </w:p>
    <w:p w:rsidR="00AA3E5F" w:rsidRDefault="00A5651B" w:rsidP="00300037">
      <w:pPr>
        <w:spacing w:line="269" w:lineRule="auto"/>
        <w:jc w:val="both"/>
        <w:rPr>
          <w:rFonts w:ascii="Arial" w:hAnsi="Arial" w:cs="Arial"/>
          <w:sz w:val="20"/>
          <w:szCs w:val="20"/>
        </w:rPr>
      </w:pPr>
      <w:r w:rsidRPr="00740788">
        <w:rPr>
          <w:rFonts w:ascii="Arial" w:hAnsi="Arial" w:cs="Arial"/>
          <w:sz w:val="20"/>
          <w:szCs w:val="20"/>
        </w:rPr>
        <w:t>We have modelled the effects of a 25% decrease in the use of B-doubl</w:t>
      </w:r>
      <w:r w:rsidR="00EC7924" w:rsidRPr="00740788">
        <w:rPr>
          <w:rFonts w:ascii="Arial" w:hAnsi="Arial" w:cs="Arial"/>
          <w:sz w:val="20"/>
          <w:szCs w:val="20"/>
        </w:rPr>
        <w:t>es</w:t>
      </w:r>
      <w:r w:rsidR="00AA3E5F" w:rsidRPr="00740788">
        <w:rPr>
          <w:rFonts w:ascii="Arial" w:hAnsi="Arial" w:cs="Arial"/>
          <w:sz w:val="20"/>
          <w:szCs w:val="20"/>
        </w:rPr>
        <w:t xml:space="preserve"> and ministers have every right to be concerned about the safety impacts. </w:t>
      </w:r>
    </w:p>
    <w:p w:rsidR="00CD6715" w:rsidRDefault="00CD6715" w:rsidP="00300037">
      <w:pPr>
        <w:spacing w:line="269" w:lineRule="auto"/>
        <w:jc w:val="both"/>
        <w:rPr>
          <w:rFonts w:ascii="Arial" w:hAnsi="Arial" w:cs="Arial"/>
          <w:sz w:val="20"/>
          <w:szCs w:val="20"/>
        </w:rPr>
      </w:pPr>
    </w:p>
    <w:p w:rsidR="00A96823" w:rsidRPr="00740788" w:rsidRDefault="002E0FF1" w:rsidP="00300037">
      <w:pPr>
        <w:spacing w:line="269" w:lineRule="auto"/>
        <w:jc w:val="both"/>
        <w:rPr>
          <w:rFonts w:ascii="Arial" w:hAnsi="Arial" w:cs="Arial"/>
          <w:i/>
          <w:sz w:val="20"/>
          <w:szCs w:val="20"/>
        </w:rPr>
      </w:pPr>
      <w:r w:rsidRPr="00740788">
        <w:rPr>
          <w:rFonts w:ascii="Arial" w:hAnsi="Arial" w:cs="Arial"/>
          <w:sz w:val="20"/>
          <w:szCs w:val="20"/>
        </w:rPr>
        <w:t xml:space="preserve">A report published in the 2004 by the Commercial Vehicle Industry Association of Queensland and </w:t>
      </w:r>
      <w:r w:rsidR="009165C9" w:rsidRPr="00740788">
        <w:rPr>
          <w:rFonts w:ascii="Arial" w:hAnsi="Arial" w:cs="Arial"/>
          <w:sz w:val="20"/>
          <w:szCs w:val="20"/>
        </w:rPr>
        <w:t xml:space="preserve">the </w:t>
      </w:r>
      <w:r w:rsidRPr="00740788">
        <w:rPr>
          <w:rFonts w:ascii="Arial" w:hAnsi="Arial" w:cs="Arial"/>
          <w:sz w:val="20"/>
          <w:szCs w:val="20"/>
        </w:rPr>
        <w:t>Truck Industry Council</w:t>
      </w:r>
      <w:r w:rsidR="00CD6715">
        <w:rPr>
          <w:rFonts w:ascii="Arial" w:hAnsi="Arial" w:cs="Arial"/>
          <w:sz w:val="20"/>
          <w:szCs w:val="20"/>
        </w:rPr>
        <w:t xml:space="preserve"> states</w:t>
      </w:r>
      <w:r w:rsidRPr="00740788">
        <w:rPr>
          <w:rFonts w:ascii="Arial" w:hAnsi="Arial" w:cs="Arial"/>
          <w:sz w:val="20"/>
          <w:szCs w:val="20"/>
        </w:rPr>
        <w:t>:</w:t>
      </w:r>
    </w:p>
    <w:p w:rsidR="00A96823" w:rsidRPr="00740788" w:rsidRDefault="00A96823" w:rsidP="00300037">
      <w:pPr>
        <w:spacing w:line="269" w:lineRule="auto"/>
        <w:jc w:val="both"/>
        <w:rPr>
          <w:rFonts w:ascii="Arial" w:hAnsi="Arial" w:cs="Arial"/>
          <w:i/>
          <w:sz w:val="20"/>
          <w:szCs w:val="20"/>
        </w:rPr>
      </w:pPr>
    </w:p>
    <w:p w:rsidR="002E0FF1" w:rsidRPr="00CD6715" w:rsidRDefault="002E0FF1" w:rsidP="00300037">
      <w:pPr>
        <w:spacing w:line="269" w:lineRule="auto"/>
        <w:ind w:left="720"/>
        <w:jc w:val="both"/>
        <w:rPr>
          <w:rFonts w:ascii="Arial" w:hAnsi="Arial" w:cs="Arial"/>
          <w:i/>
          <w:sz w:val="20"/>
          <w:szCs w:val="20"/>
        </w:rPr>
      </w:pPr>
      <w:r w:rsidRPr="00CD6715">
        <w:rPr>
          <w:rFonts w:ascii="Arial" w:hAnsi="Arial" w:cs="Arial"/>
          <w:i/>
          <w:sz w:val="20"/>
          <w:szCs w:val="20"/>
        </w:rPr>
        <w:t>Road safety is directly related to the number of trucks, the total travel by trucks and to the type of trucks, with B-doubles showing superior safety and contributing to less travel due to higher payloads. Any action or lack of action, that inhibits change from single articulated vehicles to B-doubles, or contributes to B-doubles becoming unviable, will certainly lead to lesser safety outcomes</w:t>
      </w:r>
      <w:r w:rsidRPr="00CD6715">
        <w:rPr>
          <w:rStyle w:val="FootnoteReference"/>
          <w:rFonts w:ascii="Arial" w:hAnsi="Arial" w:cs="Arial"/>
          <w:i/>
          <w:sz w:val="20"/>
          <w:szCs w:val="20"/>
        </w:rPr>
        <w:footnoteReference w:id="2"/>
      </w:r>
      <w:r w:rsidRPr="00CD6715">
        <w:rPr>
          <w:rFonts w:ascii="Arial" w:hAnsi="Arial" w:cs="Arial"/>
          <w:i/>
          <w:sz w:val="20"/>
          <w:szCs w:val="20"/>
        </w:rPr>
        <w:t>.</w:t>
      </w:r>
    </w:p>
    <w:p w:rsidR="002E0FF1" w:rsidRPr="00740788" w:rsidRDefault="002E0FF1" w:rsidP="00300037">
      <w:pPr>
        <w:spacing w:line="269" w:lineRule="auto"/>
        <w:jc w:val="both"/>
        <w:rPr>
          <w:rFonts w:ascii="Arial" w:hAnsi="Arial" w:cs="Arial"/>
          <w:i/>
          <w:sz w:val="20"/>
          <w:szCs w:val="20"/>
        </w:rPr>
      </w:pPr>
    </w:p>
    <w:p w:rsidR="002E0FF1"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The reduced exposure due to fewer trucks being needed to do the same task is one of the most tangible benefits of B-doubles, with a reduction in accidents due to the safer nature of</w:t>
      </w:r>
      <w:r w:rsidR="00A96823" w:rsidRPr="00740788">
        <w:rPr>
          <w:rFonts w:ascii="Arial" w:hAnsi="Arial" w:cs="Arial"/>
          <w:sz w:val="20"/>
          <w:szCs w:val="20"/>
        </w:rPr>
        <w:t xml:space="preserve"> high productivity freight vehicles</w:t>
      </w:r>
      <w:r w:rsidRPr="00740788">
        <w:rPr>
          <w:rFonts w:ascii="Arial" w:hAnsi="Arial" w:cs="Arial"/>
          <w:sz w:val="20"/>
          <w:szCs w:val="20"/>
        </w:rPr>
        <w:t xml:space="preserve"> B-doubles </w:t>
      </w:r>
      <w:r w:rsidR="009165C9" w:rsidRPr="00740788">
        <w:rPr>
          <w:rFonts w:ascii="Arial" w:hAnsi="Arial" w:cs="Arial"/>
          <w:sz w:val="20"/>
          <w:szCs w:val="20"/>
        </w:rPr>
        <w:t>and the</w:t>
      </w:r>
      <w:r w:rsidRPr="00740788">
        <w:rPr>
          <w:rFonts w:ascii="Arial" w:hAnsi="Arial" w:cs="Arial"/>
          <w:sz w:val="20"/>
          <w:szCs w:val="20"/>
        </w:rPr>
        <w:t xml:space="preserve"> fact that minimising the amount of </w:t>
      </w:r>
      <w:r w:rsidR="00A96823" w:rsidRPr="00740788">
        <w:rPr>
          <w:rFonts w:ascii="Arial" w:hAnsi="Arial" w:cs="Arial"/>
          <w:sz w:val="20"/>
          <w:szCs w:val="20"/>
        </w:rPr>
        <w:t xml:space="preserve">these combinations road freight </w:t>
      </w:r>
      <w:r w:rsidRPr="00740788">
        <w:rPr>
          <w:rFonts w:ascii="Arial" w:hAnsi="Arial" w:cs="Arial"/>
          <w:sz w:val="20"/>
          <w:szCs w:val="20"/>
        </w:rPr>
        <w:t>reduces the number of incidents.</w:t>
      </w:r>
    </w:p>
    <w:p w:rsidR="002E0FF1" w:rsidRPr="00740788" w:rsidRDefault="002E0FF1" w:rsidP="00300037">
      <w:pPr>
        <w:spacing w:line="269" w:lineRule="auto"/>
        <w:jc w:val="both"/>
        <w:rPr>
          <w:rFonts w:ascii="Arial" w:hAnsi="Arial" w:cs="Arial"/>
          <w:sz w:val="20"/>
          <w:szCs w:val="20"/>
        </w:rPr>
      </w:pPr>
    </w:p>
    <w:p w:rsidR="002E0FF1" w:rsidRPr="00740788" w:rsidRDefault="001751C5" w:rsidP="00300037">
      <w:pPr>
        <w:spacing w:line="269" w:lineRule="auto"/>
        <w:jc w:val="both"/>
        <w:rPr>
          <w:rFonts w:ascii="Arial" w:hAnsi="Arial" w:cs="Arial"/>
          <w:sz w:val="20"/>
          <w:szCs w:val="20"/>
        </w:rPr>
      </w:pPr>
      <w:r w:rsidRPr="00740788">
        <w:rPr>
          <w:rFonts w:ascii="Arial" w:hAnsi="Arial" w:cs="Arial"/>
          <w:sz w:val="20"/>
          <w:szCs w:val="20"/>
        </w:rPr>
        <w:t>National Transport Insurance (</w:t>
      </w:r>
      <w:r w:rsidR="002E0FF1" w:rsidRPr="00740788">
        <w:rPr>
          <w:rFonts w:ascii="Arial" w:hAnsi="Arial" w:cs="Arial"/>
          <w:sz w:val="20"/>
          <w:szCs w:val="20"/>
        </w:rPr>
        <w:t>NTI</w:t>
      </w:r>
      <w:r w:rsidRPr="00740788">
        <w:rPr>
          <w:rFonts w:ascii="Arial" w:hAnsi="Arial" w:cs="Arial"/>
          <w:sz w:val="20"/>
          <w:szCs w:val="20"/>
        </w:rPr>
        <w:t>)</w:t>
      </w:r>
      <w:r w:rsidR="002E0FF1" w:rsidRPr="00740788">
        <w:rPr>
          <w:rFonts w:ascii="Arial" w:hAnsi="Arial" w:cs="Arial"/>
          <w:sz w:val="20"/>
          <w:szCs w:val="20"/>
        </w:rPr>
        <w:t xml:space="preserve"> (2011 Major Accident Investigation Report) has compiled comprehensive evidence that the safest configuration in terms of accidents is the B-double.</w:t>
      </w:r>
      <w:r w:rsidRPr="00740788">
        <w:rPr>
          <w:rFonts w:ascii="Arial" w:hAnsi="Arial" w:cs="Arial"/>
          <w:sz w:val="20"/>
          <w:szCs w:val="20"/>
        </w:rPr>
        <w:t xml:space="preserve"> They state</w:t>
      </w:r>
      <w:r w:rsidR="002E0FF1" w:rsidRPr="00740788">
        <w:rPr>
          <w:rFonts w:ascii="Arial" w:hAnsi="Arial" w:cs="Arial"/>
          <w:sz w:val="20"/>
          <w:szCs w:val="20"/>
        </w:rPr>
        <w:t xml:space="preserve"> </w:t>
      </w:r>
      <w:r w:rsidRPr="00740788">
        <w:rPr>
          <w:rFonts w:ascii="Arial" w:hAnsi="Arial" w:cs="Arial"/>
          <w:sz w:val="20"/>
          <w:szCs w:val="20"/>
        </w:rPr>
        <w:t xml:space="preserve">that </w:t>
      </w:r>
      <w:r w:rsidR="002E0FF1" w:rsidRPr="00740788">
        <w:rPr>
          <w:rFonts w:ascii="Arial" w:hAnsi="Arial" w:cs="Arial"/>
          <w:sz w:val="20"/>
          <w:szCs w:val="20"/>
        </w:rPr>
        <w:t>B-doubles are the safest vehicle</w:t>
      </w:r>
      <w:r w:rsidR="008E65FE" w:rsidRPr="00740788">
        <w:rPr>
          <w:rFonts w:ascii="Arial" w:hAnsi="Arial" w:cs="Arial"/>
          <w:sz w:val="20"/>
          <w:szCs w:val="20"/>
        </w:rPr>
        <w:t>,</w:t>
      </w:r>
      <w:r w:rsidR="002E0FF1" w:rsidRPr="00740788">
        <w:rPr>
          <w:rFonts w:ascii="Arial" w:hAnsi="Arial" w:cs="Arial"/>
          <w:sz w:val="20"/>
          <w:szCs w:val="20"/>
        </w:rPr>
        <w:t xml:space="preserve"> with </w:t>
      </w:r>
      <w:r w:rsidR="008E65FE" w:rsidRPr="00740788">
        <w:rPr>
          <w:rFonts w:ascii="Arial" w:hAnsi="Arial" w:cs="Arial"/>
          <w:sz w:val="20"/>
          <w:szCs w:val="20"/>
        </w:rPr>
        <w:t>48% of road freight being carried by these combinations</w:t>
      </w:r>
      <w:r w:rsidR="00536CAD" w:rsidRPr="00740788">
        <w:rPr>
          <w:rFonts w:ascii="Arial" w:hAnsi="Arial" w:cs="Arial"/>
          <w:sz w:val="20"/>
          <w:szCs w:val="20"/>
        </w:rPr>
        <w:t>, but</w:t>
      </w:r>
      <w:r w:rsidR="002E0FF1" w:rsidRPr="00740788">
        <w:rPr>
          <w:rFonts w:ascii="Arial" w:hAnsi="Arial" w:cs="Arial"/>
          <w:sz w:val="20"/>
          <w:szCs w:val="20"/>
        </w:rPr>
        <w:t xml:space="preserve"> being involved in just over a quarter of all accidents. Semi-trailers </w:t>
      </w:r>
      <w:r w:rsidR="008E65FE" w:rsidRPr="00740788">
        <w:rPr>
          <w:rFonts w:ascii="Arial" w:hAnsi="Arial" w:cs="Arial"/>
          <w:sz w:val="20"/>
          <w:szCs w:val="20"/>
        </w:rPr>
        <w:t xml:space="preserve">are over-represented in </w:t>
      </w:r>
      <w:r w:rsidR="00536CAD" w:rsidRPr="00740788">
        <w:rPr>
          <w:rFonts w:ascii="Arial" w:hAnsi="Arial" w:cs="Arial"/>
          <w:sz w:val="20"/>
          <w:szCs w:val="20"/>
        </w:rPr>
        <w:t>the accident</w:t>
      </w:r>
      <w:r w:rsidR="002E0FF1" w:rsidRPr="00740788">
        <w:rPr>
          <w:rFonts w:ascii="Arial" w:hAnsi="Arial" w:cs="Arial"/>
          <w:sz w:val="20"/>
          <w:szCs w:val="20"/>
        </w:rPr>
        <w:t xml:space="preserve"> statistics, representing 60.1% of accidents that occurred in 2009. The report also points out that </w:t>
      </w:r>
      <w:r w:rsidR="00536CAD">
        <w:rPr>
          <w:rFonts w:ascii="Arial" w:hAnsi="Arial" w:cs="Arial"/>
          <w:sz w:val="20"/>
          <w:szCs w:val="20"/>
        </w:rPr>
        <w:t>although the proportion of semi-</w:t>
      </w:r>
      <w:r w:rsidR="002E0FF1" w:rsidRPr="00740788">
        <w:rPr>
          <w:rFonts w:ascii="Arial" w:hAnsi="Arial" w:cs="Arial"/>
          <w:sz w:val="20"/>
          <w:szCs w:val="20"/>
        </w:rPr>
        <w:t xml:space="preserve">trailers decreased, they still </w:t>
      </w:r>
      <w:r w:rsidR="008E65FE" w:rsidRPr="00740788">
        <w:rPr>
          <w:rFonts w:ascii="Arial" w:hAnsi="Arial" w:cs="Arial"/>
          <w:sz w:val="20"/>
          <w:szCs w:val="20"/>
        </w:rPr>
        <w:t xml:space="preserve">have </w:t>
      </w:r>
      <w:r w:rsidR="002E0FF1" w:rsidRPr="00740788">
        <w:rPr>
          <w:rFonts w:ascii="Arial" w:hAnsi="Arial" w:cs="Arial"/>
          <w:sz w:val="20"/>
          <w:szCs w:val="20"/>
        </w:rPr>
        <w:t>the highest proportion of accidents.</w:t>
      </w:r>
    </w:p>
    <w:p w:rsidR="002E0FF1" w:rsidRPr="00740788" w:rsidRDefault="002E0FF1" w:rsidP="00300037">
      <w:pPr>
        <w:spacing w:line="269" w:lineRule="auto"/>
        <w:jc w:val="both"/>
        <w:rPr>
          <w:rFonts w:ascii="Arial" w:hAnsi="Arial" w:cs="Arial"/>
          <w:i/>
          <w:sz w:val="20"/>
          <w:szCs w:val="20"/>
        </w:rPr>
      </w:pPr>
    </w:p>
    <w:p w:rsidR="00AA3E5F"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The NTI reports that B-doubles are “</w:t>
      </w:r>
      <w:r w:rsidRPr="00740788">
        <w:rPr>
          <w:rFonts w:ascii="Arial" w:hAnsi="Arial" w:cs="Arial"/>
          <w:i/>
          <w:sz w:val="20"/>
          <w:szCs w:val="20"/>
        </w:rPr>
        <w:t xml:space="preserve">newer, better maintained, with experienced highly trained drivers using the best of the road network” </w:t>
      </w:r>
      <w:r w:rsidRPr="00740788">
        <w:rPr>
          <w:rFonts w:ascii="Arial" w:hAnsi="Arial" w:cs="Arial"/>
          <w:sz w:val="20"/>
          <w:szCs w:val="20"/>
        </w:rPr>
        <w:t>compared to semi-trailers</w:t>
      </w:r>
      <w:r w:rsidRPr="00740788">
        <w:rPr>
          <w:rFonts w:ascii="Arial" w:hAnsi="Arial" w:cs="Arial"/>
          <w:i/>
          <w:sz w:val="20"/>
          <w:szCs w:val="20"/>
        </w:rPr>
        <w:t>.</w:t>
      </w:r>
    </w:p>
    <w:p w:rsidR="00AA3E5F" w:rsidRPr="00740788" w:rsidRDefault="00AA3E5F" w:rsidP="00300037">
      <w:pPr>
        <w:spacing w:line="269" w:lineRule="auto"/>
        <w:jc w:val="both"/>
        <w:rPr>
          <w:rFonts w:ascii="Arial" w:hAnsi="Arial" w:cs="Arial"/>
          <w:sz w:val="20"/>
          <w:szCs w:val="20"/>
        </w:rPr>
      </w:pPr>
    </w:p>
    <w:p w:rsidR="00F10761" w:rsidRPr="00740788" w:rsidRDefault="00AA3E5F" w:rsidP="00300037">
      <w:pPr>
        <w:spacing w:line="269" w:lineRule="auto"/>
        <w:jc w:val="both"/>
        <w:rPr>
          <w:rFonts w:ascii="Arial" w:hAnsi="Arial" w:cs="Arial"/>
          <w:sz w:val="20"/>
          <w:szCs w:val="20"/>
        </w:rPr>
      </w:pPr>
      <w:r w:rsidRPr="00740788">
        <w:rPr>
          <w:rFonts w:ascii="Arial" w:hAnsi="Arial" w:cs="Arial"/>
          <w:sz w:val="20"/>
          <w:szCs w:val="20"/>
        </w:rPr>
        <w:t xml:space="preserve">Accordingly, the trend to semi-trailers and truck and dog-trailers </w:t>
      </w:r>
      <w:r w:rsidR="00583417" w:rsidRPr="00740788">
        <w:rPr>
          <w:rFonts w:ascii="Arial" w:hAnsi="Arial" w:cs="Arial"/>
          <w:sz w:val="20"/>
          <w:szCs w:val="20"/>
        </w:rPr>
        <w:t>must be a concern.</w:t>
      </w:r>
    </w:p>
    <w:p w:rsidR="00AA3E5F" w:rsidRPr="00740788" w:rsidRDefault="00AA3E5F" w:rsidP="00300037">
      <w:pPr>
        <w:spacing w:line="269" w:lineRule="auto"/>
        <w:jc w:val="both"/>
        <w:rPr>
          <w:rFonts w:ascii="Arial" w:hAnsi="Arial" w:cs="Arial"/>
          <w:b/>
          <w:sz w:val="20"/>
          <w:szCs w:val="20"/>
        </w:rPr>
      </w:pPr>
    </w:p>
    <w:p w:rsidR="002E0FF1" w:rsidRPr="00740788" w:rsidRDefault="001751C5" w:rsidP="00300037">
      <w:pPr>
        <w:spacing w:line="269" w:lineRule="auto"/>
        <w:jc w:val="both"/>
        <w:rPr>
          <w:rFonts w:ascii="Arial" w:hAnsi="Arial" w:cs="Arial"/>
          <w:sz w:val="20"/>
          <w:szCs w:val="20"/>
          <w:u w:val="single"/>
        </w:rPr>
      </w:pPr>
      <w:r w:rsidRPr="00740788">
        <w:rPr>
          <w:rFonts w:ascii="Arial" w:hAnsi="Arial" w:cs="Arial"/>
          <w:sz w:val="20"/>
          <w:szCs w:val="20"/>
          <w:u w:val="single"/>
        </w:rPr>
        <w:t>Productivity concerns</w:t>
      </w:r>
    </w:p>
    <w:p w:rsidR="002E0FF1" w:rsidRPr="00740788" w:rsidRDefault="002E0FF1" w:rsidP="00300037">
      <w:pPr>
        <w:spacing w:line="269" w:lineRule="auto"/>
        <w:jc w:val="both"/>
        <w:rPr>
          <w:rFonts w:ascii="Arial" w:hAnsi="Arial" w:cs="Arial"/>
          <w:b/>
          <w:sz w:val="20"/>
          <w:szCs w:val="20"/>
        </w:rPr>
      </w:pPr>
    </w:p>
    <w:p w:rsidR="002E0FF1" w:rsidRPr="00740788" w:rsidRDefault="00536CAD" w:rsidP="00300037">
      <w:pPr>
        <w:spacing w:line="269" w:lineRule="auto"/>
        <w:jc w:val="both"/>
        <w:rPr>
          <w:rFonts w:ascii="Arial" w:hAnsi="Arial" w:cs="Arial"/>
          <w:sz w:val="20"/>
          <w:szCs w:val="20"/>
        </w:rPr>
      </w:pPr>
      <w:r>
        <w:rPr>
          <w:rFonts w:ascii="Arial" w:hAnsi="Arial" w:cs="Arial"/>
          <w:sz w:val="20"/>
          <w:szCs w:val="20"/>
        </w:rPr>
        <w:t xml:space="preserve">The introduction of B-doubles increased the industry’s productivity hugely </w:t>
      </w:r>
      <w:r w:rsidR="00A66068">
        <w:rPr>
          <w:rFonts w:ascii="Arial" w:hAnsi="Arial" w:cs="Arial"/>
          <w:sz w:val="20"/>
          <w:szCs w:val="20"/>
        </w:rPr>
        <w:t>as did the</w:t>
      </w:r>
      <w:r>
        <w:rPr>
          <w:rFonts w:ascii="Arial" w:hAnsi="Arial" w:cs="Arial"/>
          <w:sz w:val="20"/>
          <w:szCs w:val="20"/>
        </w:rPr>
        <w:t xml:space="preserve"> relaxing of limiting regulations on vehicle mass, length, access and speed. However, in recent times productivity has dramatically decreased relatively compared to when these productivity encouraging decisions were made by Government</w:t>
      </w:r>
      <w:r w:rsidR="00443877">
        <w:rPr>
          <w:rFonts w:ascii="Arial" w:hAnsi="Arial" w:cs="Arial"/>
          <w:sz w:val="20"/>
          <w:szCs w:val="20"/>
        </w:rPr>
        <w:t xml:space="preserve"> and industry uptake of these high productivity vehicles</w:t>
      </w:r>
      <w:r>
        <w:rPr>
          <w:rFonts w:ascii="Arial" w:hAnsi="Arial" w:cs="Arial"/>
          <w:sz w:val="20"/>
          <w:szCs w:val="20"/>
        </w:rPr>
        <w:t xml:space="preserve">. </w:t>
      </w:r>
      <w:r w:rsidR="0086208D">
        <w:rPr>
          <w:rFonts w:ascii="Arial" w:hAnsi="Arial" w:cs="Arial"/>
          <w:sz w:val="20"/>
          <w:szCs w:val="20"/>
        </w:rPr>
        <w:t>A-trailers are one of the most productively innovative components of the fleet and failure to continue to increase their productivity will stall the industry</w:t>
      </w:r>
      <w:r w:rsidR="00443877">
        <w:rPr>
          <w:rFonts w:ascii="Arial" w:hAnsi="Arial" w:cs="Arial"/>
          <w:sz w:val="20"/>
          <w:szCs w:val="20"/>
        </w:rPr>
        <w:t xml:space="preserve"> and subsequently the economy. </w:t>
      </w:r>
      <w:r w:rsidR="0086208D">
        <w:rPr>
          <w:rFonts w:ascii="Arial" w:hAnsi="Arial" w:cs="Arial"/>
          <w:sz w:val="20"/>
          <w:szCs w:val="20"/>
        </w:rPr>
        <w:t xml:space="preserve"> </w:t>
      </w:r>
    </w:p>
    <w:p w:rsidR="002E0FF1"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lastRenderedPageBreak/>
        <w:t xml:space="preserve">The Department of Infrastructure and Transport published a report </w:t>
      </w:r>
      <w:r w:rsidR="001751C5" w:rsidRPr="00740788">
        <w:rPr>
          <w:rFonts w:ascii="Arial" w:hAnsi="Arial" w:cs="Arial"/>
          <w:sz w:val="20"/>
          <w:szCs w:val="20"/>
        </w:rPr>
        <w:t>in 2011</w:t>
      </w:r>
      <w:r w:rsidRPr="00740788">
        <w:rPr>
          <w:rFonts w:ascii="Arial" w:hAnsi="Arial" w:cs="Arial"/>
          <w:sz w:val="20"/>
          <w:szCs w:val="20"/>
        </w:rPr>
        <w:t xml:space="preserve"> </w:t>
      </w:r>
      <w:r w:rsidR="00081BA6" w:rsidRPr="00740788">
        <w:rPr>
          <w:rFonts w:ascii="Arial" w:hAnsi="Arial" w:cs="Arial"/>
          <w:sz w:val="20"/>
          <w:szCs w:val="20"/>
        </w:rPr>
        <w:t xml:space="preserve">which </w:t>
      </w:r>
      <w:r w:rsidRPr="00740788">
        <w:rPr>
          <w:rFonts w:ascii="Arial" w:hAnsi="Arial" w:cs="Arial"/>
          <w:sz w:val="20"/>
          <w:szCs w:val="20"/>
        </w:rPr>
        <w:t>points to articulated trucks, specifically the B-double, as being the greatest source of productivity gains in the industry. It stated that</w:t>
      </w:r>
      <w:r w:rsidR="00693ED9" w:rsidRPr="00740788">
        <w:rPr>
          <w:rFonts w:ascii="Arial" w:hAnsi="Arial" w:cs="Arial"/>
          <w:sz w:val="20"/>
          <w:szCs w:val="20"/>
        </w:rPr>
        <w:t xml:space="preserve"> fewer</w:t>
      </w:r>
      <w:r w:rsidRPr="00740788">
        <w:rPr>
          <w:rFonts w:ascii="Arial" w:hAnsi="Arial" w:cs="Arial"/>
          <w:sz w:val="20"/>
          <w:szCs w:val="20"/>
        </w:rPr>
        <w:t xml:space="preserve"> road freight vehicles were needed on the roads due to the increase in the load B-doubles could carry, reducing the number of vehicles required on the road and</w:t>
      </w:r>
      <w:r w:rsidR="000E626F" w:rsidRPr="00740788">
        <w:rPr>
          <w:rFonts w:ascii="Arial" w:hAnsi="Arial" w:cs="Arial"/>
          <w:sz w:val="20"/>
          <w:szCs w:val="20"/>
        </w:rPr>
        <w:t xml:space="preserve"> improving business outcomes for operator and client. </w:t>
      </w:r>
      <w:r w:rsidRPr="00740788">
        <w:rPr>
          <w:rFonts w:ascii="Arial" w:hAnsi="Arial" w:cs="Arial"/>
          <w:sz w:val="20"/>
          <w:szCs w:val="20"/>
        </w:rPr>
        <w:t xml:space="preserve">Articulated trucks have increased tonne per kilometre by 150% since 1990, while the increase in actual freight vehicles on the road has only increased by 50%, with B-doubles </w:t>
      </w:r>
      <w:r w:rsidR="008E65FE" w:rsidRPr="00740788">
        <w:rPr>
          <w:rFonts w:ascii="Arial" w:hAnsi="Arial" w:cs="Arial"/>
          <w:sz w:val="20"/>
          <w:szCs w:val="20"/>
        </w:rPr>
        <w:t xml:space="preserve">contributing to </w:t>
      </w:r>
      <w:r w:rsidRPr="00740788">
        <w:rPr>
          <w:rFonts w:ascii="Arial" w:hAnsi="Arial" w:cs="Arial"/>
          <w:sz w:val="20"/>
          <w:szCs w:val="20"/>
        </w:rPr>
        <w:t>the majority of that gain in tonnage and vehicles on the road</w:t>
      </w:r>
      <w:r w:rsidRPr="00740788">
        <w:rPr>
          <w:rStyle w:val="FootnoteReference"/>
          <w:rFonts w:ascii="Arial" w:hAnsi="Arial" w:cs="Arial"/>
          <w:sz w:val="20"/>
          <w:szCs w:val="20"/>
        </w:rPr>
        <w:footnoteReference w:id="3"/>
      </w:r>
      <w:r w:rsidRPr="00740788">
        <w:rPr>
          <w:rFonts w:ascii="Arial" w:hAnsi="Arial" w:cs="Arial"/>
          <w:sz w:val="20"/>
          <w:szCs w:val="20"/>
        </w:rPr>
        <w:t>.</w:t>
      </w:r>
    </w:p>
    <w:p w:rsidR="002E0FF1" w:rsidRPr="00740788" w:rsidRDefault="002E0FF1" w:rsidP="00300037">
      <w:pPr>
        <w:spacing w:line="269" w:lineRule="auto"/>
        <w:jc w:val="both"/>
        <w:rPr>
          <w:rFonts w:ascii="Arial" w:hAnsi="Arial" w:cs="Arial"/>
          <w:sz w:val="20"/>
          <w:szCs w:val="20"/>
        </w:rPr>
      </w:pPr>
    </w:p>
    <w:p w:rsidR="002E0FF1"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Estimates on the fleet reduction (required to carry out the task) since 1990 to 2007 have stated that B-doubles can carry the same amount of freight as 1.6 semi-trailers</w:t>
      </w:r>
      <w:r w:rsidRPr="00740788">
        <w:rPr>
          <w:rStyle w:val="FootnoteReference"/>
          <w:rFonts w:ascii="Arial" w:hAnsi="Arial" w:cs="Arial"/>
          <w:sz w:val="20"/>
          <w:szCs w:val="20"/>
        </w:rPr>
        <w:footnoteReference w:id="4"/>
      </w:r>
      <w:r w:rsidRPr="00740788">
        <w:rPr>
          <w:rFonts w:ascii="Arial" w:hAnsi="Arial" w:cs="Arial"/>
          <w:sz w:val="20"/>
          <w:szCs w:val="20"/>
        </w:rPr>
        <w:t>. While semi-trailers have kept a static mass limit, B-doubles have actually increased their carrying capacity in comparison due to the embracing of B-doubles in the fleet and government agencies allowing increased mass on the combination</w:t>
      </w:r>
      <w:r w:rsidR="000E626F" w:rsidRPr="00740788">
        <w:rPr>
          <w:rFonts w:ascii="Arial" w:hAnsi="Arial" w:cs="Arial"/>
          <w:sz w:val="20"/>
          <w:szCs w:val="20"/>
        </w:rPr>
        <w:t xml:space="preserve"> and volumetric possibilities.</w:t>
      </w:r>
    </w:p>
    <w:p w:rsidR="002E0FF1" w:rsidRPr="00740788" w:rsidRDefault="002E0FF1" w:rsidP="00300037">
      <w:pPr>
        <w:tabs>
          <w:tab w:val="left" w:pos="1924"/>
        </w:tabs>
        <w:spacing w:line="269" w:lineRule="auto"/>
        <w:jc w:val="both"/>
        <w:rPr>
          <w:rFonts w:ascii="Arial" w:hAnsi="Arial" w:cs="Arial"/>
          <w:sz w:val="20"/>
          <w:szCs w:val="20"/>
        </w:rPr>
      </w:pPr>
    </w:p>
    <w:p w:rsidR="002E0FF1"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 xml:space="preserve">Some of the largest ancillary operators in Australia </w:t>
      </w:r>
      <w:r w:rsidR="00A66068">
        <w:rPr>
          <w:rFonts w:ascii="Arial" w:hAnsi="Arial" w:cs="Arial"/>
          <w:sz w:val="20"/>
          <w:szCs w:val="20"/>
        </w:rPr>
        <w:t xml:space="preserve">have </w:t>
      </w:r>
      <w:r w:rsidRPr="00740788">
        <w:rPr>
          <w:rFonts w:ascii="Arial" w:hAnsi="Arial" w:cs="Arial"/>
          <w:sz w:val="20"/>
          <w:szCs w:val="20"/>
        </w:rPr>
        <w:t xml:space="preserve">expressed concern over limitations placed on B-doubles and the stalling in the approval of B-double access on Australia’s roads, and </w:t>
      </w:r>
      <w:r w:rsidR="001E603D" w:rsidRPr="00740788">
        <w:rPr>
          <w:rFonts w:ascii="Arial" w:hAnsi="Arial" w:cs="Arial"/>
          <w:sz w:val="20"/>
          <w:szCs w:val="20"/>
        </w:rPr>
        <w:t xml:space="preserve">the </w:t>
      </w:r>
      <w:r w:rsidRPr="00740788">
        <w:rPr>
          <w:rFonts w:ascii="Arial" w:hAnsi="Arial" w:cs="Arial"/>
          <w:sz w:val="20"/>
          <w:szCs w:val="20"/>
        </w:rPr>
        <w:t>impact this is having on productivity.</w:t>
      </w:r>
    </w:p>
    <w:p w:rsidR="009165C9" w:rsidRPr="00740788" w:rsidRDefault="009165C9" w:rsidP="00300037">
      <w:pPr>
        <w:spacing w:line="269" w:lineRule="auto"/>
        <w:jc w:val="both"/>
        <w:rPr>
          <w:rFonts w:ascii="Arial" w:hAnsi="Arial" w:cs="Arial"/>
          <w:sz w:val="20"/>
          <w:szCs w:val="20"/>
        </w:rPr>
      </w:pPr>
    </w:p>
    <w:p w:rsidR="00D07E61" w:rsidRDefault="002E0FF1" w:rsidP="00CD3EE7">
      <w:pPr>
        <w:spacing w:line="269" w:lineRule="auto"/>
        <w:jc w:val="both"/>
        <w:rPr>
          <w:rFonts w:ascii="Arial" w:hAnsi="Arial" w:cs="Arial"/>
          <w:sz w:val="20"/>
          <w:szCs w:val="20"/>
        </w:rPr>
      </w:pPr>
      <w:r w:rsidRPr="00740788">
        <w:rPr>
          <w:rFonts w:ascii="Arial" w:hAnsi="Arial" w:cs="Arial"/>
          <w:sz w:val="20"/>
          <w:szCs w:val="20"/>
        </w:rPr>
        <w:t>Qantas, Woolworths and Toll made submissions to the Department of Infrastructure and Transport regarding concerns over the urgency of allowing B-doubles access to more roads. The registration cost has had huge impact on these operators, limiting the productivity gains B-doubles made in the past</w:t>
      </w:r>
      <w:r w:rsidR="001A2121" w:rsidRPr="00740788">
        <w:rPr>
          <w:rFonts w:ascii="Arial" w:hAnsi="Arial" w:cs="Arial"/>
          <w:sz w:val="20"/>
          <w:szCs w:val="20"/>
        </w:rPr>
        <w:t>,</w:t>
      </w:r>
      <w:r w:rsidRPr="00740788">
        <w:rPr>
          <w:rFonts w:ascii="Arial" w:hAnsi="Arial" w:cs="Arial"/>
          <w:sz w:val="20"/>
          <w:szCs w:val="20"/>
        </w:rPr>
        <w:t xml:space="preserve"> in terms of volume and mass allowance.</w:t>
      </w:r>
    </w:p>
    <w:p w:rsidR="00D07E61" w:rsidRDefault="00D07E61" w:rsidP="00D07E61">
      <w:pPr>
        <w:spacing w:line="269" w:lineRule="auto"/>
        <w:jc w:val="both"/>
        <w:rPr>
          <w:rFonts w:ascii="Arial" w:hAnsi="Arial" w:cs="Arial"/>
          <w:sz w:val="20"/>
          <w:szCs w:val="20"/>
        </w:rPr>
      </w:pPr>
    </w:p>
    <w:p w:rsidR="002E0FF1" w:rsidRDefault="002E0FF1" w:rsidP="00300037">
      <w:pPr>
        <w:spacing w:line="269" w:lineRule="auto"/>
        <w:jc w:val="both"/>
        <w:rPr>
          <w:rFonts w:ascii="Arial" w:hAnsi="Arial" w:cs="Arial"/>
          <w:sz w:val="20"/>
          <w:szCs w:val="20"/>
        </w:rPr>
      </w:pPr>
      <w:r w:rsidRPr="00740788">
        <w:rPr>
          <w:rFonts w:ascii="Arial" w:hAnsi="Arial" w:cs="Arial"/>
          <w:sz w:val="20"/>
          <w:szCs w:val="20"/>
        </w:rPr>
        <w:t>Woolworths, one of the largest companies in Australia, has made the statement</w:t>
      </w:r>
      <w:r w:rsidR="001A2121" w:rsidRPr="00740788">
        <w:rPr>
          <w:rFonts w:ascii="Arial" w:hAnsi="Arial" w:cs="Arial"/>
          <w:sz w:val="20"/>
          <w:szCs w:val="20"/>
        </w:rPr>
        <w:t xml:space="preserve"> </w:t>
      </w:r>
      <w:r w:rsidRPr="00740788">
        <w:rPr>
          <w:rFonts w:ascii="Arial" w:hAnsi="Arial" w:cs="Arial"/>
          <w:sz w:val="20"/>
          <w:szCs w:val="20"/>
        </w:rPr>
        <w:t xml:space="preserve">– </w:t>
      </w:r>
      <w:r w:rsidRPr="00740788">
        <w:rPr>
          <w:rFonts w:ascii="Arial" w:hAnsi="Arial" w:cs="Arial"/>
          <w:i/>
          <w:sz w:val="20"/>
          <w:szCs w:val="20"/>
        </w:rPr>
        <w:t>“These inconsistencies and complexity create additional cost, confusion and increase the compliance burden for both Woolworths and its transport supply partners.</w:t>
      </w:r>
      <w:r w:rsidRPr="00740788">
        <w:rPr>
          <w:rStyle w:val="FootnoteReference"/>
          <w:rFonts w:ascii="Arial" w:hAnsi="Arial" w:cs="Arial"/>
          <w:i/>
          <w:sz w:val="20"/>
          <w:szCs w:val="20"/>
        </w:rPr>
        <w:footnoteReference w:id="5"/>
      </w:r>
      <w:r w:rsidRPr="00740788">
        <w:rPr>
          <w:rFonts w:ascii="Arial" w:hAnsi="Arial" w:cs="Arial"/>
          <w:i/>
          <w:sz w:val="20"/>
          <w:szCs w:val="20"/>
        </w:rPr>
        <w:t>”</w:t>
      </w:r>
      <w:r w:rsidRPr="00740788">
        <w:rPr>
          <w:rFonts w:ascii="Arial" w:hAnsi="Arial" w:cs="Arial"/>
          <w:sz w:val="20"/>
          <w:szCs w:val="20"/>
        </w:rPr>
        <w:t xml:space="preserve"> </w:t>
      </w:r>
      <w:r w:rsidR="00081BA6" w:rsidRPr="00740788">
        <w:rPr>
          <w:rFonts w:ascii="Arial" w:hAnsi="Arial" w:cs="Arial"/>
          <w:sz w:val="20"/>
          <w:szCs w:val="20"/>
        </w:rPr>
        <w:t xml:space="preserve">The effects of the increase in the A-trailer price on smaller and single vehicle operators cannot be </w:t>
      </w:r>
      <w:r w:rsidR="00601C83" w:rsidRPr="00740788">
        <w:rPr>
          <w:rFonts w:ascii="Arial" w:hAnsi="Arial" w:cs="Arial"/>
          <w:sz w:val="20"/>
          <w:szCs w:val="20"/>
        </w:rPr>
        <w:t>underestimated</w:t>
      </w:r>
      <w:r w:rsidR="00081BA6" w:rsidRPr="00740788">
        <w:rPr>
          <w:rFonts w:ascii="Arial" w:hAnsi="Arial" w:cs="Arial"/>
          <w:sz w:val="20"/>
          <w:szCs w:val="20"/>
        </w:rPr>
        <w:t xml:space="preserve">. </w:t>
      </w:r>
      <w:r w:rsidR="001A2121" w:rsidRPr="00740788">
        <w:rPr>
          <w:rFonts w:ascii="Arial" w:hAnsi="Arial" w:cs="Arial"/>
          <w:sz w:val="20"/>
          <w:szCs w:val="20"/>
        </w:rPr>
        <w:t>Operators</w:t>
      </w:r>
      <w:r w:rsidRPr="00740788">
        <w:rPr>
          <w:rFonts w:ascii="Arial" w:hAnsi="Arial" w:cs="Arial"/>
          <w:sz w:val="20"/>
          <w:szCs w:val="20"/>
        </w:rPr>
        <w:t xml:space="preserve"> </w:t>
      </w:r>
      <w:r w:rsidR="00081BA6" w:rsidRPr="00740788">
        <w:rPr>
          <w:rFonts w:ascii="Arial" w:hAnsi="Arial" w:cs="Arial"/>
          <w:sz w:val="20"/>
          <w:szCs w:val="20"/>
        </w:rPr>
        <w:t xml:space="preserve">either </w:t>
      </w:r>
      <w:r w:rsidR="009165C9" w:rsidRPr="00740788">
        <w:rPr>
          <w:rFonts w:ascii="Arial" w:hAnsi="Arial" w:cs="Arial"/>
          <w:sz w:val="20"/>
          <w:szCs w:val="20"/>
        </w:rPr>
        <w:t xml:space="preserve">do </w:t>
      </w:r>
      <w:r w:rsidR="00081BA6" w:rsidRPr="00740788">
        <w:rPr>
          <w:rFonts w:ascii="Arial" w:hAnsi="Arial" w:cs="Arial"/>
          <w:sz w:val="20"/>
          <w:szCs w:val="20"/>
        </w:rPr>
        <w:t>not</w:t>
      </w:r>
      <w:r w:rsidR="00693ED9" w:rsidRPr="00740788">
        <w:rPr>
          <w:rFonts w:ascii="Arial" w:hAnsi="Arial" w:cs="Arial"/>
          <w:sz w:val="20"/>
          <w:szCs w:val="20"/>
        </w:rPr>
        <w:t xml:space="preserve"> </w:t>
      </w:r>
      <w:r w:rsidR="00081BA6" w:rsidRPr="00740788">
        <w:rPr>
          <w:rFonts w:ascii="Arial" w:hAnsi="Arial" w:cs="Arial"/>
          <w:sz w:val="20"/>
          <w:szCs w:val="20"/>
        </w:rPr>
        <w:t>renew</w:t>
      </w:r>
      <w:r w:rsidR="00693ED9" w:rsidRPr="00740788">
        <w:rPr>
          <w:rFonts w:ascii="Arial" w:hAnsi="Arial" w:cs="Arial"/>
          <w:sz w:val="20"/>
          <w:szCs w:val="20"/>
        </w:rPr>
        <w:t xml:space="preserve"> A-trailer registration,</w:t>
      </w:r>
      <w:r w:rsidR="001A2121" w:rsidRPr="00740788">
        <w:rPr>
          <w:rFonts w:ascii="Arial" w:hAnsi="Arial" w:cs="Arial"/>
          <w:sz w:val="20"/>
          <w:szCs w:val="20"/>
        </w:rPr>
        <w:t xml:space="preserve"> substitu</w:t>
      </w:r>
      <w:r w:rsidR="009165C9" w:rsidRPr="00740788">
        <w:rPr>
          <w:rFonts w:ascii="Arial" w:hAnsi="Arial" w:cs="Arial"/>
          <w:sz w:val="20"/>
          <w:szCs w:val="20"/>
        </w:rPr>
        <w:t>te</w:t>
      </w:r>
      <w:r w:rsidRPr="00740788">
        <w:rPr>
          <w:rFonts w:ascii="Arial" w:hAnsi="Arial" w:cs="Arial"/>
          <w:sz w:val="20"/>
          <w:szCs w:val="20"/>
        </w:rPr>
        <w:t xml:space="preserve"> to other, less productive combinations</w:t>
      </w:r>
      <w:r w:rsidR="00081BA6" w:rsidRPr="00740788">
        <w:rPr>
          <w:rFonts w:ascii="Arial" w:hAnsi="Arial" w:cs="Arial"/>
          <w:sz w:val="20"/>
          <w:szCs w:val="20"/>
        </w:rPr>
        <w:t xml:space="preserve"> or </w:t>
      </w:r>
      <w:r w:rsidR="009165C9" w:rsidRPr="00740788">
        <w:rPr>
          <w:rFonts w:ascii="Arial" w:hAnsi="Arial" w:cs="Arial"/>
          <w:sz w:val="20"/>
          <w:szCs w:val="20"/>
        </w:rPr>
        <w:t>stop transporting</w:t>
      </w:r>
      <w:r w:rsidR="00081BA6" w:rsidRPr="00740788">
        <w:rPr>
          <w:rFonts w:ascii="Arial" w:hAnsi="Arial" w:cs="Arial"/>
          <w:sz w:val="20"/>
          <w:szCs w:val="20"/>
        </w:rPr>
        <w:t xml:space="preserve"> </w:t>
      </w:r>
      <w:r w:rsidR="009165C9" w:rsidRPr="00740788">
        <w:rPr>
          <w:rFonts w:ascii="Arial" w:hAnsi="Arial" w:cs="Arial"/>
          <w:sz w:val="20"/>
          <w:szCs w:val="20"/>
        </w:rPr>
        <w:t>altogether</w:t>
      </w:r>
      <w:r w:rsidRPr="00740788">
        <w:rPr>
          <w:rFonts w:ascii="Arial" w:hAnsi="Arial" w:cs="Arial"/>
          <w:sz w:val="20"/>
          <w:szCs w:val="20"/>
        </w:rPr>
        <w:t>.</w:t>
      </w:r>
    </w:p>
    <w:p w:rsidR="007825D0" w:rsidRPr="00740788" w:rsidRDefault="007825D0" w:rsidP="00300037">
      <w:pPr>
        <w:spacing w:line="269" w:lineRule="auto"/>
        <w:jc w:val="both"/>
        <w:rPr>
          <w:rFonts w:ascii="Arial" w:hAnsi="Arial" w:cs="Arial"/>
          <w:sz w:val="20"/>
          <w:szCs w:val="20"/>
        </w:rPr>
      </w:pPr>
    </w:p>
    <w:p w:rsidR="002E0FF1"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 xml:space="preserve">With the highly competitive nature of the trucking industry, even small gains in productivity can mean </w:t>
      </w:r>
      <w:r w:rsidR="000E626F" w:rsidRPr="00740788">
        <w:rPr>
          <w:rFonts w:ascii="Arial" w:hAnsi="Arial" w:cs="Arial"/>
          <w:sz w:val="20"/>
          <w:szCs w:val="20"/>
        </w:rPr>
        <w:t>increased benefits for operators and their clients</w:t>
      </w:r>
    </w:p>
    <w:p w:rsidR="00300037" w:rsidRDefault="00300037" w:rsidP="00300037">
      <w:pPr>
        <w:spacing w:line="269" w:lineRule="auto"/>
        <w:jc w:val="both"/>
        <w:rPr>
          <w:rFonts w:ascii="Arial" w:hAnsi="Arial" w:cs="Arial"/>
          <w:sz w:val="20"/>
          <w:szCs w:val="20"/>
          <w:u w:val="single"/>
        </w:rPr>
      </w:pPr>
    </w:p>
    <w:p w:rsidR="002E0FF1" w:rsidRPr="00740788" w:rsidRDefault="001751C5" w:rsidP="00300037">
      <w:pPr>
        <w:spacing w:line="269" w:lineRule="auto"/>
        <w:jc w:val="both"/>
        <w:rPr>
          <w:rFonts w:ascii="Arial" w:hAnsi="Arial" w:cs="Arial"/>
          <w:sz w:val="20"/>
          <w:szCs w:val="20"/>
          <w:u w:val="single"/>
        </w:rPr>
      </w:pPr>
      <w:r w:rsidRPr="00740788">
        <w:rPr>
          <w:rFonts w:ascii="Arial" w:hAnsi="Arial" w:cs="Arial"/>
          <w:sz w:val="20"/>
          <w:szCs w:val="20"/>
          <w:u w:val="single"/>
        </w:rPr>
        <w:t>Environmental concerns</w:t>
      </w:r>
    </w:p>
    <w:p w:rsidR="002E0FF1" w:rsidRPr="00740788" w:rsidRDefault="002E0FF1" w:rsidP="00300037">
      <w:pPr>
        <w:spacing w:line="269" w:lineRule="auto"/>
        <w:jc w:val="both"/>
        <w:rPr>
          <w:rFonts w:ascii="Arial" w:hAnsi="Arial" w:cs="Arial"/>
          <w:sz w:val="20"/>
          <w:szCs w:val="20"/>
        </w:rPr>
      </w:pPr>
    </w:p>
    <w:p w:rsidR="002E0FF1" w:rsidRPr="00740788" w:rsidRDefault="000E626F" w:rsidP="00300037">
      <w:pPr>
        <w:spacing w:line="269" w:lineRule="auto"/>
        <w:jc w:val="both"/>
        <w:rPr>
          <w:rFonts w:ascii="Arial" w:hAnsi="Arial" w:cs="Arial"/>
          <w:sz w:val="20"/>
          <w:szCs w:val="20"/>
        </w:rPr>
      </w:pPr>
      <w:r w:rsidRPr="00740788">
        <w:rPr>
          <w:rFonts w:ascii="Arial" w:hAnsi="Arial" w:cs="Arial"/>
          <w:sz w:val="20"/>
          <w:szCs w:val="20"/>
        </w:rPr>
        <w:t>High productivity vehicles h</w:t>
      </w:r>
      <w:r w:rsidR="002E0FF1" w:rsidRPr="00740788">
        <w:rPr>
          <w:rFonts w:ascii="Arial" w:hAnsi="Arial" w:cs="Arial"/>
          <w:sz w:val="20"/>
          <w:szCs w:val="20"/>
        </w:rPr>
        <w:t>ave played a central role in the abatement of potential emissions the industry produced</w:t>
      </w:r>
      <w:r w:rsidR="00693ED9" w:rsidRPr="00740788">
        <w:rPr>
          <w:rFonts w:ascii="Arial" w:hAnsi="Arial" w:cs="Arial"/>
          <w:sz w:val="20"/>
          <w:szCs w:val="20"/>
        </w:rPr>
        <w:t>,</w:t>
      </w:r>
      <w:r w:rsidR="002E0FF1" w:rsidRPr="00740788">
        <w:rPr>
          <w:rFonts w:ascii="Arial" w:hAnsi="Arial" w:cs="Arial"/>
          <w:sz w:val="20"/>
          <w:szCs w:val="20"/>
        </w:rPr>
        <w:t xml:space="preserve"> with B-doubles being responsible for a reduction of over 11 million tonnes</w:t>
      </w:r>
      <w:r w:rsidR="009165C9" w:rsidRPr="00740788">
        <w:rPr>
          <w:rFonts w:ascii="Arial" w:hAnsi="Arial" w:cs="Arial"/>
          <w:sz w:val="20"/>
          <w:szCs w:val="20"/>
        </w:rPr>
        <w:t xml:space="preserve"> of emissions up</w:t>
      </w:r>
      <w:r w:rsidR="002E0FF1" w:rsidRPr="00740788">
        <w:rPr>
          <w:rFonts w:ascii="Arial" w:hAnsi="Arial" w:cs="Arial"/>
          <w:sz w:val="20"/>
          <w:szCs w:val="20"/>
        </w:rPr>
        <w:t xml:space="preserve"> to 2008, which is equated to be around 50% of one year’s emissions for the trucking fleet.</w:t>
      </w:r>
      <w:r w:rsidR="002E0FF1" w:rsidRPr="00740788">
        <w:rPr>
          <w:rStyle w:val="FootnoteReference"/>
          <w:rFonts w:ascii="Arial" w:hAnsi="Arial" w:cs="Arial"/>
          <w:sz w:val="20"/>
          <w:szCs w:val="20"/>
        </w:rPr>
        <w:footnoteReference w:id="6"/>
      </w:r>
    </w:p>
    <w:p w:rsidR="002E0FF1" w:rsidRPr="00740788" w:rsidRDefault="002E0FF1" w:rsidP="00300037">
      <w:pPr>
        <w:spacing w:line="269" w:lineRule="auto"/>
        <w:jc w:val="both"/>
        <w:rPr>
          <w:rFonts w:ascii="Arial" w:hAnsi="Arial" w:cs="Arial"/>
          <w:sz w:val="20"/>
          <w:szCs w:val="20"/>
        </w:rPr>
      </w:pPr>
    </w:p>
    <w:p w:rsidR="002E0FF1"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 xml:space="preserve">Greater fuel efficiency in B-doubles is a key benefit of the vehicle combination. While the demand for road freight is going to increase to record levels in the next twenty years, the emissions produced by the trucking industry </w:t>
      </w:r>
      <w:r w:rsidR="009165C9" w:rsidRPr="00740788">
        <w:rPr>
          <w:rFonts w:ascii="Arial" w:hAnsi="Arial" w:cs="Arial"/>
          <w:sz w:val="20"/>
          <w:szCs w:val="20"/>
        </w:rPr>
        <w:t>is</w:t>
      </w:r>
      <w:r w:rsidRPr="00740788">
        <w:rPr>
          <w:rFonts w:ascii="Arial" w:hAnsi="Arial" w:cs="Arial"/>
          <w:sz w:val="20"/>
          <w:szCs w:val="20"/>
        </w:rPr>
        <w:t xml:space="preserve"> on a downward trajectory. Since 2000</w:t>
      </w:r>
      <w:r w:rsidR="00DE3554">
        <w:rPr>
          <w:rFonts w:ascii="Arial" w:hAnsi="Arial" w:cs="Arial"/>
          <w:sz w:val="20"/>
          <w:szCs w:val="20"/>
        </w:rPr>
        <w:t>,</w:t>
      </w:r>
      <w:r w:rsidRPr="00740788">
        <w:rPr>
          <w:rFonts w:ascii="Arial" w:hAnsi="Arial" w:cs="Arial"/>
          <w:sz w:val="20"/>
          <w:szCs w:val="20"/>
        </w:rPr>
        <w:t xml:space="preserve"> emissions per billion tonne kilometre</w:t>
      </w:r>
      <w:r w:rsidR="00DE3554">
        <w:rPr>
          <w:rFonts w:ascii="Arial" w:hAnsi="Arial" w:cs="Arial"/>
          <w:sz w:val="20"/>
          <w:szCs w:val="20"/>
        </w:rPr>
        <w:t>s</w:t>
      </w:r>
      <w:r w:rsidRPr="00740788">
        <w:rPr>
          <w:rFonts w:ascii="Arial" w:hAnsi="Arial" w:cs="Arial"/>
          <w:sz w:val="20"/>
          <w:szCs w:val="20"/>
        </w:rPr>
        <w:t xml:space="preserve"> have reduced significantly in comparison to the rise in demand. This reduction in emissions has been attributed to smarter use of the fleet by substituting away from smaller</w:t>
      </w:r>
      <w:r w:rsidR="002606F7" w:rsidRPr="00740788">
        <w:rPr>
          <w:rFonts w:ascii="Arial" w:hAnsi="Arial" w:cs="Arial"/>
          <w:sz w:val="20"/>
          <w:szCs w:val="20"/>
        </w:rPr>
        <w:t>,</w:t>
      </w:r>
      <w:r w:rsidRPr="00740788">
        <w:rPr>
          <w:rFonts w:ascii="Arial" w:hAnsi="Arial" w:cs="Arial"/>
          <w:sz w:val="20"/>
          <w:szCs w:val="20"/>
        </w:rPr>
        <w:t xml:space="preserve"> rigid </w:t>
      </w:r>
      <w:r w:rsidR="002606F7" w:rsidRPr="00740788">
        <w:rPr>
          <w:rFonts w:ascii="Arial" w:hAnsi="Arial" w:cs="Arial"/>
          <w:sz w:val="20"/>
          <w:szCs w:val="20"/>
        </w:rPr>
        <w:t xml:space="preserve">trucks </w:t>
      </w:r>
      <w:r w:rsidRPr="00740788">
        <w:rPr>
          <w:rFonts w:ascii="Arial" w:hAnsi="Arial" w:cs="Arial"/>
          <w:sz w:val="20"/>
          <w:szCs w:val="20"/>
        </w:rPr>
        <w:t>to large</w:t>
      </w:r>
      <w:r w:rsidR="002606F7" w:rsidRPr="00740788">
        <w:rPr>
          <w:rFonts w:ascii="Arial" w:hAnsi="Arial" w:cs="Arial"/>
          <w:sz w:val="20"/>
          <w:szCs w:val="20"/>
        </w:rPr>
        <w:t>r,</w:t>
      </w:r>
      <w:r w:rsidRPr="00740788">
        <w:rPr>
          <w:rFonts w:ascii="Arial" w:hAnsi="Arial" w:cs="Arial"/>
          <w:sz w:val="20"/>
          <w:szCs w:val="20"/>
        </w:rPr>
        <w:t xml:space="preserve"> articulated </w:t>
      </w:r>
      <w:r w:rsidR="002606F7" w:rsidRPr="00740788">
        <w:rPr>
          <w:rFonts w:ascii="Arial" w:hAnsi="Arial" w:cs="Arial"/>
          <w:sz w:val="20"/>
          <w:szCs w:val="20"/>
        </w:rPr>
        <w:t>combinations</w:t>
      </w:r>
      <w:r w:rsidRPr="00740788">
        <w:rPr>
          <w:rFonts w:ascii="Arial" w:hAnsi="Arial" w:cs="Arial"/>
          <w:sz w:val="20"/>
          <w:szCs w:val="20"/>
        </w:rPr>
        <w:t xml:space="preserve">. This is </w:t>
      </w:r>
      <w:r w:rsidR="002606F7" w:rsidRPr="00740788">
        <w:rPr>
          <w:rFonts w:ascii="Arial" w:hAnsi="Arial" w:cs="Arial"/>
          <w:sz w:val="20"/>
          <w:szCs w:val="20"/>
        </w:rPr>
        <w:t>due to</w:t>
      </w:r>
      <w:r w:rsidRPr="00740788">
        <w:rPr>
          <w:rFonts w:ascii="Arial" w:hAnsi="Arial" w:cs="Arial"/>
          <w:sz w:val="20"/>
          <w:szCs w:val="20"/>
        </w:rPr>
        <w:t xml:space="preserve"> the greater carrying capacity of the</w:t>
      </w:r>
      <w:r w:rsidR="002606F7" w:rsidRPr="00740788">
        <w:rPr>
          <w:rFonts w:ascii="Arial" w:hAnsi="Arial" w:cs="Arial"/>
          <w:sz w:val="20"/>
          <w:szCs w:val="20"/>
        </w:rPr>
        <w:t xml:space="preserve"> larger combinations</w:t>
      </w:r>
      <w:r w:rsidRPr="00740788">
        <w:rPr>
          <w:rFonts w:ascii="Arial" w:hAnsi="Arial" w:cs="Arial"/>
          <w:sz w:val="20"/>
          <w:szCs w:val="20"/>
        </w:rPr>
        <w:t xml:space="preserve"> and better engine and emissions technology resulting from the shift to B-doubles.</w:t>
      </w:r>
      <w:r w:rsidRPr="00740788">
        <w:rPr>
          <w:rStyle w:val="FootnoteReference"/>
          <w:rFonts w:ascii="Arial" w:hAnsi="Arial" w:cs="Arial"/>
          <w:sz w:val="20"/>
          <w:szCs w:val="20"/>
        </w:rPr>
        <w:footnoteReference w:id="7"/>
      </w:r>
    </w:p>
    <w:p w:rsidR="002E0FF1" w:rsidRPr="00740788" w:rsidRDefault="002E0FF1" w:rsidP="00300037">
      <w:pPr>
        <w:spacing w:line="269" w:lineRule="auto"/>
        <w:jc w:val="both"/>
        <w:rPr>
          <w:rFonts w:ascii="Arial" w:hAnsi="Arial" w:cs="Arial"/>
          <w:sz w:val="20"/>
          <w:szCs w:val="20"/>
        </w:rPr>
      </w:pPr>
    </w:p>
    <w:p w:rsidR="00AC10B1" w:rsidRPr="00740788" w:rsidRDefault="002E0FF1" w:rsidP="00300037">
      <w:pPr>
        <w:spacing w:line="269" w:lineRule="auto"/>
        <w:jc w:val="both"/>
        <w:rPr>
          <w:rFonts w:ascii="Arial" w:hAnsi="Arial" w:cs="Arial"/>
          <w:sz w:val="20"/>
          <w:szCs w:val="20"/>
        </w:rPr>
      </w:pPr>
      <w:r w:rsidRPr="00740788">
        <w:rPr>
          <w:rFonts w:ascii="Arial" w:hAnsi="Arial" w:cs="Arial"/>
          <w:sz w:val="20"/>
          <w:szCs w:val="20"/>
        </w:rPr>
        <w:t xml:space="preserve">The NTC 2007 report </w:t>
      </w:r>
      <w:r w:rsidR="002606F7" w:rsidRPr="00740788">
        <w:rPr>
          <w:rFonts w:ascii="Arial" w:hAnsi="Arial" w:cs="Arial"/>
          <w:sz w:val="20"/>
          <w:szCs w:val="20"/>
        </w:rPr>
        <w:t xml:space="preserve">regarding </w:t>
      </w:r>
      <w:r w:rsidRPr="00740788">
        <w:rPr>
          <w:rFonts w:ascii="Arial" w:hAnsi="Arial" w:cs="Arial"/>
          <w:sz w:val="20"/>
          <w:szCs w:val="20"/>
        </w:rPr>
        <w:t>B-triples also indicated the massive environmental gains this combination can offer</w:t>
      </w:r>
      <w:r w:rsidR="002606F7" w:rsidRPr="00740788">
        <w:rPr>
          <w:rFonts w:ascii="Arial" w:hAnsi="Arial" w:cs="Arial"/>
          <w:sz w:val="20"/>
          <w:szCs w:val="20"/>
        </w:rPr>
        <w:t>,</w:t>
      </w:r>
      <w:r w:rsidRPr="00740788">
        <w:rPr>
          <w:rFonts w:ascii="Arial" w:hAnsi="Arial" w:cs="Arial"/>
          <w:sz w:val="20"/>
          <w:szCs w:val="20"/>
        </w:rPr>
        <w:t xml:space="preserve"> with one estimate of 60 B-doubles and semi-trailers transferring </w:t>
      </w:r>
      <w:r w:rsidR="002606F7" w:rsidRPr="00740788">
        <w:rPr>
          <w:rFonts w:ascii="Arial" w:hAnsi="Arial" w:cs="Arial"/>
          <w:sz w:val="20"/>
          <w:szCs w:val="20"/>
        </w:rPr>
        <w:t xml:space="preserve">their freight </w:t>
      </w:r>
      <w:r w:rsidRPr="00740788">
        <w:rPr>
          <w:rFonts w:ascii="Arial" w:hAnsi="Arial" w:cs="Arial"/>
          <w:sz w:val="20"/>
          <w:szCs w:val="20"/>
        </w:rPr>
        <w:t>to B-triples and lowering the number of trips by one in four. This led to a fuel saving of 2 million litres per year</w:t>
      </w:r>
      <w:r w:rsidR="002606F7" w:rsidRPr="00740788">
        <w:rPr>
          <w:rFonts w:ascii="Arial" w:hAnsi="Arial" w:cs="Arial"/>
          <w:sz w:val="20"/>
          <w:szCs w:val="20"/>
        </w:rPr>
        <w:t>,</w:t>
      </w:r>
      <w:r w:rsidRPr="00740788">
        <w:rPr>
          <w:rFonts w:ascii="Arial" w:hAnsi="Arial" w:cs="Arial"/>
          <w:sz w:val="20"/>
          <w:szCs w:val="20"/>
        </w:rPr>
        <w:t xml:space="preserve"> and a reduction in greenhouse gas emissions by 5,900 tonnes of CO</w:t>
      </w:r>
      <w:r w:rsidRPr="00740788">
        <w:rPr>
          <w:rFonts w:ascii="Arial" w:hAnsi="Arial" w:cs="Arial"/>
          <w:sz w:val="20"/>
          <w:szCs w:val="20"/>
          <w:vertAlign w:val="subscript"/>
        </w:rPr>
        <w:t>2</w:t>
      </w:r>
      <w:r w:rsidRPr="00740788">
        <w:rPr>
          <w:rFonts w:ascii="Arial" w:hAnsi="Arial" w:cs="Arial"/>
          <w:sz w:val="20"/>
          <w:szCs w:val="20"/>
        </w:rPr>
        <w:t xml:space="preserve"> a year</w:t>
      </w:r>
      <w:r w:rsidRPr="00740788">
        <w:rPr>
          <w:rStyle w:val="FootnoteReference"/>
          <w:rFonts w:ascii="Arial" w:hAnsi="Arial" w:cs="Arial"/>
          <w:sz w:val="20"/>
          <w:szCs w:val="20"/>
        </w:rPr>
        <w:footnoteReference w:id="8"/>
      </w:r>
      <w:r w:rsidRPr="00740788">
        <w:rPr>
          <w:rFonts w:ascii="Arial" w:hAnsi="Arial" w:cs="Arial"/>
          <w:sz w:val="20"/>
          <w:szCs w:val="20"/>
        </w:rPr>
        <w:t>.</w:t>
      </w:r>
    </w:p>
    <w:p w:rsidR="00355C9F" w:rsidRPr="001844D2" w:rsidRDefault="00355C9F" w:rsidP="001844D2">
      <w:pPr>
        <w:pStyle w:val="Heading1"/>
        <w:numPr>
          <w:ilvl w:val="0"/>
          <w:numId w:val="0"/>
        </w:numPr>
        <w:spacing w:line="269" w:lineRule="auto"/>
        <w:ind w:left="360"/>
        <w:jc w:val="both"/>
      </w:pPr>
    </w:p>
    <w:p w:rsidR="000969DD" w:rsidRDefault="000969DD">
      <w:pPr>
        <w:spacing w:after="200" w:line="276" w:lineRule="auto"/>
        <w:rPr>
          <w:rFonts w:ascii="Arial" w:hAnsi="Arial" w:cs="Arial"/>
          <w:b/>
          <w:color w:val="000064"/>
          <w:sz w:val="28"/>
          <w:szCs w:val="28"/>
        </w:rPr>
      </w:pPr>
      <w:r>
        <w:br w:type="page"/>
      </w:r>
    </w:p>
    <w:p w:rsidR="001844D2" w:rsidRPr="001844D2" w:rsidRDefault="001844D2" w:rsidP="001844D2">
      <w:pPr>
        <w:pStyle w:val="Heading1"/>
        <w:spacing w:line="269" w:lineRule="auto"/>
        <w:jc w:val="both"/>
      </w:pPr>
      <w:bookmarkStart w:id="1" w:name="_Toc316396803"/>
      <w:r w:rsidRPr="001844D2">
        <w:lastRenderedPageBreak/>
        <w:t>Recommendation</w:t>
      </w:r>
      <w:r>
        <w:t>s</w:t>
      </w:r>
      <w:bookmarkEnd w:id="1"/>
      <w:r w:rsidRPr="001844D2">
        <w:t xml:space="preserve"> </w:t>
      </w:r>
    </w:p>
    <w:p w:rsidR="001844D2" w:rsidRDefault="001844D2" w:rsidP="001844D2">
      <w:pPr>
        <w:spacing w:line="269" w:lineRule="auto"/>
        <w:jc w:val="both"/>
        <w:rPr>
          <w:rFonts w:ascii="Arial" w:hAnsi="Arial" w:cs="Arial"/>
          <w:sz w:val="20"/>
          <w:szCs w:val="20"/>
        </w:rPr>
      </w:pPr>
    </w:p>
    <w:p w:rsidR="001844D2" w:rsidRPr="000969DD" w:rsidRDefault="001844D2" w:rsidP="001844D2">
      <w:pPr>
        <w:spacing w:line="269" w:lineRule="auto"/>
        <w:jc w:val="both"/>
        <w:rPr>
          <w:rFonts w:ascii="Arial" w:hAnsi="Arial" w:cs="Arial"/>
          <w:b/>
          <w:i/>
          <w:sz w:val="20"/>
          <w:szCs w:val="20"/>
        </w:rPr>
      </w:pPr>
      <w:r w:rsidRPr="000969DD">
        <w:rPr>
          <w:rFonts w:ascii="Arial" w:hAnsi="Arial" w:cs="Arial"/>
          <w:b/>
          <w:i/>
          <w:sz w:val="20"/>
          <w:szCs w:val="20"/>
        </w:rPr>
        <w:t xml:space="preserve">Recommendation 1 </w:t>
      </w:r>
    </w:p>
    <w:p w:rsidR="001844D2" w:rsidRDefault="001844D2" w:rsidP="001844D2">
      <w:pPr>
        <w:spacing w:line="269" w:lineRule="auto"/>
        <w:jc w:val="both"/>
        <w:rPr>
          <w:rFonts w:ascii="Arial" w:hAnsi="Arial" w:cs="Arial"/>
          <w:sz w:val="20"/>
          <w:szCs w:val="20"/>
        </w:rPr>
      </w:pPr>
    </w:p>
    <w:p w:rsidR="001844D2" w:rsidRPr="001844D2" w:rsidRDefault="000969DD" w:rsidP="001844D2">
      <w:pPr>
        <w:spacing w:line="269" w:lineRule="auto"/>
        <w:jc w:val="both"/>
        <w:rPr>
          <w:rFonts w:ascii="Arial" w:hAnsi="Arial" w:cs="Arial"/>
          <w:sz w:val="20"/>
          <w:szCs w:val="20"/>
        </w:rPr>
      </w:pPr>
      <w:r>
        <w:rPr>
          <w:rFonts w:ascii="Arial" w:hAnsi="Arial" w:cs="Arial"/>
          <w:sz w:val="20"/>
          <w:szCs w:val="20"/>
        </w:rPr>
        <w:t xml:space="preserve">The NTC should </w:t>
      </w:r>
      <w:r w:rsidR="00DA60B6">
        <w:rPr>
          <w:rFonts w:ascii="Arial" w:hAnsi="Arial" w:cs="Arial"/>
          <w:sz w:val="20"/>
          <w:szCs w:val="20"/>
        </w:rPr>
        <w:t>recommend to ministers an</w:t>
      </w:r>
      <w:r w:rsidR="003674D2">
        <w:rPr>
          <w:rFonts w:ascii="Arial" w:hAnsi="Arial" w:cs="Arial"/>
          <w:sz w:val="20"/>
          <w:szCs w:val="20"/>
        </w:rPr>
        <w:t xml:space="preserve"> immediate stop-gap decision to reduce the registration charge for A-trailers to equal the same registration charge as semi-trailers</w:t>
      </w:r>
      <w:r w:rsidR="00C11E50">
        <w:rPr>
          <w:rFonts w:ascii="Arial" w:hAnsi="Arial" w:cs="Arial"/>
          <w:sz w:val="20"/>
          <w:szCs w:val="20"/>
        </w:rPr>
        <w:t>,</w:t>
      </w:r>
      <w:r w:rsidR="003674D2">
        <w:rPr>
          <w:rFonts w:ascii="Arial" w:hAnsi="Arial" w:cs="Arial"/>
          <w:sz w:val="20"/>
          <w:szCs w:val="20"/>
        </w:rPr>
        <w:t xml:space="preserve"> with no other adjustments. </w:t>
      </w:r>
    </w:p>
    <w:p w:rsidR="001844D2" w:rsidRDefault="001844D2" w:rsidP="001844D2">
      <w:pPr>
        <w:spacing w:line="269" w:lineRule="auto"/>
        <w:jc w:val="both"/>
        <w:rPr>
          <w:rFonts w:ascii="Arial" w:hAnsi="Arial" w:cs="Arial"/>
          <w:sz w:val="20"/>
          <w:szCs w:val="20"/>
        </w:rPr>
      </w:pPr>
    </w:p>
    <w:p w:rsidR="000969DD" w:rsidRPr="000969DD" w:rsidRDefault="000969DD" w:rsidP="001844D2">
      <w:pPr>
        <w:spacing w:line="269" w:lineRule="auto"/>
        <w:jc w:val="both"/>
        <w:rPr>
          <w:rFonts w:ascii="Arial" w:hAnsi="Arial" w:cs="Arial"/>
          <w:b/>
          <w:i/>
          <w:sz w:val="20"/>
          <w:szCs w:val="20"/>
        </w:rPr>
      </w:pPr>
      <w:r w:rsidRPr="000969DD">
        <w:rPr>
          <w:rFonts w:ascii="Arial" w:hAnsi="Arial" w:cs="Arial"/>
          <w:b/>
          <w:i/>
          <w:sz w:val="20"/>
          <w:szCs w:val="20"/>
        </w:rPr>
        <w:t>Recommendation 2</w:t>
      </w:r>
    </w:p>
    <w:p w:rsidR="000969DD" w:rsidRDefault="000969DD" w:rsidP="001844D2">
      <w:pPr>
        <w:spacing w:line="269" w:lineRule="auto"/>
        <w:jc w:val="both"/>
        <w:rPr>
          <w:rFonts w:ascii="Arial" w:hAnsi="Arial" w:cs="Arial"/>
          <w:sz w:val="20"/>
          <w:szCs w:val="20"/>
        </w:rPr>
      </w:pPr>
    </w:p>
    <w:p w:rsidR="001844D2" w:rsidRDefault="000969DD" w:rsidP="000969DD">
      <w:pPr>
        <w:spacing w:line="269" w:lineRule="auto"/>
        <w:jc w:val="both"/>
        <w:rPr>
          <w:rFonts w:ascii="Arial" w:hAnsi="Arial" w:cs="Arial"/>
          <w:sz w:val="20"/>
          <w:szCs w:val="20"/>
        </w:rPr>
      </w:pPr>
      <w:r>
        <w:rPr>
          <w:rFonts w:ascii="Arial" w:hAnsi="Arial" w:cs="Arial"/>
          <w:sz w:val="20"/>
          <w:szCs w:val="20"/>
        </w:rPr>
        <w:t xml:space="preserve">The NTC should not just be concerned with </w:t>
      </w:r>
      <w:r w:rsidR="001844D2" w:rsidRPr="001844D2">
        <w:rPr>
          <w:rFonts w:ascii="Arial" w:hAnsi="Arial" w:cs="Arial"/>
          <w:sz w:val="20"/>
          <w:szCs w:val="20"/>
        </w:rPr>
        <w:t>revenue recovery. It should be about common sense and what delivers safety and productivity outcomes Western Australia has set the precedent. South Australia understands the need for an immediate solution. The Commonwealth reports it is also concerned about the current A-trailer crisis.</w:t>
      </w:r>
    </w:p>
    <w:p w:rsidR="000969DD" w:rsidRDefault="000969DD" w:rsidP="000969DD">
      <w:pPr>
        <w:spacing w:line="269" w:lineRule="auto"/>
        <w:jc w:val="both"/>
        <w:rPr>
          <w:rFonts w:ascii="Arial" w:hAnsi="Arial" w:cs="Arial"/>
          <w:sz w:val="20"/>
          <w:szCs w:val="20"/>
        </w:rPr>
      </w:pPr>
    </w:p>
    <w:p w:rsidR="000969DD" w:rsidRPr="000969DD" w:rsidRDefault="000969DD" w:rsidP="000969DD">
      <w:pPr>
        <w:spacing w:line="269" w:lineRule="auto"/>
        <w:jc w:val="both"/>
        <w:rPr>
          <w:rFonts w:ascii="Arial" w:hAnsi="Arial" w:cs="Arial"/>
          <w:b/>
          <w:i/>
          <w:sz w:val="20"/>
          <w:szCs w:val="20"/>
        </w:rPr>
      </w:pPr>
      <w:r w:rsidRPr="000969DD">
        <w:rPr>
          <w:rFonts w:ascii="Arial" w:hAnsi="Arial" w:cs="Arial"/>
          <w:b/>
          <w:i/>
          <w:sz w:val="20"/>
          <w:szCs w:val="20"/>
        </w:rPr>
        <w:t xml:space="preserve">Recommendation 3 </w:t>
      </w:r>
    </w:p>
    <w:p w:rsidR="000969DD" w:rsidRPr="001844D2" w:rsidRDefault="000969DD" w:rsidP="000969DD">
      <w:pPr>
        <w:spacing w:line="269" w:lineRule="auto"/>
        <w:jc w:val="both"/>
        <w:rPr>
          <w:rFonts w:ascii="Arial" w:hAnsi="Arial" w:cs="Arial"/>
          <w:sz w:val="20"/>
          <w:szCs w:val="20"/>
        </w:rPr>
      </w:pPr>
    </w:p>
    <w:p w:rsidR="001844D2" w:rsidRDefault="00505984" w:rsidP="000969DD">
      <w:pPr>
        <w:spacing w:line="269" w:lineRule="auto"/>
        <w:jc w:val="both"/>
        <w:rPr>
          <w:rFonts w:ascii="Arial" w:hAnsi="Arial" w:cs="Arial"/>
          <w:sz w:val="20"/>
          <w:szCs w:val="20"/>
        </w:rPr>
      </w:pPr>
      <w:r>
        <w:rPr>
          <w:rFonts w:ascii="Arial" w:hAnsi="Arial" w:cs="Arial"/>
          <w:sz w:val="20"/>
          <w:szCs w:val="20"/>
        </w:rPr>
        <w:t xml:space="preserve">The ATA recommends as a next step </w:t>
      </w:r>
      <w:r w:rsidR="00D448C2">
        <w:rPr>
          <w:rFonts w:ascii="Arial" w:hAnsi="Arial" w:cs="Arial"/>
          <w:sz w:val="20"/>
          <w:szCs w:val="20"/>
        </w:rPr>
        <w:t>a</w:t>
      </w:r>
      <w:r w:rsidR="001844D2" w:rsidRPr="001844D2">
        <w:rPr>
          <w:rFonts w:ascii="Arial" w:hAnsi="Arial" w:cs="Arial"/>
          <w:sz w:val="20"/>
          <w:szCs w:val="20"/>
        </w:rPr>
        <w:t xml:space="preserve"> movement to fuel based charging as we believe this will provide the safety, productivity and revenue outcomes required.</w:t>
      </w:r>
    </w:p>
    <w:p w:rsidR="000969DD" w:rsidRDefault="000969DD" w:rsidP="000969DD">
      <w:pPr>
        <w:spacing w:line="269" w:lineRule="auto"/>
        <w:jc w:val="both"/>
        <w:rPr>
          <w:rFonts w:ascii="Arial" w:hAnsi="Arial" w:cs="Arial"/>
          <w:sz w:val="20"/>
          <w:szCs w:val="20"/>
        </w:rPr>
      </w:pPr>
    </w:p>
    <w:p w:rsidR="000969DD" w:rsidRPr="000969DD" w:rsidRDefault="000969DD" w:rsidP="000969DD">
      <w:pPr>
        <w:spacing w:line="269" w:lineRule="auto"/>
        <w:jc w:val="both"/>
        <w:rPr>
          <w:rFonts w:ascii="Arial" w:hAnsi="Arial" w:cs="Arial"/>
          <w:b/>
          <w:i/>
          <w:sz w:val="20"/>
          <w:szCs w:val="20"/>
        </w:rPr>
      </w:pPr>
      <w:r w:rsidRPr="000969DD">
        <w:rPr>
          <w:rFonts w:ascii="Arial" w:hAnsi="Arial" w:cs="Arial"/>
          <w:b/>
          <w:i/>
          <w:sz w:val="20"/>
          <w:szCs w:val="20"/>
        </w:rPr>
        <w:t xml:space="preserve">Recommendation 4 </w:t>
      </w:r>
    </w:p>
    <w:p w:rsidR="000969DD" w:rsidRPr="001844D2" w:rsidRDefault="000969DD" w:rsidP="000969DD">
      <w:pPr>
        <w:spacing w:line="269" w:lineRule="auto"/>
        <w:jc w:val="both"/>
        <w:rPr>
          <w:rFonts w:ascii="Arial" w:hAnsi="Arial" w:cs="Arial"/>
          <w:sz w:val="20"/>
          <w:szCs w:val="20"/>
        </w:rPr>
      </w:pPr>
    </w:p>
    <w:p w:rsidR="000969DD" w:rsidRDefault="000969DD" w:rsidP="000969DD">
      <w:pPr>
        <w:spacing w:line="269" w:lineRule="auto"/>
        <w:jc w:val="both"/>
        <w:rPr>
          <w:rFonts w:ascii="Arial" w:hAnsi="Arial" w:cs="Arial"/>
          <w:sz w:val="20"/>
          <w:szCs w:val="20"/>
        </w:rPr>
      </w:pPr>
      <w:r>
        <w:rPr>
          <w:rFonts w:ascii="Arial" w:hAnsi="Arial" w:cs="Arial"/>
          <w:sz w:val="20"/>
          <w:szCs w:val="20"/>
        </w:rPr>
        <w:t>The NTC should work in a</w:t>
      </w:r>
      <w:r w:rsidR="001844D2" w:rsidRPr="001844D2">
        <w:rPr>
          <w:rFonts w:ascii="Arial" w:hAnsi="Arial" w:cs="Arial"/>
          <w:sz w:val="20"/>
          <w:szCs w:val="20"/>
        </w:rPr>
        <w:t xml:space="preserve"> transparent</w:t>
      </w:r>
      <w:r>
        <w:rPr>
          <w:rFonts w:ascii="Arial" w:hAnsi="Arial" w:cs="Arial"/>
          <w:sz w:val="20"/>
          <w:szCs w:val="20"/>
        </w:rPr>
        <w:t xml:space="preserve"> manner, giving </w:t>
      </w:r>
      <w:r w:rsidR="001844D2" w:rsidRPr="001844D2">
        <w:rPr>
          <w:rFonts w:ascii="Arial" w:hAnsi="Arial" w:cs="Arial"/>
          <w:sz w:val="20"/>
          <w:szCs w:val="20"/>
        </w:rPr>
        <w:t xml:space="preserve">full disclosure of data, models, assumptions and formulas so we can work with the NTC to secure the optimal outcome.  </w:t>
      </w:r>
    </w:p>
    <w:p w:rsidR="000969DD" w:rsidRDefault="000969DD" w:rsidP="000969DD">
      <w:pPr>
        <w:spacing w:line="269" w:lineRule="auto"/>
        <w:jc w:val="both"/>
        <w:rPr>
          <w:rFonts w:ascii="Arial" w:hAnsi="Arial" w:cs="Arial"/>
          <w:sz w:val="20"/>
          <w:szCs w:val="20"/>
        </w:rPr>
      </w:pPr>
    </w:p>
    <w:p w:rsidR="000969DD" w:rsidRPr="000969DD" w:rsidRDefault="000969DD" w:rsidP="000969DD">
      <w:pPr>
        <w:spacing w:line="269" w:lineRule="auto"/>
        <w:jc w:val="both"/>
        <w:rPr>
          <w:rFonts w:ascii="Arial" w:hAnsi="Arial" w:cs="Arial"/>
          <w:b/>
          <w:i/>
          <w:sz w:val="20"/>
          <w:szCs w:val="20"/>
        </w:rPr>
      </w:pPr>
      <w:r w:rsidRPr="000969DD">
        <w:rPr>
          <w:rFonts w:ascii="Arial" w:hAnsi="Arial" w:cs="Arial"/>
          <w:b/>
          <w:i/>
          <w:sz w:val="20"/>
          <w:szCs w:val="20"/>
        </w:rPr>
        <w:t>Recommendation 5</w:t>
      </w:r>
    </w:p>
    <w:p w:rsidR="000969DD" w:rsidRDefault="000969DD" w:rsidP="000969DD">
      <w:pPr>
        <w:spacing w:line="269" w:lineRule="auto"/>
        <w:jc w:val="both"/>
        <w:rPr>
          <w:rFonts w:ascii="Arial" w:hAnsi="Arial" w:cs="Arial"/>
          <w:sz w:val="20"/>
          <w:szCs w:val="20"/>
        </w:rPr>
      </w:pPr>
    </w:p>
    <w:p w:rsidR="001844D2" w:rsidRPr="001844D2" w:rsidRDefault="000969DD" w:rsidP="000969DD">
      <w:pPr>
        <w:spacing w:line="269" w:lineRule="auto"/>
        <w:jc w:val="both"/>
        <w:rPr>
          <w:rFonts w:ascii="Arial" w:hAnsi="Arial" w:cs="Arial"/>
        </w:rPr>
      </w:pPr>
      <w:r>
        <w:rPr>
          <w:rFonts w:ascii="Arial" w:hAnsi="Arial" w:cs="Arial"/>
          <w:sz w:val="20"/>
          <w:szCs w:val="20"/>
        </w:rPr>
        <w:t>The ATA recommend that s</w:t>
      </w:r>
      <w:r w:rsidR="001844D2" w:rsidRPr="001844D2">
        <w:rPr>
          <w:rFonts w:ascii="Arial" w:hAnsi="Arial" w:cs="Arial"/>
          <w:sz w:val="20"/>
          <w:szCs w:val="20"/>
        </w:rPr>
        <w:t xml:space="preserve">upply side reform should be undertaken prior to any more </w:t>
      </w:r>
      <w:r w:rsidR="00C11E50">
        <w:rPr>
          <w:rFonts w:ascii="Arial" w:hAnsi="Arial" w:cs="Arial"/>
          <w:sz w:val="20"/>
          <w:szCs w:val="20"/>
        </w:rPr>
        <w:t xml:space="preserve">fundamental </w:t>
      </w:r>
      <w:r w:rsidR="001844D2" w:rsidRPr="001844D2">
        <w:rPr>
          <w:rFonts w:ascii="Arial" w:hAnsi="Arial" w:cs="Arial"/>
          <w:sz w:val="20"/>
          <w:szCs w:val="20"/>
        </w:rPr>
        <w:t xml:space="preserve">changes to heavy vehicle charges. </w:t>
      </w:r>
      <w:proofErr w:type="gramStart"/>
      <w:r w:rsidR="001844D2" w:rsidRPr="001844D2">
        <w:rPr>
          <w:rFonts w:ascii="Arial" w:hAnsi="Arial" w:cs="Arial"/>
          <w:sz w:val="20"/>
          <w:szCs w:val="20"/>
        </w:rPr>
        <w:t>E.g. C</w:t>
      </w:r>
      <w:r w:rsidR="00C11E50">
        <w:rPr>
          <w:rFonts w:ascii="Arial" w:hAnsi="Arial" w:cs="Arial"/>
          <w:sz w:val="20"/>
          <w:szCs w:val="20"/>
        </w:rPr>
        <w:t xml:space="preserve">OAG </w:t>
      </w:r>
      <w:r w:rsidR="001844D2" w:rsidRPr="001844D2">
        <w:rPr>
          <w:rFonts w:ascii="Arial" w:hAnsi="Arial" w:cs="Arial"/>
          <w:sz w:val="20"/>
          <w:szCs w:val="20"/>
        </w:rPr>
        <w:t>R</w:t>
      </w:r>
      <w:r w:rsidR="00C11E50">
        <w:rPr>
          <w:rFonts w:ascii="Arial" w:hAnsi="Arial" w:cs="Arial"/>
          <w:sz w:val="20"/>
          <w:szCs w:val="20"/>
        </w:rPr>
        <w:t xml:space="preserve">oad </w:t>
      </w:r>
      <w:r w:rsidR="001844D2" w:rsidRPr="001844D2">
        <w:rPr>
          <w:rFonts w:ascii="Arial" w:hAnsi="Arial" w:cs="Arial"/>
          <w:sz w:val="20"/>
          <w:szCs w:val="20"/>
        </w:rPr>
        <w:t>R</w:t>
      </w:r>
      <w:r w:rsidR="00C11E50">
        <w:rPr>
          <w:rFonts w:ascii="Arial" w:hAnsi="Arial" w:cs="Arial"/>
          <w:sz w:val="20"/>
          <w:szCs w:val="20"/>
        </w:rPr>
        <w:t xml:space="preserve">eform </w:t>
      </w:r>
      <w:r w:rsidR="001844D2" w:rsidRPr="001844D2">
        <w:rPr>
          <w:rFonts w:ascii="Arial" w:hAnsi="Arial" w:cs="Arial"/>
          <w:sz w:val="20"/>
          <w:szCs w:val="20"/>
        </w:rPr>
        <w:t>P</w:t>
      </w:r>
      <w:r w:rsidR="00C11E50">
        <w:rPr>
          <w:rFonts w:ascii="Arial" w:hAnsi="Arial" w:cs="Arial"/>
          <w:sz w:val="20"/>
          <w:szCs w:val="20"/>
        </w:rPr>
        <w:t>lan (CRRP)</w:t>
      </w:r>
      <w:r w:rsidR="001844D2" w:rsidRPr="001844D2">
        <w:rPr>
          <w:rFonts w:ascii="Arial" w:hAnsi="Arial" w:cs="Arial"/>
        </w:rPr>
        <w:t>.</w:t>
      </w:r>
      <w:proofErr w:type="gramEnd"/>
    </w:p>
    <w:p w:rsidR="00CD3EE7" w:rsidRDefault="00CD3EE7" w:rsidP="00300037">
      <w:pPr>
        <w:spacing w:line="269" w:lineRule="auto"/>
        <w:jc w:val="both"/>
        <w:rPr>
          <w:rFonts w:ascii="Arial" w:hAnsi="Arial" w:cs="Arial"/>
        </w:rPr>
      </w:pPr>
    </w:p>
    <w:p w:rsidR="000969DD" w:rsidRPr="00BC16DB" w:rsidRDefault="000969DD" w:rsidP="00300037">
      <w:pPr>
        <w:spacing w:line="269" w:lineRule="auto"/>
        <w:jc w:val="both"/>
        <w:rPr>
          <w:rFonts w:ascii="Arial" w:hAnsi="Arial" w:cs="Arial"/>
        </w:rPr>
      </w:pPr>
    </w:p>
    <w:p w:rsidR="007825D0" w:rsidRPr="00D07E61" w:rsidRDefault="00AC10B1" w:rsidP="00D07E61">
      <w:pPr>
        <w:pStyle w:val="Heading1"/>
        <w:spacing w:line="269" w:lineRule="auto"/>
        <w:jc w:val="both"/>
      </w:pPr>
      <w:bookmarkStart w:id="2" w:name="_Toc316396804"/>
      <w:r w:rsidRPr="00740788">
        <w:t>NTC objectives</w:t>
      </w:r>
      <w:bookmarkEnd w:id="2"/>
    </w:p>
    <w:p w:rsidR="00C07BA2" w:rsidRDefault="00C07BA2" w:rsidP="007825D0">
      <w:pPr>
        <w:spacing w:line="269" w:lineRule="auto"/>
        <w:jc w:val="both"/>
        <w:rPr>
          <w:rFonts w:ascii="Arial" w:hAnsi="Arial" w:cs="Arial"/>
          <w:sz w:val="20"/>
          <w:szCs w:val="20"/>
        </w:rPr>
      </w:pPr>
    </w:p>
    <w:p w:rsidR="00C07BA2" w:rsidRDefault="00062FCC" w:rsidP="007825D0">
      <w:pPr>
        <w:spacing w:line="269" w:lineRule="auto"/>
        <w:jc w:val="both"/>
        <w:rPr>
          <w:rFonts w:ascii="Arial" w:hAnsi="Arial" w:cs="Arial"/>
          <w:sz w:val="20"/>
          <w:szCs w:val="20"/>
        </w:rPr>
      </w:pPr>
      <w:r w:rsidRPr="00740788">
        <w:rPr>
          <w:rFonts w:ascii="Arial" w:hAnsi="Arial" w:cs="Arial"/>
          <w:sz w:val="20"/>
          <w:szCs w:val="20"/>
        </w:rPr>
        <w:t>According to ATC directives</w:t>
      </w:r>
      <w:r w:rsidR="00F036C9" w:rsidRPr="00740788">
        <w:rPr>
          <w:rFonts w:ascii="Arial" w:hAnsi="Arial" w:cs="Arial"/>
          <w:sz w:val="20"/>
          <w:szCs w:val="20"/>
        </w:rPr>
        <w:t>,</w:t>
      </w:r>
      <w:r w:rsidRPr="00740788">
        <w:rPr>
          <w:rFonts w:ascii="Arial" w:hAnsi="Arial" w:cs="Arial"/>
          <w:sz w:val="20"/>
          <w:szCs w:val="20"/>
        </w:rPr>
        <w:t xml:space="preserve"> the NTC should ensure that industry pays no more than it </w:t>
      </w:r>
      <w:r w:rsidR="00753CB7" w:rsidRPr="00740788">
        <w:rPr>
          <w:rFonts w:ascii="Arial" w:hAnsi="Arial" w:cs="Arial"/>
          <w:sz w:val="20"/>
          <w:szCs w:val="20"/>
        </w:rPr>
        <w:t>ought</w:t>
      </w:r>
      <w:r w:rsidR="00443877">
        <w:rPr>
          <w:rFonts w:ascii="Arial" w:hAnsi="Arial" w:cs="Arial"/>
          <w:sz w:val="20"/>
          <w:szCs w:val="20"/>
        </w:rPr>
        <w:t xml:space="preserve"> to</w:t>
      </w:r>
      <w:r w:rsidR="00753CB7" w:rsidRPr="00740788">
        <w:rPr>
          <w:rFonts w:ascii="Arial" w:hAnsi="Arial" w:cs="Arial"/>
          <w:sz w:val="20"/>
          <w:szCs w:val="20"/>
        </w:rPr>
        <w:t xml:space="preserve"> </w:t>
      </w:r>
      <w:r w:rsidRPr="00740788">
        <w:rPr>
          <w:rFonts w:ascii="Arial" w:hAnsi="Arial" w:cs="Arial"/>
          <w:sz w:val="20"/>
          <w:szCs w:val="20"/>
        </w:rPr>
        <w:t xml:space="preserve">in charges. The ATA believes that over recovery has been occurring </w:t>
      </w:r>
      <w:r w:rsidR="000E626F" w:rsidRPr="00740788">
        <w:rPr>
          <w:rFonts w:ascii="Arial" w:hAnsi="Arial" w:cs="Arial"/>
          <w:sz w:val="20"/>
          <w:szCs w:val="20"/>
        </w:rPr>
        <w:t xml:space="preserve">since the 2007 determination </w:t>
      </w:r>
      <w:r w:rsidR="00753CB7" w:rsidRPr="00740788">
        <w:rPr>
          <w:rFonts w:ascii="Arial" w:hAnsi="Arial" w:cs="Arial"/>
          <w:sz w:val="20"/>
          <w:szCs w:val="20"/>
        </w:rPr>
        <w:t>and the NTC model of bottom</w:t>
      </w:r>
      <w:r w:rsidR="00F036C9" w:rsidRPr="00740788">
        <w:rPr>
          <w:rFonts w:ascii="Arial" w:hAnsi="Arial" w:cs="Arial"/>
          <w:sz w:val="20"/>
          <w:szCs w:val="20"/>
        </w:rPr>
        <w:t>-</w:t>
      </w:r>
      <w:r w:rsidR="00753CB7" w:rsidRPr="00740788">
        <w:rPr>
          <w:rFonts w:ascii="Arial" w:hAnsi="Arial" w:cs="Arial"/>
          <w:sz w:val="20"/>
          <w:szCs w:val="20"/>
        </w:rPr>
        <w:t>up charging explicitly shows over recovery occurring.</w:t>
      </w:r>
      <w:r w:rsidRPr="00740788">
        <w:rPr>
          <w:rFonts w:ascii="Arial" w:hAnsi="Arial" w:cs="Arial"/>
          <w:sz w:val="20"/>
          <w:szCs w:val="20"/>
        </w:rPr>
        <w:t xml:space="preserve"> </w:t>
      </w:r>
    </w:p>
    <w:p w:rsidR="007825D0" w:rsidRDefault="007825D0" w:rsidP="007825D0">
      <w:pPr>
        <w:spacing w:line="269" w:lineRule="auto"/>
        <w:jc w:val="both"/>
        <w:rPr>
          <w:rFonts w:ascii="Arial" w:hAnsi="Arial" w:cs="Arial"/>
          <w:sz w:val="20"/>
          <w:szCs w:val="20"/>
        </w:rPr>
      </w:pPr>
    </w:p>
    <w:p w:rsidR="00DE3554" w:rsidRDefault="00617771" w:rsidP="00300037">
      <w:pPr>
        <w:spacing w:line="269" w:lineRule="auto"/>
        <w:jc w:val="both"/>
        <w:rPr>
          <w:rFonts w:ascii="Arial" w:hAnsi="Arial" w:cs="Arial"/>
          <w:sz w:val="20"/>
          <w:szCs w:val="20"/>
        </w:rPr>
      </w:pPr>
      <w:r w:rsidRPr="00740788">
        <w:rPr>
          <w:rFonts w:ascii="Arial" w:hAnsi="Arial" w:cs="Arial"/>
          <w:sz w:val="20"/>
          <w:szCs w:val="20"/>
        </w:rPr>
        <w:t xml:space="preserve">The cross-subsidisation that occurs in the </w:t>
      </w:r>
      <w:r w:rsidR="002361E2" w:rsidRPr="00740788">
        <w:rPr>
          <w:rFonts w:ascii="Arial" w:hAnsi="Arial" w:cs="Arial"/>
          <w:sz w:val="20"/>
          <w:szCs w:val="20"/>
        </w:rPr>
        <w:t xml:space="preserve">past and </w:t>
      </w:r>
      <w:r w:rsidRPr="00740788">
        <w:rPr>
          <w:rFonts w:ascii="Arial" w:hAnsi="Arial" w:cs="Arial"/>
          <w:sz w:val="20"/>
          <w:szCs w:val="20"/>
        </w:rPr>
        <w:t xml:space="preserve">current system is wholly acceptable, as </w:t>
      </w:r>
      <w:r w:rsidR="00700A01">
        <w:rPr>
          <w:rFonts w:ascii="Arial" w:hAnsi="Arial" w:cs="Arial"/>
          <w:sz w:val="20"/>
          <w:szCs w:val="20"/>
        </w:rPr>
        <w:t>i</w:t>
      </w:r>
      <w:r w:rsidRPr="00740788">
        <w:rPr>
          <w:rFonts w:ascii="Arial" w:hAnsi="Arial" w:cs="Arial"/>
          <w:sz w:val="20"/>
          <w:szCs w:val="20"/>
        </w:rPr>
        <w:t xml:space="preserve">t </w:t>
      </w:r>
      <w:r w:rsidR="00700A01">
        <w:rPr>
          <w:rFonts w:ascii="Arial" w:hAnsi="Arial" w:cs="Arial"/>
          <w:sz w:val="20"/>
          <w:szCs w:val="20"/>
        </w:rPr>
        <w:t xml:space="preserve">occurs in </w:t>
      </w:r>
      <w:r w:rsidRPr="00740788">
        <w:rPr>
          <w:rFonts w:ascii="Arial" w:hAnsi="Arial" w:cs="Arial"/>
          <w:sz w:val="20"/>
          <w:szCs w:val="20"/>
        </w:rPr>
        <w:t xml:space="preserve">nearly all charging models that exist. </w:t>
      </w:r>
      <w:r w:rsidR="00700A01">
        <w:rPr>
          <w:rFonts w:ascii="Arial" w:hAnsi="Arial" w:cs="Arial"/>
          <w:sz w:val="20"/>
          <w:szCs w:val="20"/>
        </w:rPr>
        <w:t>T</w:t>
      </w:r>
      <w:r w:rsidRPr="00740788">
        <w:rPr>
          <w:rFonts w:ascii="Arial" w:hAnsi="Arial" w:cs="Arial"/>
          <w:sz w:val="20"/>
          <w:szCs w:val="20"/>
        </w:rPr>
        <w:t xml:space="preserve">he ATA has made it clear that cross-subsidisation is not something that should be a premium objective because </w:t>
      </w:r>
      <w:r w:rsidR="00700A01">
        <w:rPr>
          <w:rFonts w:ascii="Arial" w:hAnsi="Arial" w:cs="Arial"/>
          <w:sz w:val="20"/>
          <w:szCs w:val="20"/>
        </w:rPr>
        <w:t>it</w:t>
      </w:r>
      <w:r w:rsidRPr="00740788">
        <w:rPr>
          <w:rFonts w:ascii="Arial" w:hAnsi="Arial" w:cs="Arial"/>
          <w:sz w:val="20"/>
          <w:szCs w:val="20"/>
        </w:rPr>
        <w:t xml:space="preserve"> allows for </w:t>
      </w:r>
      <w:r w:rsidR="004A02D7" w:rsidRPr="00740788">
        <w:rPr>
          <w:rFonts w:ascii="Arial" w:hAnsi="Arial" w:cs="Arial"/>
          <w:sz w:val="20"/>
          <w:szCs w:val="20"/>
        </w:rPr>
        <w:t xml:space="preserve">a cost effective and practical charging system. </w:t>
      </w:r>
    </w:p>
    <w:p w:rsidR="00DE3554" w:rsidRPr="00740788" w:rsidRDefault="00DE3554" w:rsidP="00300037">
      <w:pPr>
        <w:spacing w:line="269" w:lineRule="auto"/>
        <w:jc w:val="both"/>
        <w:rPr>
          <w:rFonts w:ascii="Arial" w:hAnsi="Arial" w:cs="Arial"/>
          <w:sz w:val="20"/>
          <w:szCs w:val="20"/>
        </w:rPr>
      </w:pPr>
    </w:p>
    <w:p w:rsidR="00D07E61" w:rsidRPr="00740788" w:rsidRDefault="00D07E61" w:rsidP="00D07E61">
      <w:pPr>
        <w:spacing w:line="269" w:lineRule="auto"/>
        <w:jc w:val="both"/>
        <w:rPr>
          <w:rFonts w:ascii="Arial" w:hAnsi="Arial" w:cs="Arial"/>
          <w:sz w:val="20"/>
          <w:szCs w:val="20"/>
        </w:rPr>
      </w:pPr>
      <w:r w:rsidRPr="00740788">
        <w:rPr>
          <w:rFonts w:ascii="Arial" w:hAnsi="Arial" w:cs="Arial"/>
          <w:sz w:val="20"/>
          <w:szCs w:val="20"/>
        </w:rPr>
        <w:t>While the principles behind the optimal road use prices are agreed to by the ATA, the NTC should focus on its own endorsement that tradeoffs can be mad</w:t>
      </w:r>
      <w:r>
        <w:rPr>
          <w:rFonts w:ascii="Arial" w:hAnsi="Arial" w:cs="Arial"/>
          <w:sz w:val="20"/>
          <w:szCs w:val="20"/>
        </w:rPr>
        <w:t>e between the principles. Trade</w:t>
      </w:r>
      <w:r w:rsidRPr="00740788">
        <w:rPr>
          <w:rFonts w:ascii="Arial" w:hAnsi="Arial" w:cs="Arial"/>
          <w:sz w:val="20"/>
          <w:szCs w:val="20"/>
        </w:rPr>
        <w:t>offs such as cross-subsidisation should be considered for superior outcomes.</w:t>
      </w:r>
    </w:p>
    <w:p w:rsidR="00D07E61" w:rsidRDefault="00D07E61" w:rsidP="00D07E61">
      <w:pPr>
        <w:spacing w:line="269" w:lineRule="auto"/>
        <w:jc w:val="both"/>
        <w:rPr>
          <w:rFonts w:ascii="Arial" w:hAnsi="Arial" w:cs="Arial"/>
          <w:sz w:val="20"/>
          <w:szCs w:val="20"/>
        </w:rPr>
      </w:pPr>
    </w:p>
    <w:p w:rsidR="00617771" w:rsidRDefault="00700A01" w:rsidP="00300037">
      <w:pPr>
        <w:spacing w:line="269" w:lineRule="auto"/>
        <w:jc w:val="both"/>
        <w:rPr>
          <w:rFonts w:ascii="Arial" w:hAnsi="Arial" w:cs="Arial"/>
          <w:sz w:val="20"/>
          <w:szCs w:val="20"/>
        </w:rPr>
      </w:pPr>
      <w:r>
        <w:rPr>
          <w:rFonts w:ascii="Arial" w:hAnsi="Arial" w:cs="Arial"/>
          <w:sz w:val="20"/>
          <w:szCs w:val="20"/>
        </w:rPr>
        <w:t xml:space="preserve">There is too much </w:t>
      </w:r>
      <w:r w:rsidR="00D07E61">
        <w:rPr>
          <w:rFonts w:ascii="Arial" w:hAnsi="Arial" w:cs="Arial"/>
          <w:sz w:val="20"/>
          <w:szCs w:val="20"/>
        </w:rPr>
        <w:t>focus</w:t>
      </w:r>
      <w:r w:rsidR="00D07E61" w:rsidRPr="00740788">
        <w:rPr>
          <w:rFonts w:ascii="Arial" w:hAnsi="Arial" w:cs="Arial"/>
          <w:sz w:val="20"/>
          <w:szCs w:val="20"/>
        </w:rPr>
        <w:t xml:space="preserve"> on the distribution of state and Commonwealth revenues</w:t>
      </w:r>
      <w:r>
        <w:rPr>
          <w:rFonts w:ascii="Arial" w:hAnsi="Arial" w:cs="Arial"/>
          <w:sz w:val="20"/>
          <w:szCs w:val="20"/>
        </w:rPr>
        <w:t>. As this is purely a registration revenue matter</w:t>
      </w:r>
      <w:r w:rsidR="00C07BA2">
        <w:rPr>
          <w:rFonts w:ascii="Arial" w:hAnsi="Arial" w:cs="Arial"/>
          <w:sz w:val="20"/>
          <w:szCs w:val="20"/>
        </w:rPr>
        <w:t>.</w:t>
      </w:r>
      <w:r>
        <w:rPr>
          <w:rFonts w:ascii="Arial" w:hAnsi="Arial" w:cs="Arial"/>
          <w:sz w:val="20"/>
          <w:szCs w:val="20"/>
        </w:rPr>
        <w:t xml:space="preserve"> </w:t>
      </w:r>
    </w:p>
    <w:p w:rsidR="00700A01" w:rsidRPr="00740788" w:rsidRDefault="00700A01" w:rsidP="00300037">
      <w:pPr>
        <w:spacing w:line="269" w:lineRule="auto"/>
        <w:jc w:val="both"/>
        <w:rPr>
          <w:rFonts w:ascii="Arial" w:hAnsi="Arial" w:cs="Arial"/>
          <w:sz w:val="20"/>
          <w:szCs w:val="20"/>
        </w:rPr>
      </w:pPr>
    </w:p>
    <w:p w:rsidR="000969DD" w:rsidRDefault="000969DD">
      <w:pPr>
        <w:spacing w:after="200" w:line="276" w:lineRule="auto"/>
        <w:rPr>
          <w:rFonts w:ascii="Arial" w:hAnsi="Arial" w:cs="Arial"/>
          <w:sz w:val="20"/>
          <w:szCs w:val="20"/>
        </w:rPr>
      </w:pPr>
      <w:r>
        <w:rPr>
          <w:rFonts w:ascii="Arial" w:hAnsi="Arial" w:cs="Arial"/>
          <w:sz w:val="20"/>
          <w:szCs w:val="20"/>
        </w:rPr>
        <w:br w:type="page"/>
      </w:r>
    </w:p>
    <w:p w:rsidR="000969DD" w:rsidRDefault="00617771" w:rsidP="000969DD">
      <w:pPr>
        <w:spacing w:line="269" w:lineRule="auto"/>
        <w:jc w:val="both"/>
        <w:rPr>
          <w:rFonts w:ascii="Arial" w:hAnsi="Arial" w:cs="Arial"/>
          <w:sz w:val="20"/>
          <w:szCs w:val="20"/>
        </w:rPr>
      </w:pPr>
      <w:r w:rsidRPr="00740788">
        <w:rPr>
          <w:rFonts w:ascii="Arial" w:hAnsi="Arial" w:cs="Arial"/>
          <w:sz w:val="20"/>
          <w:szCs w:val="20"/>
        </w:rPr>
        <w:lastRenderedPageBreak/>
        <w:t xml:space="preserve">The assessed options and scenarios are </w:t>
      </w:r>
      <w:r w:rsidR="00F829D4" w:rsidRPr="00740788">
        <w:rPr>
          <w:rFonts w:ascii="Arial" w:hAnsi="Arial" w:cs="Arial"/>
          <w:sz w:val="20"/>
          <w:szCs w:val="20"/>
        </w:rPr>
        <w:t xml:space="preserve">considered </w:t>
      </w:r>
      <w:r w:rsidRPr="00740788">
        <w:rPr>
          <w:rFonts w:ascii="Arial" w:hAnsi="Arial" w:cs="Arial"/>
          <w:sz w:val="20"/>
          <w:szCs w:val="20"/>
        </w:rPr>
        <w:t xml:space="preserve">against five objectives that the NTC are using to </w:t>
      </w:r>
      <w:r w:rsidR="00F829D4" w:rsidRPr="00740788">
        <w:rPr>
          <w:rFonts w:ascii="Arial" w:hAnsi="Arial" w:cs="Arial"/>
          <w:sz w:val="20"/>
          <w:szCs w:val="20"/>
        </w:rPr>
        <w:t>judge each of the options.</w:t>
      </w:r>
    </w:p>
    <w:p w:rsidR="00F829D4" w:rsidRPr="00740788" w:rsidRDefault="00F829D4" w:rsidP="00300037">
      <w:pPr>
        <w:spacing w:line="269" w:lineRule="auto"/>
        <w:jc w:val="both"/>
        <w:rPr>
          <w:rFonts w:ascii="Arial" w:hAnsi="Arial" w:cs="Arial"/>
          <w:sz w:val="20"/>
          <w:szCs w:val="20"/>
        </w:rPr>
      </w:pPr>
    </w:p>
    <w:tbl>
      <w:tblPr>
        <w:tblStyle w:val="LightList-Accent11"/>
        <w:tblW w:w="0" w:type="auto"/>
        <w:tblLook w:val="04A0"/>
      </w:tblPr>
      <w:tblGrid>
        <w:gridCol w:w="4927"/>
        <w:gridCol w:w="4927"/>
      </w:tblGrid>
      <w:tr w:rsidR="004A02D7" w:rsidRPr="00740788" w:rsidTr="004A02D7">
        <w:trPr>
          <w:cnfStyle w:val="100000000000"/>
        </w:trPr>
        <w:tc>
          <w:tcPr>
            <w:cnfStyle w:val="001000000000"/>
            <w:tcW w:w="4927" w:type="dxa"/>
          </w:tcPr>
          <w:p w:rsidR="004A02D7" w:rsidRPr="00F50321" w:rsidRDefault="004A02D7" w:rsidP="00300037">
            <w:pPr>
              <w:spacing w:line="269" w:lineRule="auto"/>
              <w:jc w:val="center"/>
              <w:rPr>
                <w:rFonts w:ascii="Arial" w:hAnsi="Arial" w:cs="Arial"/>
                <w:sz w:val="16"/>
                <w:szCs w:val="16"/>
              </w:rPr>
            </w:pPr>
            <w:r w:rsidRPr="00F50321">
              <w:rPr>
                <w:rFonts w:ascii="Arial" w:hAnsi="Arial" w:cs="Arial"/>
                <w:sz w:val="16"/>
                <w:szCs w:val="16"/>
              </w:rPr>
              <w:t>NTC objectives</w:t>
            </w:r>
          </w:p>
        </w:tc>
        <w:tc>
          <w:tcPr>
            <w:tcW w:w="4927" w:type="dxa"/>
          </w:tcPr>
          <w:p w:rsidR="004A02D7" w:rsidRPr="00F50321" w:rsidRDefault="004A02D7" w:rsidP="00300037">
            <w:pPr>
              <w:spacing w:line="269" w:lineRule="auto"/>
              <w:jc w:val="center"/>
              <w:cnfStyle w:val="100000000000"/>
              <w:rPr>
                <w:rFonts w:ascii="Arial" w:hAnsi="Arial" w:cs="Arial"/>
                <w:sz w:val="16"/>
                <w:szCs w:val="16"/>
              </w:rPr>
            </w:pPr>
            <w:r w:rsidRPr="00F50321">
              <w:rPr>
                <w:rFonts w:ascii="Arial" w:hAnsi="Arial" w:cs="Arial"/>
                <w:sz w:val="16"/>
                <w:szCs w:val="16"/>
              </w:rPr>
              <w:t>ATA comments</w:t>
            </w:r>
          </w:p>
        </w:tc>
      </w:tr>
      <w:tr w:rsidR="004A02D7" w:rsidRPr="00740788" w:rsidTr="00051BA5">
        <w:trPr>
          <w:cnfStyle w:val="000000100000"/>
          <w:trHeight w:val="607"/>
        </w:trPr>
        <w:tc>
          <w:tcPr>
            <w:cnfStyle w:val="001000000000"/>
            <w:tcW w:w="4927" w:type="dxa"/>
          </w:tcPr>
          <w:p w:rsidR="004A02D7" w:rsidRPr="00F50321" w:rsidRDefault="004A02D7" w:rsidP="00300037">
            <w:pPr>
              <w:spacing w:line="269" w:lineRule="auto"/>
              <w:rPr>
                <w:rFonts w:ascii="Arial" w:hAnsi="Arial" w:cs="Arial"/>
                <w:sz w:val="16"/>
                <w:szCs w:val="16"/>
              </w:rPr>
            </w:pPr>
            <w:r w:rsidRPr="00F50321">
              <w:rPr>
                <w:rFonts w:ascii="Arial" w:hAnsi="Arial" w:cs="Arial"/>
                <w:sz w:val="16"/>
                <w:szCs w:val="16"/>
              </w:rPr>
              <w:t>Quick implementation</w:t>
            </w:r>
          </w:p>
        </w:tc>
        <w:tc>
          <w:tcPr>
            <w:tcW w:w="4927" w:type="dxa"/>
          </w:tcPr>
          <w:p w:rsidR="004A02D7" w:rsidRPr="00F50321" w:rsidRDefault="00062FCC" w:rsidP="00300037">
            <w:pPr>
              <w:spacing w:line="269" w:lineRule="auto"/>
              <w:cnfStyle w:val="000000100000"/>
              <w:rPr>
                <w:rFonts w:ascii="Arial" w:hAnsi="Arial" w:cs="Arial"/>
                <w:sz w:val="16"/>
                <w:szCs w:val="16"/>
              </w:rPr>
            </w:pPr>
            <w:r w:rsidRPr="00F50321">
              <w:rPr>
                <w:rFonts w:ascii="Arial" w:hAnsi="Arial" w:cs="Arial"/>
                <w:sz w:val="16"/>
                <w:szCs w:val="16"/>
              </w:rPr>
              <w:t>L</w:t>
            </w:r>
            <w:r w:rsidR="004A02D7" w:rsidRPr="00F50321">
              <w:rPr>
                <w:rFonts w:ascii="Arial" w:hAnsi="Arial" w:cs="Arial"/>
                <w:sz w:val="16"/>
                <w:szCs w:val="16"/>
              </w:rPr>
              <w:t>eaving the implementation any later than July 2012 would be devastating on the industry</w:t>
            </w:r>
            <w:r w:rsidR="00051BA5" w:rsidRPr="00F50321">
              <w:rPr>
                <w:rFonts w:ascii="Arial" w:hAnsi="Arial" w:cs="Arial"/>
                <w:sz w:val="16"/>
                <w:szCs w:val="16"/>
              </w:rPr>
              <w:t>.</w:t>
            </w:r>
          </w:p>
        </w:tc>
      </w:tr>
      <w:tr w:rsidR="004A02D7" w:rsidRPr="00740788" w:rsidTr="004A02D7">
        <w:tc>
          <w:tcPr>
            <w:cnfStyle w:val="001000000000"/>
            <w:tcW w:w="4927" w:type="dxa"/>
          </w:tcPr>
          <w:p w:rsidR="004A02D7" w:rsidRPr="00F50321" w:rsidRDefault="004A02D7" w:rsidP="00300037">
            <w:pPr>
              <w:spacing w:line="269" w:lineRule="auto"/>
              <w:rPr>
                <w:rFonts w:ascii="Arial" w:hAnsi="Arial" w:cs="Arial"/>
                <w:sz w:val="16"/>
                <w:szCs w:val="16"/>
              </w:rPr>
            </w:pPr>
            <w:r w:rsidRPr="00F50321">
              <w:rPr>
                <w:rFonts w:ascii="Arial" w:hAnsi="Arial" w:cs="Arial"/>
                <w:sz w:val="16"/>
                <w:szCs w:val="16"/>
              </w:rPr>
              <w:t>Better B-triple/double Road train pricing relativity</w:t>
            </w:r>
          </w:p>
        </w:tc>
        <w:tc>
          <w:tcPr>
            <w:tcW w:w="4927" w:type="dxa"/>
          </w:tcPr>
          <w:p w:rsidR="004A02D7" w:rsidRPr="00F50321" w:rsidRDefault="004A02D7" w:rsidP="00300037">
            <w:pPr>
              <w:spacing w:line="269" w:lineRule="auto"/>
              <w:cnfStyle w:val="000000000000"/>
              <w:rPr>
                <w:rFonts w:ascii="Arial" w:hAnsi="Arial" w:cs="Arial"/>
                <w:sz w:val="16"/>
                <w:szCs w:val="16"/>
              </w:rPr>
            </w:pPr>
            <w:r w:rsidRPr="00F50321">
              <w:rPr>
                <w:rFonts w:ascii="Arial" w:hAnsi="Arial" w:cs="Arial"/>
                <w:sz w:val="16"/>
                <w:szCs w:val="16"/>
              </w:rPr>
              <w:t xml:space="preserve">The NTC has focused on this because Queensland </w:t>
            </w:r>
            <w:r w:rsidR="00051BA5" w:rsidRPr="00F50321">
              <w:rPr>
                <w:rFonts w:ascii="Arial" w:hAnsi="Arial" w:cs="Arial"/>
                <w:sz w:val="16"/>
                <w:szCs w:val="16"/>
              </w:rPr>
              <w:t>does</w:t>
            </w:r>
            <w:r w:rsidR="00753CB7" w:rsidRPr="00F50321">
              <w:rPr>
                <w:rFonts w:ascii="Arial" w:hAnsi="Arial" w:cs="Arial"/>
                <w:sz w:val="16"/>
                <w:szCs w:val="16"/>
              </w:rPr>
              <w:t xml:space="preserve"> not levy</w:t>
            </w:r>
            <w:r w:rsidRPr="00F50321">
              <w:rPr>
                <w:rFonts w:ascii="Arial" w:hAnsi="Arial" w:cs="Arial"/>
                <w:sz w:val="16"/>
                <w:szCs w:val="16"/>
              </w:rPr>
              <w:t xml:space="preserve"> full A-trailer charges on some A-trailers used in road train combinations.</w:t>
            </w:r>
            <w:r w:rsidR="00F829D4" w:rsidRPr="00F50321">
              <w:rPr>
                <w:rFonts w:ascii="Arial" w:hAnsi="Arial" w:cs="Arial"/>
                <w:sz w:val="16"/>
                <w:szCs w:val="16"/>
              </w:rPr>
              <w:t xml:space="preserve">  A common per axle charge solves this.</w:t>
            </w:r>
          </w:p>
        </w:tc>
      </w:tr>
      <w:tr w:rsidR="004A02D7" w:rsidRPr="00740788" w:rsidTr="004A02D7">
        <w:trPr>
          <w:cnfStyle w:val="000000100000"/>
        </w:trPr>
        <w:tc>
          <w:tcPr>
            <w:cnfStyle w:val="001000000000"/>
            <w:tcW w:w="4927" w:type="dxa"/>
          </w:tcPr>
          <w:p w:rsidR="004A02D7" w:rsidRPr="00F50321" w:rsidRDefault="004A02D7" w:rsidP="00300037">
            <w:pPr>
              <w:spacing w:line="269" w:lineRule="auto"/>
              <w:rPr>
                <w:rFonts w:ascii="Arial" w:hAnsi="Arial" w:cs="Arial"/>
                <w:sz w:val="16"/>
                <w:szCs w:val="16"/>
              </w:rPr>
            </w:pPr>
            <w:r w:rsidRPr="00F50321">
              <w:rPr>
                <w:rFonts w:ascii="Arial" w:hAnsi="Arial" w:cs="Arial"/>
                <w:sz w:val="16"/>
                <w:szCs w:val="16"/>
              </w:rPr>
              <w:t>National consistency</w:t>
            </w:r>
          </w:p>
        </w:tc>
        <w:tc>
          <w:tcPr>
            <w:tcW w:w="4927" w:type="dxa"/>
          </w:tcPr>
          <w:p w:rsidR="004A02D7" w:rsidRPr="00F50321" w:rsidRDefault="00051BA5" w:rsidP="00300037">
            <w:pPr>
              <w:spacing w:line="269" w:lineRule="auto"/>
              <w:cnfStyle w:val="000000100000"/>
              <w:rPr>
                <w:rFonts w:ascii="Arial" w:hAnsi="Arial" w:cs="Arial"/>
                <w:sz w:val="16"/>
                <w:szCs w:val="16"/>
              </w:rPr>
            </w:pPr>
            <w:r w:rsidRPr="00F50321">
              <w:rPr>
                <w:rFonts w:ascii="Arial" w:hAnsi="Arial" w:cs="Arial"/>
                <w:sz w:val="16"/>
                <w:szCs w:val="16"/>
              </w:rPr>
              <w:t>The National Heavy Vehicle R</w:t>
            </w:r>
            <w:r w:rsidR="004A02D7" w:rsidRPr="00F50321">
              <w:rPr>
                <w:rFonts w:ascii="Arial" w:hAnsi="Arial" w:cs="Arial"/>
                <w:sz w:val="16"/>
                <w:szCs w:val="16"/>
              </w:rPr>
              <w:t xml:space="preserve">egulator </w:t>
            </w:r>
            <w:r w:rsidRPr="00F50321">
              <w:rPr>
                <w:rFonts w:ascii="Arial" w:hAnsi="Arial" w:cs="Arial"/>
                <w:sz w:val="16"/>
                <w:szCs w:val="16"/>
              </w:rPr>
              <w:t xml:space="preserve">is </w:t>
            </w:r>
            <w:r w:rsidR="004A02D7" w:rsidRPr="00F50321">
              <w:rPr>
                <w:rFonts w:ascii="Arial" w:hAnsi="Arial" w:cs="Arial"/>
                <w:sz w:val="16"/>
                <w:szCs w:val="16"/>
              </w:rPr>
              <w:t>set to harmonise heavy vehicle law and charges</w:t>
            </w:r>
            <w:r w:rsidRPr="00F50321">
              <w:rPr>
                <w:rFonts w:ascii="Arial" w:hAnsi="Arial" w:cs="Arial"/>
                <w:sz w:val="16"/>
                <w:szCs w:val="16"/>
              </w:rPr>
              <w:t>. Therefore, industry would prefer an option which adheres to national consistency.</w:t>
            </w:r>
          </w:p>
        </w:tc>
      </w:tr>
      <w:tr w:rsidR="004A02D7" w:rsidRPr="00740788" w:rsidTr="004A02D7">
        <w:tc>
          <w:tcPr>
            <w:cnfStyle w:val="001000000000"/>
            <w:tcW w:w="4927" w:type="dxa"/>
          </w:tcPr>
          <w:p w:rsidR="004A02D7" w:rsidRPr="00F50321" w:rsidRDefault="004A02D7" w:rsidP="00300037">
            <w:pPr>
              <w:spacing w:line="269" w:lineRule="auto"/>
              <w:rPr>
                <w:rFonts w:ascii="Arial" w:hAnsi="Arial" w:cs="Arial"/>
                <w:sz w:val="16"/>
                <w:szCs w:val="16"/>
              </w:rPr>
            </w:pPr>
            <w:r w:rsidRPr="00F50321">
              <w:rPr>
                <w:rFonts w:ascii="Arial" w:hAnsi="Arial" w:cs="Arial"/>
                <w:sz w:val="16"/>
                <w:szCs w:val="16"/>
              </w:rPr>
              <w:t>Minimising revenue change</w:t>
            </w:r>
          </w:p>
        </w:tc>
        <w:tc>
          <w:tcPr>
            <w:tcW w:w="4927" w:type="dxa"/>
          </w:tcPr>
          <w:p w:rsidR="004A02D7" w:rsidRPr="00F50321" w:rsidRDefault="004A02D7" w:rsidP="00300037">
            <w:pPr>
              <w:spacing w:line="269" w:lineRule="auto"/>
              <w:cnfStyle w:val="000000000000"/>
              <w:rPr>
                <w:rFonts w:ascii="Arial" w:hAnsi="Arial" w:cs="Arial"/>
                <w:sz w:val="16"/>
                <w:szCs w:val="16"/>
              </w:rPr>
            </w:pPr>
            <w:r w:rsidRPr="00F50321">
              <w:rPr>
                <w:rFonts w:ascii="Arial" w:hAnsi="Arial" w:cs="Arial"/>
                <w:sz w:val="16"/>
                <w:szCs w:val="16"/>
              </w:rPr>
              <w:t xml:space="preserve">This </w:t>
            </w:r>
            <w:r w:rsidR="00435AB7" w:rsidRPr="00F50321">
              <w:rPr>
                <w:rFonts w:ascii="Arial" w:hAnsi="Arial" w:cs="Arial"/>
                <w:sz w:val="16"/>
                <w:szCs w:val="16"/>
              </w:rPr>
              <w:t>depends on how the NTC creates options.</w:t>
            </w:r>
          </w:p>
        </w:tc>
      </w:tr>
      <w:tr w:rsidR="004A02D7" w:rsidRPr="00740788" w:rsidTr="004A02D7">
        <w:trPr>
          <w:cnfStyle w:val="000000100000"/>
        </w:trPr>
        <w:tc>
          <w:tcPr>
            <w:cnfStyle w:val="001000000000"/>
            <w:tcW w:w="4927" w:type="dxa"/>
          </w:tcPr>
          <w:p w:rsidR="004A02D7" w:rsidRPr="00F50321" w:rsidRDefault="004A02D7" w:rsidP="00300037">
            <w:pPr>
              <w:spacing w:line="269" w:lineRule="auto"/>
              <w:rPr>
                <w:rFonts w:ascii="Arial" w:hAnsi="Arial" w:cs="Arial"/>
                <w:sz w:val="16"/>
                <w:szCs w:val="16"/>
              </w:rPr>
            </w:pPr>
            <w:r w:rsidRPr="00F50321">
              <w:rPr>
                <w:rFonts w:ascii="Arial" w:hAnsi="Arial" w:cs="Arial"/>
                <w:sz w:val="16"/>
                <w:szCs w:val="16"/>
              </w:rPr>
              <w:t>Complying with COAG Pricing Principles (</w:t>
            </w:r>
            <w:r w:rsidR="00F83170" w:rsidRPr="00F50321">
              <w:rPr>
                <w:rFonts w:ascii="Arial" w:hAnsi="Arial" w:cs="Arial"/>
                <w:sz w:val="16"/>
                <w:szCs w:val="16"/>
              </w:rPr>
              <w:t>i.e.</w:t>
            </w:r>
            <w:r w:rsidRPr="00F50321">
              <w:rPr>
                <w:rFonts w:ascii="Arial" w:hAnsi="Arial" w:cs="Arial"/>
                <w:sz w:val="16"/>
                <w:szCs w:val="16"/>
              </w:rPr>
              <w:t xml:space="preserve"> no </w:t>
            </w:r>
            <w:r w:rsidR="00355C9F" w:rsidRPr="00F50321">
              <w:rPr>
                <w:rFonts w:ascii="Arial" w:hAnsi="Arial" w:cs="Arial"/>
                <w:sz w:val="16"/>
                <w:szCs w:val="16"/>
              </w:rPr>
              <w:t>cross-</w:t>
            </w:r>
            <w:r w:rsidRPr="00F50321">
              <w:rPr>
                <w:rFonts w:ascii="Arial" w:hAnsi="Arial" w:cs="Arial"/>
                <w:sz w:val="16"/>
                <w:szCs w:val="16"/>
              </w:rPr>
              <w:t>subsidisation)</w:t>
            </w:r>
          </w:p>
        </w:tc>
        <w:tc>
          <w:tcPr>
            <w:tcW w:w="4927" w:type="dxa"/>
          </w:tcPr>
          <w:p w:rsidR="004A02D7" w:rsidRPr="00F50321" w:rsidRDefault="00CD3EE7" w:rsidP="00300037">
            <w:pPr>
              <w:spacing w:line="269" w:lineRule="auto"/>
              <w:cnfStyle w:val="000000100000"/>
              <w:rPr>
                <w:rFonts w:ascii="Arial" w:hAnsi="Arial" w:cs="Arial"/>
                <w:sz w:val="16"/>
                <w:szCs w:val="16"/>
              </w:rPr>
            </w:pPr>
            <w:r>
              <w:rPr>
                <w:rFonts w:ascii="Arial" w:hAnsi="Arial" w:cs="Arial"/>
                <w:sz w:val="16"/>
                <w:szCs w:val="16"/>
              </w:rPr>
              <w:t>C</w:t>
            </w:r>
            <w:r w:rsidR="004A02D7" w:rsidRPr="00F50321">
              <w:rPr>
                <w:rFonts w:ascii="Arial" w:hAnsi="Arial" w:cs="Arial"/>
                <w:sz w:val="16"/>
                <w:szCs w:val="16"/>
              </w:rPr>
              <w:t xml:space="preserve">ross subsidisation exists now as all light rigid trucks pay registration, when all </w:t>
            </w:r>
            <w:r w:rsidR="00435AB7" w:rsidRPr="00F50321">
              <w:rPr>
                <w:rFonts w:ascii="Arial" w:hAnsi="Arial" w:cs="Arial"/>
                <w:sz w:val="16"/>
                <w:szCs w:val="16"/>
              </w:rPr>
              <w:t xml:space="preserve">the </w:t>
            </w:r>
            <w:r w:rsidR="004A02D7" w:rsidRPr="00F50321">
              <w:rPr>
                <w:rFonts w:ascii="Arial" w:hAnsi="Arial" w:cs="Arial"/>
                <w:sz w:val="16"/>
                <w:szCs w:val="16"/>
              </w:rPr>
              <w:t>attributed share</w:t>
            </w:r>
            <w:r w:rsidR="00435AB7" w:rsidRPr="00F50321">
              <w:rPr>
                <w:rFonts w:ascii="Arial" w:hAnsi="Arial" w:cs="Arial"/>
                <w:sz w:val="16"/>
                <w:szCs w:val="16"/>
              </w:rPr>
              <w:t xml:space="preserve"> of costs</w:t>
            </w:r>
            <w:r w:rsidR="004A02D7" w:rsidRPr="00F50321">
              <w:rPr>
                <w:rFonts w:ascii="Arial" w:hAnsi="Arial" w:cs="Arial"/>
                <w:sz w:val="16"/>
                <w:szCs w:val="16"/>
              </w:rPr>
              <w:t xml:space="preserve"> is fully recovered by fuel alone.</w:t>
            </w:r>
          </w:p>
          <w:p w:rsidR="00686CAE" w:rsidRPr="00F50321" w:rsidRDefault="00686CAE" w:rsidP="00300037">
            <w:pPr>
              <w:spacing w:line="269" w:lineRule="auto"/>
              <w:cnfStyle w:val="000000100000"/>
              <w:rPr>
                <w:rFonts w:ascii="Arial" w:hAnsi="Arial" w:cs="Arial"/>
                <w:sz w:val="16"/>
                <w:szCs w:val="16"/>
              </w:rPr>
            </w:pPr>
            <w:r w:rsidRPr="00F50321">
              <w:rPr>
                <w:rFonts w:ascii="Arial" w:hAnsi="Arial" w:cs="Arial"/>
                <w:sz w:val="16"/>
                <w:szCs w:val="16"/>
              </w:rPr>
              <w:t>Further, there are plenty of examples where COAG directives are not achieved such as the national use of modular B-triples.</w:t>
            </w:r>
          </w:p>
        </w:tc>
      </w:tr>
    </w:tbl>
    <w:p w:rsidR="00BC16DB" w:rsidRPr="00794E9F" w:rsidRDefault="00BC16DB" w:rsidP="00CD3EE7">
      <w:pPr>
        <w:spacing w:after="200" w:line="276" w:lineRule="auto"/>
        <w:rPr>
          <w:sz w:val="20"/>
          <w:szCs w:val="20"/>
        </w:rPr>
      </w:pPr>
    </w:p>
    <w:p w:rsidR="00493DB5" w:rsidRPr="00F50321" w:rsidRDefault="00FB07BE" w:rsidP="00300037">
      <w:pPr>
        <w:pStyle w:val="Heading1"/>
        <w:spacing w:line="269" w:lineRule="auto"/>
        <w:jc w:val="both"/>
      </w:pPr>
      <w:bookmarkStart w:id="3" w:name="_Toc316396805"/>
      <w:r w:rsidRPr="00F50321">
        <w:t>NTC paper</w:t>
      </w:r>
      <w:bookmarkEnd w:id="3"/>
    </w:p>
    <w:p w:rsidR="00FB07BE" w:rsidRPr="00740788" w:rsidRDefault="00FB07BE" w:rsidP="00300037">
      <w:pPr>
        <w:spacing w:line="269" w:lineRule="auto"/>
        <w:jc w:val="both"/>
        <w:rPr>
          <w:rFonts w:ascii="Arial" w:hAnsi="Arial" w:cs="Arial"/>
          <w:sz w:val="20"/>
          <w:szCs w:val="20"/>
        </w:rPr>
      </w:pPr>
    </w:p>
    <w:p w:rsidR="00FB07BE" w:rsidRPr="00740788" w:rsidRDefault="00755176" w:rsidP="00300037">
      <w:pPr>
        <w:spacing w:line="269" w:lineRule="auto"/>
        <w:jc w:val="both"/>
        <w:rPr>
          <w:rFonts w:ascii="Arial" w:hAnsi="Arial" w:cs="Arial"/>
          <w:sz w:val="20"/>
          <w:szCs w:val="20"/>
        </w:rPr>
      </w:pPr>
      <w:r w:rsidRPr="00740788">
        <w:rPr>
          <w:rFonts w:ascii="Arial" w:hAnsi="Arial" w:cs="Arial"/>
          <w:sz w:val="20"/>
          <w:szCs w:val="20"/>
        </w:rPr>
        <w:t xml:space="preserve">The NTC have allowed less than </w:t>
      </w:r>
      <w:r w:rsidR="00B02B6D" w:rsidRPr="00740788">
        <w:rPr>
          <w:rFonts w:ascii="Arial" w:hAnsi="Arial" w:cs="Arial"/>
          <w:sz w:val="20"/>
          <w:szCs w:val="20"/>
        </w:rPr>
        <w:t>6 weeks to analyse</w:t>
      </w:r>
      <w:r w:rsidR="00400EF5" w:rsidRPr="00740788">
        <w:rPr>
          <w:rFonts w:ascii="Arial" w:hAnsi="Arial" w:cs="Arial"/>
          <w:sz w:val="20"/>
          <w:szCs w:val="20"/>
        </w:rPr>
        <w:t xml:space="preserve"> </w:t>
      </w:r>
      <w:r w:rsidRPr="00740788">
        <w:rPr>
          <w:rFonts w:ascii="Arial" w:hAnsi="Arial" w:cs="Arial"/>
          <w:sz w:val="20"/>
          <w:szCs w:val="20"/>
        </w:rPr>
        <w:t>the options</w:t>
      </w:r>
      <w:r w:rsidR="00B02B6D" w:rsidRPr="00740788">
        <w:rPr>
          <w:rFonts w:ascii="Arial" w:hAnsi="Arial" w:cs="Arial"/>
          <w:sz w:val="20"/>
          <w:szCs w:val="20"/>
        </w:rPr>
        <w:t xml:space="preserve">, </w:t>
      </w:r>
      <w:r w:rsidRPr="00740788">
        <w:rPr>
          <w:rFonts w:ascii="Arial" w:hAnsi="Arial" w:cs="Arial"/>
          <w:sz w:val="20"/>
          <w:szCs w:val="20"/>
        </w:rPr>
        <w:t xml:space="preserve">which </w:t>
      </w:r>
      <w:r w:rsidR="00B02B6D" w:rsidRPr="00740788">
        <w:rPr>
          <w:rFonts w:ascii="Arial" w:hAnsi="Arial" w:cs="Arial"/>
          <w:sz w:val="20"/>
          <w:szCs w:val="20"/>
        </w:rPr>
        <w:t>has left industry disadvantaged by the NTCs delay in presenting SCOTI with an adequate solution to the A-trailer crisis</w:t>
      </w:r>
      <w:r w:rsidR="00400EF5" w:rsidRPr="00740788">
        <w:rPr>
          <w:rFonts w:ascii="Arial" w:hAnsi="Arial" w:cs="Arial"/>
          <w:sz w:val="20"/>
          <w:szCs w:val="20"/>
        </w:rPr>
        <w:t xml:space="preserve"> in October</w:t>
      </w:r>
      <w:r w:rsidR="00B02B6D" w:rsidRPr="00740788">
        <w:rPr>
          <w:rFonts w:ascii="Arial" w:hAnsi="Arial" w:cs="Arial"/>
          <w:sz w:val="20"/>
          <w:szCs w:val="20"/>
        </w:rPr>
        <w:t xml:space="preserve">. </w:t>
      </w:r>
      <w:r w:rsidR="0016163A" w:rsidRPr="00740788">
        <w:rPr>
          <w:rFonts w:ascii="Arial" w:hAnsi="Arial" w:cs="Arial"/>
          <w:sz w:val="20"/>
          <w:szCs w:val="20"/>
        </w:rPr>
        <w:t xml:space="preserve">The NTC in the 6 week period </w:t>
      </w:r>
      <w:r w:rsidR="00443877">
        <w:rPr>
          <w:rFonts w:ascii="Arial" w:hAnsi="Arial" w:cs="Arial"/>
          <w:sz w:val="20"/>
          <w:szCs w:val="20"/>
        </w:rPr>
        <w:t xml:space="preserve">of comment </w:t>
      </w:r>
      <w:r w:rsidR="0016163A" w:rsidRPr="00740788">
        <w:rPr>
          <w:rFonts w:ascii="Arial" w:hAnsi="Arial" w:cs="Arial"/>
          <w:sz w:val="20"/>
          <w:szCs w:val="20"/>
        </w:rPr>
        <w:t>still has not provided</w:t>
      </w:r>
      <w:r w:rsidR="00400EF5" w:rsidRPr="00740788">
        <w:rPr>
          <w:rFonts w:ascii="Arial" w:hAnsi="Arial" w:cs="Arial"/>
          <w:sz w:val="20"/>
          <w:szCs w:val="20"/>
        </w:rPr>
        <w:t xml:space="preserve"> concrete</w:t>
      </w:r>
      <w:r w:rsidR="0016163A" w:rsidRPr="00740788">
        <w:rPr>
          <w:rFonts w:ascii="Arial" w:hAnsi="Arial" w:cs="Arial"/>
          <w:sz w:val="20"/>
          <w:szCs w:val="20"/>
        </w:rPr>
        <w:t xml:space="preserve"> numbers or</w:t>
      </w:r>
      <w:r w:rsidR="00400EF5" w:rsidRPr="00740788">
        <w:rPr>
          <w:rFonts w:ascii="Arial" w:hAnsi="Arial" w:cs="Arial"/>
          <w:sz w:val="20"/>
          <w:szCs w:val="20"/>
        </w:rPr>
        <w:t xml:space="preserve"> complete</w:t>
      </w:r>
      <w:r w:rsidR="00BB21DC" w:rsidRPr="00740788">
        <w:rPr>
          <w:rFonts w:ascii="Arial" w:hAnsi="Arial" w:cs="Arial"/>
          <w:sz w:val="20"/>
          <w:szCs w:val="20"/>
        </w:rPr>
        <w:t xml:space="preserve"> transparency and have changed registration charge prices at least 3 times over the 6 week period.</w:t>
      </w:r>
    </w:p>
    <w:p w:rsidR="00493DB5" w:rsidRPr="00740788" w:rsidRDefault="00493DB5" w:rsidP="00300037">
      <w:pPr>
        <w:spacing w:line="269" w:lineRule="auto"/>
        <w:jc w:val="both"/>
        <w:rPr>
          <w:rFonts w:ascii="Arial" w:hAnsi="Arial" w:cs="Arial"/>
          <w:sz w:val="20"/>
          <w:szCs w:val="20"/>
        </w:rPr>
      </w:pPr>
    </w:p>
    <w:p w:rsidR="00493DB5" w:rsidRPr="00740788" w:rsidRDefault="00842788" w:rsidP="00300037">
      <w:pPr>
        <w:spacing w:line="269" w:lineRule="auto"/>
        <w:jc w:val="both"/>
        <w:rPr>
          <w:rFonts w:ascii="Arial" w:hAnsi="Arial" w:cs="Arial"/>
          <w:sz w:val="20"/>
          <w:szCs w:val="20"/>
        </w:rPr>
      </w:pPr>
      <w:r w:rsidRPr="00740788">
        <w:rPr>
          <w:rFonts w:ascii="Arial" w:hAnsi="Arial" w:cs="Arial"/>
          <w:sz w:val="20"/>
          <w:szCs w:val="20"/>
        </w:rPr>
        <w:t>The narrative of the NTC paper downplays the reality of the problem for the industry</w:t>
      </w:r>
      <w:r w:rsidR="00755176" w:rsidRPr="00740788">
        <w:rPr>
          <w:rFonts w:ascii="Arial" w:hAnsi="Arial" w:cs="Arial"/>
          <w:sz w:val="20"/>
          <w:szCs w:val="20"/>
        </w:rPr>
        <w:t>, implying that</w:t>
      </w:r>
      <w:r w:rsidRPr="00740788">
        <w:rPr>
          <w:rFonts w:ascii="Arial" w:hAnsi="Arial" w:cs="Arial"/>
          <w:sz w:val="20"/>
          <w:szCs w:val="20"/>
        </w:rPr>
        <w:t xml:space="preserve"> those who use ‘low mileage and/or multiple A-trailers’</w:t>
      </w:r>
      <w:r w:rsidR="00755176" w:rsidRPr="00740788">
        <w:rPr>
          <w:rFonts w:ascii="Arial" w:hAnsi="Arial" w:cs="Arial"/>
          <w:sz w:val="20"/>
          <w:szCs w:val="20"/>
        </w:rPr>
        <w:t xml:space="preserve"> are the ones mostly affected</w:t>
      </w:r>
      <w:r w:rsidRPr="00740788">
        <w:rPr>
          <w:rFonts w:ascii="Arial" w:hAnsi="Arial" w:cs="Arial"/>
          <w:sz w:val="20"/>
          <w:szCs w:val="20"/>
        </w:rPr>
        <w:t xml:space="preserve">. </w:t>
      </w:r>
      <w:proofErr w:type="gramStart"/>
      <w:r w:rsidRPr="00740788">
        <w:rPr>
          <w:rFonts w:ascii="Arial" w:hAnsi="Arial" w:cs="Arial"/>
          <w:sz w:val="20"/>
          <w:szCs w:val="20"/>
        </w:rPr>
        <w:t>Any charging system, which does not offer concessions to tho</w:t>
      </w:r>
      <w:r w:rsidR="00BB21DC" w:rsidRPr="00740788">
        <w:rPr>
          <w:rFonts w:ascii="Arial" w:hAnsi="Arial" w:cs="Arial"/>
          <w:sz w:val="20"/>
          <w:szCs w:val="20"/>
        </w:rPr>
        <w:t xml:space="preserve">se who operate on low </w:t>
      </w:r>
      <w:r w:rsidR="00066D55" w:rsidRPr="00740788">
        <w:rPr>
          <w:rFonts w:ascii="Arial" w:hAnsi="Arial" w:cs="Arial"/>
          <w:sz w:val="20"/>
          <w:szCs w:val="20"/>
        </w:rPr>
        <w:t>mileage,</w:t>
      </w:r>
      <w:r w:rsidR="00BB21DC" w:rsidRPr="00740788">
        <w:rPr>
          <w:rFonts w:ascii="Arial" w:hAnsi="Arial" w:cs="Arial"/>
          <w:sz w:val="20"/>
          <w:szCs w:val="20"/>
        </w:rPr>
        <w:t xml:space="preserve"> will have this problem</w:t>
      </w:r>
      <w:r w:rsidR="00755176" w:rsidRPr="00740788">
        <w:rPr>
          <w:rFonts w:ascii="Arial" w:hAnsi="Arial" w:cs="Arial"/>
          <w:sz w:val="20"/>
          <w:szCs w:val="20"/>
        </w:rPr>
        <w:t>,</w:t>
      </w:r>
      <w:r w:rsidRPr="00740788">
        <w:rPr>
          <w:rFonts w:ascii="Arial" w:hAnsi="Arial" w:cs="Arial"/>
          <w:sz w:val="20"/>
          <w:szCs w:val="20"/>
        </w:rPr>
        <w:t xml:space="preserve"> regardless of the A-trailer crisis.</w:t>
      </w:r>
      <w:proofErr w:type="gramEnd"/>
      <w:r w:rsidRPr="00740788">
        <w:rPr>
          <w:rFonts w:ascii="Arial" w:hAnsi="Arial" w:cs="Arial"/>
          <w:sz w:val="20"/>
          <w:szCs w:val="20"/>
        </w:rPr>
        <w:t xml:space="preserve"> The bigger </w:t>
      </w:r>
      <w:r w:rsidR="005D5CDE" w:rsidRPr="00740788">
        <w:rPr>
          <w:rFonts w:ascii="Arial" w:hAnsi="Arial" w:cs="Arial"/>
          <w:sz w:val="20"/>
          <w:szCs w:val="20"/>
        </w:rPr>
        <w:t>picture in terms of safety, productivity and environmental credentials has</w:t>
      </w:r>
      <w:r w:rsidR="001B709D" w:rsidRPr="00740788">
        <w:rPr>
          <w:rFonts w:ascii="Arial" w:hAnsi="Arial" w:cs="Arial"/>
          <w:sz w:val="20"/>
          <w:szCs w:val="20"/>
        </w:rPr>
        <w:t xml:space="preserve"> not been addressed in the NTC work, </w:t>
      </w:r>
      <w:r w:rsidR="00755176" w:rsidRPr="00740788">
        <w:rPr>
          <w:rFonts w:ascii="Arial" w:hAnsi="Arial" w:cs="Arial"/>
          <w:sz w:val="20"/>
          <w:szCs w:val="20"/>
        </w:rPr>
        <w:t xml:space="preserve">and </w:t>
      </w:r>
      <w:r w:rsidR="001B709D" w:rsidRPr="00740788">
        <w:rPr>
          <w:rFonts w:ascii="Arial" w:hAnsi="Arial" w:cs="Arial"/>
          <w:sz w:val="20"/>
          <w:szCs w:val="20"/>
        </w:rPr>
        <w:t>these priorities cannot be ignored.</w:t>
      </w:r>
    </w:p>
    <w:p w:rsidR="00842788" w:rsidRPr="00740788" w:rsidRDefault="00842788" w:rsidP="00300037">
      <w:pPr>
        <w:spacing w:line="269" w:lineRule="auto"/>
        <w:jc w:val="both"/>
        <w:rPr>
          <w:rFonts w:ascii="Arial" w:hAnsi="Arial" w:cs="Arial"/>
          <w:sz w:val="20"/>
          <w:szCs w:val="20"/>
        </w:rPr>
      </w:pPr>
    </w:p>
    <w:p w:rsidR="00D07E61" w:rsidRDefault="00842788" w:rsidP="00160FB0">
      <w:pPr>
        <w:spacing w:line="269" w:lineRule="auto"/>
        <w:jc w:val="both"/>
        <w:rPr>
          <w:rFonts w:ascii="Arial" w:hAnsi="Arial" w:cs="Arial"/>
          <w:sz w:val="20"/>
          <w:szCs w:val="20"/>
        </w:rPr>
      </w:pPr>
      <w:r w:rsidRPr="00740788">
        <w:rPr>
          <w:rFonts w:ascii="Arial" w:hAnsi="Arial" w:cs="Arial"/>
          <w:sz w:val="20"/>
          <w:szCs w:val="20"/>
        </w:rPr>
        <w:t xml:space="preserve">SCOTI </w:t>
      </w:r>
      <w:r w:rsidR="00755176" w:rsidRPr="00740788">
        <w:rPr>
          <w:rFonts w:ascii="Arial" w:hAnsi="Arial" w:cs="Arial"/>
          <w:sz w:val="20"/>
          <w:szCs w:val="20"/>
        </w:rPr>
        <w:t>directed</w:t>
      </w:r>
      <w:r w:rsidRPr="00740788">
        <w:rPr>
          <w:rFonts w:ascii="Arial" w:hAnsi="Arial" w:cs="Arial"/>
          <w:sz w:val="20"/>
          <w:szCs w:val="20"/>
        </w:rPr>
        <w:t xml:space="preserve"> the NTC to come back with stronger options, </w:t>
      </w:r>
      <w:r w:rsidR="00755176" w:rsidRPr="00740788">
        <w:rPr>
          <w:rFonts w:ascii="Arial" w:hAnsi="Arial" w:cs="Arial"/>
          <w:sz w:val="20"/>
          <w:szCs w:val="20"/>
        </w:rPr>
        <w:t xml:space="preserve">however, </w:t>
      </w:r>
      <w:r w:rsidRPr="00740788">
        <w:rPr>
          <w:rFonts w:ascii="Arial" w:hAnsi="Arial" w:cs="Arial"/>
          <w:sz w:val="20"/>
          <w:szCs w:val="20"/>
        </w:rPr>
        <w:t xml:space="preserve">in the </w:t>
      </w:r>
      <w:r w:rsidR="00755176" w:rsidRPr="00740788">
        <w:rPr>
          <w:rFonts w:ascii="Arial" w:hAnsi="Arial" w:cs="Arial"/>
          <w:sz w:val="20"/>
          <w:szCs w:val="20"/>
        </w:rPr>
        <w:t xml:space="preserve">discussion </w:t>
      </w:r>
      <w:r w:rsidRPr="00740788">
        <w:rPr>
          <w:rFonts w:ascii="Arial" w:hAnsi="Arial" w:cs="Arial"/>
          <w:sz w:val="20"/>
          <w:szCs w:val="20"/>
        </w:rPr>
        <w:t xml:space="preserve">paper there is no mention of what SCOTI </w:t>
      </w:r>
      <w:r w:rsidR="0016163A" w:rsidRPr="00740788">
        <w:rPr>
          <w:rFonts w:ascii="Arial" w:hAnsi="Arial" w:cs="Arial"/>
          <w:sz w:val="20"/>
          <w:szCs w:val="20"/>
        </w:rPr>
        <w:t>directed</w:t>
      </w:r>
      <w:r w:rsidR="00B0254A">
        <w:rPr>
          <w:rFonts w:ascii="Arial" w:hAnsi="Arial" w:cs="Arial"/>
          <w:sz w:val="20"/>
          <w:szCs w:val="20"/>
        </w:rPr>
        <w:t xml:space="preserve"> the NTC</w:t>
      </w:r>
      <w:r w:rsidRPr="00740788">
        <w:rPr>
          <w:rFonts w:ascii="Arial" w:hAnsi="Arial" w:cs="Arial"/>
          <w:sz w:val="20"/>
          <w:szCs w:val="20"/>
        </w:rPr>
        <w:t xml:space="preserve"> to do. </w:t>
      </w:r>
    </w:p>
    <w:p w:rsidR="00C0679A" w:rsidRPr="00740788" w:rsidRDefault="00C0679A" w:rsidP="00300037">
      <w:pPr>
        <w:spacing w:line="269" w:lineRule="auto"/>
        <w:jc w:val="both"/>
        <w:rPr>
          <w:rFonts w:ascii="Arial" w:hAnsi="Arial" w:cs="Arial"/>
          <w:sz w:val="20"/>
          <w:szCs w:val="20"/>
        </w:rPr>
      </w:pPr>
    </w:p>
    <w:p w:rsidR="00C0679A" w:rsidRPr="00740788" w:rsidRDefault="00C07BA2" w:rsidP="00300037">
      <w:pPr>
        <w:spacing w:line="269" w:lineRule="auto"/>
        <w:jc w:val="both"/>
        <w:rPr>
          <w:rFonts w:ascii="Arial" w:hAnsi="Arial" w:cs="Arial"/>
          <w:sz w:val="20"/>
          <w:szCs w:val="20"/>
          <w:u w:val="single"/>
        </w:rPr>
      </w:pPr>
      <w:r>
        <w:rPr>
          <w:rFonts w:ascii="Arial" w:hAnsi="Arial" w:cs="Arial"/>
          <w:sz w:val="20"/>
          <w:szCs w:val="20"/>
          <w:u w:val="single"/>
        </w:rPr>
        <w:t>D</w:t>
      </w:r>
      <w:r w:rsidR="00C0679A" w:rsidRPr="00740788">
        <w:rPr>
          <w:rFonts w:ascii="Arial" w:hAnsi="Arial" w:cs="Arial"/>
          <w:sz w:val="20"/>
          <w:szCs w:val="20"/>
          <w:u w:val="single"/>
        </w:rPr>
        <w:t>ata issues</w:t>
      </w:r>
    </w:p>
    <w:p w:rsidR="00C07BA2" w:rsidRDefault="00C07BA2" w:rsidP="00300037">
      <w:pPr>
        <w:spacing w:line="269" w:lineRule="auto"/>
        <w:jc w:val="both"/>
        <w:rPr>
          <w:rFonts w:ascii="Arial" w:hAnsi="Arial" w:cs="Arial"/>
          <w:sz w:val="20"/>
          <w:szCs w:val="20"/>
        </w:rPr>
      </w:pPr>
    </w:p>
    <w:p w:rsidR="00DD4A90" w:rsidRPr="00740788" w:rsidRDefault="007566F7" w:rsidP="00300037">
      <w:pPr>
        <w:spacing w:line="269" w:lineRule="auto"/>
        <w:jc w:val="both"/>
        <w:rPr>
          <w:rFonts w:ascii="Arial" w:hAnsi="Arial" w:cs="Arial"/>
          <w:sz w:val="20"/>
          <w:szCs w:val="20"/>
        </w:rPr>
      </w:pPr>
      <w:r>
        <w:rPr>
          <w:rFonts w:ascii="Arial" w:hAnsi="Arial" w:cs="Arial"/>
          <w:sz w:val="20"/>
          <w:szCs w:val="20"/>
        </w:rPr>
        <w:t xml:space="preserve">The ATA model depends on the revenue gap created by the rationalisation of A-trailers to the same registration charge as semi-trailers. This revenue gap has not been disclosed to the ATA so we can only estimate the gap that the change in registration charge creates. The paper uses a trailer population multiplier to estimate how many A-trailers are </w:t>
      </w:r>
      <w:r w:rsidR="001844D2">
        <w:rPr>
          <w:rFonts w:ascii="Arial" w:hAnsi="Arial" w:cs="Arial"/>
          <w:sz w:val="20"/>
          <w:szCs w:val="20"/>
        </w:rPr>
        <w:t xml:space="preserve">registered, 1.5 trailers for ever prime mover. </w:t>
      </w:r>
      <w:r w:rsidR="007D1B42" w:rsidRPr="00740788">
        <w:rPr>
          <w:rFonts w:ascii="Arial" w:hAnsi="Arial" w:cs="Arial"/>
          <w:sz w:val="20"/>
          <w:szCs w:val="20"/>
        </w:rPr>
        <w:t>T</w:t>
      </w:r>
      <w:r w:rsidR="00DD4A90" w:rsidRPr="00740788">
        <w:rPr>
          <w:rFonts w:ascii="Arial" w:hAnsi="Arial" w:cs="Arial"/>
          <w:sz w:val="20"/>
          <w:szCs w:val="20"/>
        </w:rPr>
        <w:t xml:space="preserve">his figure seems </w:t>
      </w:r>
      <w:r w:rsidR="00E62037" w:rsidRPr="00740788">
        <w:rPr>
          <w:rFonts w:ascii="Arial" w:hAnsi="Arial" w:cs="Arial"/>
          <w:sz w:val="20"/>
          <w:szCs w:val="20"/>
        </w:rPr>
        <w:t>unrealistic,</w:t>
      </w:r>
      <w:r w:rsidR="00DD4A90" w:rsidRPr="00740788">
        <w:rPr>
          <w:rFonts w:ascii="Arial" w:hAnsi="Arial" w:cs="Arial"/>
          <w:sz w:val="20"/>
          <w:szCs w:val="20"/>
        </w:rPr>
        <w:t xml:space="preserve"> as those operating a truck and dog are unlikely</w:t>
      </w:r>
      <w:r w:rsidR="00633020" w:rsidRPr="00740788">
        <w:rPr>
          <w:rFonts w:ascii="Arial" w:hAnsi="Arial" w:cs="Arial"/>
          <w:sz w:val="20"/>
          <w:szCs w:val="20"/>
        </w:rPr>
        <w:t xml:space="preserve"> to</w:t>
      </w:r>
      <w:r w:rsidR="00DE3554">
        <w:rPr>
          <w:rFonts w:ascii="Arial" w:hAnsi="Arial" w:cs="Arial"/>
          <w:sz w:val="20"/>
          <w:szCs w:val="20"/>
        </w:rPr>
        <w:t xml:space="preserve"> have</w:t>
      </w:r>
      <w:r w:rsidR="00633020" w:rsidRPr="00740788">
        <w:rPr>
          <w:rFonts w:ascii="Arial" w:hAnsi="Arial" w:cs="Arial"/>
          <w:sz w:val="20"/>
          <w:szCs w:val="20"/>
        </w:rPr>
        <w:t xml:space="preserve"> spare dog trailers and the majority of operators do not have more A-trailers than they can use. A-trailer usage is likely to</w:t>
      </w:r>
      <w:r w:rsidR="004E5C52" w:rsidRPr="00740788">
        <w:rPr>
          <w:rFonts w:ascii="Arial" w:hAnsi="Arial" w:cs="Arial"/>
          <w:sz w:val="20"/>
          <w:szCs w:val="20"/>
        </w:rPr>
        <w:t xml:space="preserve"> have</w:t>
      </w:r>
      <w:r w:rsidR="00633020" w:rsidRPr="00740788">
        <w:rPr>
          <w:rFonts w:ascii="Arial" w:hAnsi="Arial" w:cs="Arial"/>
          <w:sz w:val="20"/>
          <w:szCs w:val="20"/>
        </w:rPr>
        <w:t xml:space="preserve"> </w:t>
      </w:r>
      <w:r w:rsidR="004E5C52" w:rsidRPr="00740788">
        <w:rPr>
          <w:rFonts w:ascii="Arial" w:hAnsi="Arial" w:cs="Arial"/>
          <w:sz w:val="20"/>
          <w:szCs w:val="20"/>
        </w:rPr>
        <w:t>higher annual kilometres travelled than the average semi-trailer.</w:t>
      </w:r>
    </w:p>
    <w:p w:rsidR="00633020" w:rsidRPr="00740788" w:rsidRDefault="00633020" w:rsidP="00300037">
      <w:pPr>
        <w:spacing w:line="269" w:lineRule="auto"/>
        <w:jc w:val="both"/>
        <w:rPr>
          <w:rFonts w:ascii="Arial" w:hAnsi="Arial" w:cs="Arial"/>
          <w:sz w:val="20"/>
          <w:szCs w:val="20"/>
        </w:rPr>
      </w:pPr>
    </w:p>
    <w:p w:rsidR="00633020" w:rsidRPr="00740788" w:rsidRDefault="00450069" w:rsidP="00300037">
      <w:pPr>
        <w:spacing w:line="269" w:lineRule="auto"/>
        <w:jc w:val="both"/>
        <w:rPr>
          <w:rFonts w:ascii="Arial" w:hAnsi="Arial" w:cs="Arial"/>
          <w:sz w:val="20"/>
          <w:szCs w:val="20"/>
        </w:rPr>
      </w:pPr>
      <w:r>
        <w:rPr>
          <w:rFonts w:ascii="Arial" w:hAnsi="Arial" w:cs="Arial"/>
          <w:sz w:val="20"/>
          <w:szCs w:val="20"/>
        </w:rPr>
        <w:t>I</w:t>
      </w:r>
      <w:r w:rsidR="00633020" w:rsidRPr="00740788">
        <w:rPr>
          <w:rFonts w:ascii="Arial" w:hAnsi="Arial" w:cs="Arial"/>
          <w:sz w:val="20"/>
          <w:szCs w:val="20"/>
        </w:rPr>
        <w:t>n 2003 there were 7,345 B-doubles and 14,689 trailers</w:t>
      </w:r>
      <w:r>
        <w:rPr>
          <w:rStyle w:val="FootnoteReference"/>
          <w:rFonts w:ascii="Arial" w:hAnsi="Arial"/>
          <w:sz w:val="20"/>
          <w:szCs w:val="20"/>
        </w:rPr>
        <w:footnoteReference w:id="9"/>
      </w:r>
      <w:r w:rsidR="00633020" w:rsidRPr="00740788">
        <w:rPr>
          <w:rFonts w:ascii="Arial" w:hAnsi="Arial" w:cs="Arial"/>
          <w:sz w:val="20"/>
          <w:szCs w:val="20"/>
        </w:rPr>
        <w:t xml:space="preserve">. </w:t>
      </w:r>
      <w:r w:rsidR="00A82605" w:rsidRPr="00740788">
        <w:rPr>
          <w:rFonts w:ascii="Arial" w:hAnsi="Arial" w:cs="Arial"/>
          <w:sz w:val="20"/>
          <w:szCs w:val="20"/>
        </w:rPr>
        <w:t xml:space="preserve">This equates </w:t>
      </w:r>
      <w:r w:rsidR="00F75886">
        <w:rPr>
          <w:rFonts w:ascii="Arial" w:hAnsi="Arial" w:cs="Arial"/>
          <w:sz w:val="20"/>
          <w:szCs w:val="20"/>
        </w:rPr>
        <w:t>to one</w:t>
      </w:r>
      <w:r w:rsidR="002F29F2" w:rsidRPr="00740788">
        <w:rPr>
          <w:rFonts w:ascii="Arial" w:hAnsi="Arial" w:cs="Arial"/>
          <w:sz w:val="20"/>
          <w:szCs w:val="20"/>
        </w:rPr>
        <w:t xml:space="preserve"> trailer and one semi-trailer per B-double. Hence, when the </w:t>
      </w:r>
      <w:r w:rsidR="00F75886">
        <w:rPr>
          <w:rFonts w:ascii="Arial" w:hAnsi="Arial" w:cs="Arial"/>
          <w:sz w:val="20"/>
          <w:szCs w:val="20"/>
        </w:rPr>
        <w:t>calculations show the revenue gap this is based</w:t>
      </w:r>
      <w:r w:rsidR="002F29F2" w:rsidRPr="00740788">
        <w:rPr>
          <w:rFonts w:ascii="Arial" w:hAnsi="Arial" w:cs="Arial"/>
          <w:sz w:val="20"/>
          <w:szCs w:val="20"/>
        </w:rPr>
        <w:t xml:space="preserve"> on </w:t>
      </w:r>
      <w:r w:rsidR="00F75886">
        <w:rPr>
          <w:rFonts w:ascii="Arial" w:hAnsi="Arial" w:cs="Arial"/>
          <w:sz w:val="20"/>
          <w:szCs w:val="20"/>
        </w:rPr>
        <w:t xml:space="preserve">1.5 trailers per prime </w:t>
      </w:r>
      <w:r w:rsidR="007566F7">
        <w:rPr>
          <w:rFonts w:ascii="Arial" w:hAnsi="Arial" w:cs="Arial"/>
          <w:sz w:val="20"/>
          <w:szCs w:val="20"/>
        </w:rPr>
        <w:t>mover;</w:t>
      </w:r>
      <w:r w:rsidR="00F75886">
        <w:rPr>
          <w:rFonts w:ascii="Arial" w:hAnsi="Arial" w:cs="Arial"/>
          <w:sz w:val="20"/>
          <w:szCs w:val="20"/>
        </w:rPr>
        <w:t xml:space="preserve"> </w:t>
      </w:r>
      <w:r>
        <w:rPr>
          <w:rFonts w:ascii="Arial" w:hAnsi="Arial" w:cs="Arial"/>
          <w:sz w:val="20"/>
          <w:szCs w:val="20"/>
        </w:rPr>
        <w:t>this</w:t>
      </w:r>
      <w:r w:rsidR="00F75886">
        <w:rPr>
          <w:rFonts w:ascii="Arial" w:hAnsi="Arial" w:cs="Arial"/>
          <w:sz w:val="20"/>
          <w:szCs w:val="20"/>
        </w:rPr>
        <w:t xml:space="preserve"> </w:t>
      </w:r>
      <w:r w:rsidR="002F29F2" w:rsidRPr="00740788">
        <w:rPr>
          <w:rFonts w:ascii="Arial" w:hAnsi="Arial" w:cs="Arial"/>
          <w:sz w:val="20"/>
          <w:szCs w:val="20"/>
        </w:rPr>
        <w:t xml:space="preserve">inflates the </w:t>
      </w:r>
      <w:r w:rsidR="00F75886">
        <w:rPr>
          <w:rFonts w:ascii="Arial" w:hAnsi="Arial" w:cs="Arial"/>
          <w:sz w:val="20"/>
          <w:szCs w:val="20"/>
        </w:rPr>
        <w:t xml:space="preserve">revenue </w:t>
      </w:r>
      <w:r w:rsidR="002F29F2" w:rsidRPr="00740788">
        <w:rPr>
          <w:rFonts w:ascii="Arial" w:hAnsi="Arial" w:cs="Arial"/>
          <w:sz w:val="20"/>
          <w:szCs w:val="20"/>
        </w:rPr>
        <w:t>impact by 50%.</w:t>
      </w:r>
    </w:p>
    <w:p w:rsidR="0075786E" w:rsidRPr="00740788" w:rsidRDefault="0075786E" w:rsidP="00300037">
      <w:pPr>
        <w:spacing w:line="269" w:lineRule="auto"/>
        <w:jc w:val="both"/>
        <w:rPr>
          <w:rFonts w:ascii="Arial" w:hAnsi="Arial" w:cs="Arial"/>
          <w:sz w:val="20"/>
          <w:szCs w:val="20"/>
        </w:rPr>
      </w:pPr>
    </w:p>
    <w:p w:rsidR="00AF654B" w:rsidRPr="00740788" w:rsidRDefault="00DD5A4F" w:rsidP="00300037">
      <w:pPr>
        <w:spacing w:line="269" w:lineRule="auto"/>
        <w:jc w:val="both"/>
        <w:rPr>
          <w:rFonts w:ascii="Arial" w:hAnsi="Arial" w:cs="Arial"/>
          <w:sz w:val="20"/>
          <w:szCs w:val="20"/>
        </w:rPr>
      </w:pPr>
      <w:r w:rsidRPr="00740788">
        <w:rPr>
          <w:rFonts w:ascii="Arial" w:hAnsi="Arial" w:cs="Arial"/>
          <w:sz w:val="20"/>
          <w:szCs w:val="20"/>
        </w:rPr>
        <w:t xml:space="preserve">While any improvements to correct the skewed ESA affects the </w:t>
      </w:r>
      <w:r w:rsidR="00887309" w:rsidRPr="00740788">
        <w:rPr>
          <w:rFonts w:ascii="Arial" w:hAnsi="Arial" w:cs="Arial"/>
          <w:sz w:val="20"/>
          <w:szCs w:val="20"/>
        </w:rPr>
        <w:t>2007 ARRB</w:t>
      </w:r>
      <w:r w:rsidRPr="00740788">
        <w:rPr>
          <w:rFonts w:ascii="Arial" w:hAnsi="Arial" w:cs="Arial"/>
          <w:sz w:val="20"/>
          <w:szCs w:val="20"/>
        </w:rPr>
        <w:t xml:space="preserve"> wor</w:t>
      </w:r>
      <w:r w:rsidR="00887309" w:rsidRPr="00740788">
        <w:rPr>
          <w:rFonts w:ascii="Arial" w:hAnsi="Arial" w:cs="Arial"/>
          <w:sz w:val="20"/>
          <w:szCs w:val="20"/>
        </w:rPr>
        <w:t>k had on industry</w:t>
      </w:r>
      <w:r w:rsidR="00443877">
        <w:rPr>
          <w:rFonts w:ascii="Arial" w:hAnsi="Arial" w:cs="Arial"/>
          <w:sz w:val="20"/>
          <w:szCs w:val="20"/>
        </w:rPr>
        <w:t xml:space="preserve"> are </w:t>
      </w:r>
      <w:r w:rsidR="0075786E">
        <w:rPr>
          <w:rFonts w:ascii="Arial" w:hAnsi="Arial" w:cs="Arial"/>
          <w:sz w:val="20"/>
          <w:szCs w:val="20"/>
        </w:rPr>
        <w:t>welcome</w:t>
      </w:r>
      <w:r w:rsidR="00887309" w:rsidRPr="00740788">
        <w:rPr>
          <w:rFonts w:ascii="Arial" w:hAnsi="Arial" w:cs="Arial"/>
          <w:sz w:val="20"/>
          <w:szCs w:val="20"/>
        </w:rPr>
        <w:t>, simply claiming</w:t>
      </w:r>
      <w:r w:rsidRPr="00740788">
        <w:rPr>
          <w:rFonts w:ascii="Arial" w:hAnsi="Arial" w:cs="Arial"/>
          <w:sz w:val="20"/>
          <w:szCs w:val="20"/>
        </w:rPr>
        <w:t xml:space="preserve"> this is the best we can do at the moment is </w:t>
      </w:r>
      <w:r w:rsidR="00887309" w:rsidRPr="00740788">
        <w:rPr>
          <w:rFonts w:ascii="Arial" w:hAnsi="Arial" w:cs="Arial"/>
          <w:sz w:val="20"/>
          <w:szCs w:val="20"/>
        </w:rPr>
        <w:t>not good enough</w:t>
      </w:r>
      <w:r w:rsidRPr="00740788">
        <w:rPr>
          <w:rFonts w:ascii="Arial" w:hAnsi="Arial" w:cs="Arial"/>
          <w:sz w:val="20"/>
          <w:szCs w:val="20"/>
        </w:rPr>
        <w:t xml:space="preserve">. The foundations of the ARRB work have to be corrected in order for industry to </w:t>
      </w:r>
      <w:r w:rsidR="00887309" w:rsidRPr="00740788">
        <w:rPr>
          <w:rFonts w:ascii="Arial" w:hAnsi="Arial" w:cs="Arial"/>
          <w:sz w:val="20"/>
          <w:szCs w:val="20"/>
        </w:rPr>
        <w:t>provide support</w:t>
      </w:r>
      <w:r w:rsidRPr="00740788">
        <w:rPr>
          <w:rFonts w:ascii="Arial" w:hAnsi="Arial" w:cs="Arial"/>
          <w:sz w:val="20"/>
          <w:szCs w:val="20"/>
        </w:rPr>
        <w:t xml:space="preserve"> of the findings.</w:t>
      </w:r>
    </w:p>
    <w:p w:rsidR="00C62274" w:rsidRPr="00740788" w:rsidRDefault="00C62274" w:rsidP="00300037">
      <w:pPr>
        <w:spacing w:line="269" w:lineRule="auto"/>
        <w:jc w:val="both"/>
        <w:rPr>
          <w:rFonts w:ascii="Arial" w:hAnsi="Arial" w:cs="Arial"/>
          <w:sz w:val="20"/>
          <w:szCs w:val="20"/>
        </w:rPr>
      </w:pPr>
    </w:p>
    <w:p w:rsidR="00C62274" w:rsidRPr="00740788" w:rsidRDefault="00C62274" w:rsidP="00300037">
      <w:pPr>
        <w:spacing w:line="269" w:lineRule="auto"/>
        <w:jc w:val="both"/>
        <w:rPr>
          <w:rFonts w:ascii="Arial" w:hAnsi="Arial" w:cs="Arial"/>
          <w:sz w:val="20"/>
          <w:szCs w:val="20"/>
        </w:rPr>
      </w:pPr>
      <w:r w:rsidRPr="00740788">
        <w:rPr>
          <w:rFonts w:ascii="Arial" w:hAnsi="Arial" w:cs="Arial"/>
          <w:sz w:val="20"/>
          <w:szCs w:val="20"/>
        </w:rPr>
        <w:t xml:space="preserve">The model </w:t>
      </w:r>
      <w:r w:rsidR="0075786E">
        <w:rPr>
          <w:rFonts w:ascii="Arial" w:hAnsi="Arial" w:cs="Arial"/>
          <w:sz w:val="20"/>
          <w:szCs w:val="20"/>
        </w:rPr>
        <w:t xml:space="preserve">being is operating backwards, </w:t>
      </w:r>
      <w:r w:rsidR="00887309" w:rsidRPr="00740788">
        <w:rPr>
          <w:rFonts w:ascii="Arial" w:hAnsi="Arial" w:cs="Arial"/>
          <w:sz w:val="20"/>
          <w:szCs w:val="20"/>
        </w:rPr>
        <w:t xml:space="preserve">in that </w:t>
      </w:r>
      <w:r w:rsidRPr="00740788">
        <w:rPr>
          <w:rFonts w:ascii="Arial" w:hAnsi="Arial" w:cs="Arial"/>
          <w:sz w:val="20"/>
          <w:szCs w:val="20"/>
        </w:rPr>
        <w:t xml:space="preserve">they work </w:t>
      </w:r>
      <w:r w:rsidR="009165C9" w:rsidRPr="00740788">
        <w:rPr>
          <w:rFonts w:ascii="Arial" w:hAnsi="Arial" w:cs="Arial"/>
          <w:sz w:val="20"/>
          <w:szCs w:val="20"/>
        </w:rPr>
        <w:t>in reverse</w:t>
      </w:r>
      <w:r w:rsidRPr="00740788">
        <w:rPr>
          <w:rFonts w:ascii="Arial" w:hAnsi="Arial" w:cs="Arial"/>
          <w:sz w:val="20"/>
          <w:szCs w:val="20"/>
        </w:rPr>
        <w:t xml:space="preserve"> from the c</w:t>
      </w:r>
      <w:r w:rsidR="004E5C52" w:rsidRPr="00740788">
        <w:rPr>
          <w:rFonts w:ascii="Arial" w:hAnsi="Arial" w:cs="Arial"/>
          <w:sz w:val="20"/>
          <w:szCs w:val="20"/>
        </w:rPr>
        <w:t xml:space="preserve">urrent </w:t>
      </w:r>
      <w:r w:rsidR="002E17C5" w:rsidRPr="00740788">
        <w:rPr>
          <w:rFonts w:ascii="Arial" w:hAnsi="Arial" w:cs="Arial"/>
          <w:sz w:val="20"/>
          <w:szCs w:val="20"/>
        </w:rPr>
        <w:t>revenue which</w:t>
      </w:r>
      <w:r w:rsidRPr="00740788">
        <w:rPr>
          <w:rFonts w:ascii="Arial" w:hAnsi="Arial" w:cs="Arial"/>
          <w:sz w:val="20"/>
          <w:szCs w:val="20"/>
        </w:rPr>
        <w:t xml:space="preserve"> </w:t>
      </w:r>
      <w:r w:rsidR="002E17C5" w:rsidRPr="00740788">
        <w:rPr>
          <w:rFonts w:ascii="Arial" w:hAnsi="Arial" w:cs="Arial"/>
          <w:sz w:val="20"/>
          <w:szCs w:val="20"/>
        </w:rPr>
        <w:t>has</w:t>
      </w:r>
      <w:r w:rsidRPr="00740788">
        <w:rPr>
          <w:rFonts w:ascii="Arial" w:hAnsi="Arial" w:cs="Arial"/>
          <w:sz w:val="20"/>
          <w:szCs w:val="20"/>
        </w:rPr>
        <w:t xml:space="preserve"> to be recovered. </w:t>
      </w:r>
      <w:r w:rsidR="002E17C5" w:rsidRPr="00740788">
        <w:rPr>
          <w:rFonts w:ascii="Arial" w:hAnsi="Arial" w:cs="Arial"/>
          <w:sz w:val="20"/>
          <w:szCs w:val="20"/>
        </w:rPr>
        <w:t xml:space="preserve">Adjusting the road user charge </w:t>
      </w:r>
      <w:r w:rsidR="009165C9" w:rsidRPr="00740788">
        <w:rPr>
          <w:rFonts w:ascii="Arial" w:hAnsi="Arial" w:cs="Arial"/>
          <w:sz w:val="20"/>
          <w:szCs w:val="20"/>
        </w:rPr>
        <w:t xml:space="preserve">(RUC) </w:t>
      </w:r>
      <w:r w:rsidR="002E17C5" w:rsidRPr="00740788">
        <w:rPr>
          <w:rFonts w:ascii="Arial" w:hAnsi="Arial" w:cs="Arial"/>
          <w:sz w:val="20"/>
          <w:szCs w:val="20"/>
        </w:rPr>
        <w:t>in each option</w:t>
      </w:r>
      <w:r w:rsidR="00887309" w:rsidRPr="00740788">
        <w:rPr>
          <w:rFonts w:ascii="Arial" w:hAnsi="Arial" w:cs="Arial"/>
          <w:sz w:val="20"/>
          <w:szCs w:val="20"/>
        </w:rPr>
        <w:t xml:space="preserve"> is an error</w:t>
      </w:r>
      <w:r w:rsidR="002E17C5" w:rsidRPr="00740788">
        <w:rPr>
          <w:rFonts w:ascii="Arial" w:hAnsi="Arial" w:cs="Arial"/>
          <w:sz w:val="20"/>
          <w:szCs w:val="20"/>
        </w:rPr>
        <w:t>, ther</w:t>
      </w:r>
      <w:r w:rsidR="00887309" w:rsidRPr="00740788">
        <w:rPr>
          <w:rFonts w:ascii="Arial" w:hAnsi="Arial" w:cs="Arial"/>
          <w:sz w:val="20"/>
          <w:szCs w:val="20"/>
        </w:rPr>
        <w:t xml:space="preserve">e is no need to adjust the RUC </w:t>
      </w:r>
      <w:r w:rsidR="002E17C5" w:rsidRPr="00740788">
        <w:rPr>
          <w:rFonts w:ascii="Arial" w:hAnsi="Arial" w:cs="Arial"/>
          <w:sz w:val="20"/>
          <w:szCs w:val="20"/>
        </w:rPr>
        <w:t>as the A-trailer issue is registration charge related</w:t>
      </w:r>
      <w:r w:rsidR="00887309" w:rsidRPr="00740788">
        <w:rPr>
          <w:rFonts w:ascii="Arial" w:hAnsi="Arial" w:cs="Arial"/>
          <w:sz w:val="20"/>
          <w:szCs w:val="20"/>
        </w:rPr>
        <w:t xml:space="preserve"> not fuel charge related</w:t>
      </w:r>
      <w:r w:rsidR="002E17C5" w:rsidRPr="00740788">
        <w:rPr>
          <w:rFonts w:ascii="Arial" w:hAnsi="Arial" w:cs="Arial"/>
          <w:sz w:val="20"/>
          <w:szCs w:val="20"/>
        </w:rPr>
        <w:t>.</w:t>
      </w:r>
    </w:p>
    <w:p w:rsidR="002E17C5" w:rsidRPr="00740788" w:rsidRDefault="002E17C5" w:rsidP="00300037">
      <w:pPr>
        <w:spacing w:line="269" w:lineRule="auto"/>
        <w:jc w:val="both"/>
        <w:rPr>
          <w:rFonts w:ascii="Arial" w:hAnsi="Arial" w:cs="Arial"/>
          <w:sz w:val="20"/>
          <w:szCs w:val="20"/>
        </w:rPr>
      </w:pPr>
    </w:p>
    <w:p w:rsidR="002E17C5" w:rsidRPr="00740788" w:rsidRDefault="002E17C5" w:rsidP="00300037">
      <w:pPr>
        <w:spacing w:line="269" w:lineRule="auto"/>
        <w:jc w:val="both"/>
        <w:rPr>
          <w:rFonts w:ascii="Arial" w:hAnsi="Arial" w:cs="Arial"/>
          <w:sz w:val="20"/>
          <w:szCs w:val="20"/>
        </w:rPr>
      </w:pPr>
      <w:r w:rsidRPr="00740788">
        <w:rPr>
          <w:rFonts w:ascii="Arial" w:hAnsi="Arial" w:cs="Arial"/>
          <w:sz w:val="20"/>
          <w:szCs w:val="20"/>
        </w:rPr>
        <w:lastRenderedPageBreak/>
        <w:t xml:space="preserve">Further, this revenue based approach can be used to expose the current over recovery. When the inputs are applied to a gap impact assessment a different </w:t>
      </w:r>
      <w:r w:rsidR="00524341" w:rsidRPr="00740788">
        <w:rPr>
          <w:rFonts w:ascii="Arial" w:hAnsi="Arial" w:cs="Arial"/>
          <w:sz w:val="20"/>
          <w:szCs w:val="20"/>
        </w:rPr>
        <w:t xml:space="preserve">per axle </w:t>
      </w:r>
      <w:r w:rsidRPr="00740788">
        <w:rPr>
          <w:rFonts w:ascii="Arial" w:hAnsi="Arial" w:cs="Arial"/>
          <w:sz w:val="20"/>
          <w:szCs w:val="20"/>
        </w:rPr>
        <w:t>charge results. The difference between these approaches show over recovery of at least $100 million.</w:t>
      </w:r>
    </w:p>
    <w:p w:rsidR="00B57B52" w:rsidRPr="00740788" w:rsidRDefault="00B57B52" w:rsidP="00300037">
      <w:pPr>
        <w:spacing w:line="269" w:lineRule="auto"/>
        <w:jc w:val="both"/>
        <w:rPr>
          <w:rFonts w:ascii="Arial" w:hAnsi="Arial" w:cs="Arial"/>
          <w:sz w:val="20"/>
          <w:szCs w:val="20"/>
        </w:rPr>
      </w:pPr>
    </w:p>
    <w:p w:rsidR="00501297" w:rsidRPr="00740788" w:rsidRDefault="00501297" w:rsidP="00300037">
      <w:pPr>
        <w:spacing w:line="269" w:lineRule="auto"/>
        <w:jc w:val="both"/>
        <w:rPr>
          <w:rFonts w:ascii="Arial" w:hAnsi="Arial" w:cs="Arial"/>
          <w:sz w:val="20"/>
          <w:szCs w:val="20"/>
          <w:u w:val="single"/>
        </w:rPr>
      </w:pPr>
      <w:r w:rsidRPr="00740788">
        <w:rPr>
          <w:rFonts w:ascii="Arial" w:hAnsi="Arial" w:cs="Arial"/>
          <w:sz w:val="20"/>
          <w:szCs w:val="20"/>
          <w:u w:val="single"/>
        </w:rPr>
        <w:t>Annual Adjustment</w:t>
      </w:r>
    </w:p>
    <w:p w:rsidR="00501297" w:rsidRPr="00740788" w:rsidRDefault="00501297" w:rsidP="00300037">
      <w:pPr>
        <w:spacing w:line="269" w:lineRule="auto"/>
        <w:jc w:val="both"/>
        <w:rPr>
          <w:rFonts w:ascii="Arial" w:hAnsi="Arial" w:cs="Arial"/>
          <w:sz w:val="20"/>
          <w:szCs w:val="20"/>
        </w:rPr>
      </w:pPr>
    </w:p>
    <w:p w:rsidR="00DD5A4F" w:rsidRPr="00740788" w:rsidRDefault="00570F35" w:rsidP="00300037">
      <w:pPr>
        <w:spacing w:line="269" w:lineRule="auto"/>
        <w:jc w:val="both"/>
        <w:rPr>
          <w:rFonts w:ascii="Arial" w:hAnsi="Arial" w:cs="Arial"/>
          <w:sz w:val="20"/>
          <w:szCs w:val="20"/>
        </w:rPr>
      </w:pPr>
      <w:r w:rsidRPr="00740788">
        <w:rPr>
          <w:rFonts w:ascii="Arial" w:hAnsi="Arial" w:cs="Arial"/>
          <w:sz w:val="20"/>
          <w:szCs w:val="20"/>
        </w:rPr>
        <w:t xml:space="preserve">The two scenarios for the annual adjustment, A and B for each </w:t>
      </w:r>
      <w:r w:rsidR="00524341" w:rsidRPr="00740788">
        <w:rPr>
          <w:rFonts w:ascii="Arial" w:hAnsi="Arial" w:cs="Arial"/>
          <w:sz w:val="20"/>
          <w:szCs w:val="20"/>
        </w:rPr>
        <w:t>option</w:t>
      </w:r>
      <w:r w:rsidR="0075786E">
        <w:rPr>
          <w:rFonts w:ascii="Arial" w:hAnsi="Arial" w:cs="Arial"/>
          <w:sz w:val="20"/>
          <w:szCs w:val="20"/>
        </w:rPr>
        <w:t xml:space="preserve">, </w:t>
      </w:r>
      <w:proofErr w:type="gramStart"/>
      <w:r w:rsidR="0075786E">
        <w:rPr>
          <w:rFonts w:ascii="Arial" w:hAnsi="Arial" w:cs="Arial"/>
          <w:sz w:val="20"/>
          <w:szCs w:val="20"/>
        </w:rPr>
        <w:t>complicates</w:t>
      </w:r>
      <w:proofErr w:type="gramEnd"/>
      <w:r w:rsidR="0075786E">
        <w:rPr>
          <w:rFonts w:ascii="Arial" w:hAnsi="Arial" w:cs="Arial"/>
          <w:sz w:val="20"/>
          <w:szCs w:val="20"/>
        </w:rPr>
        <w:t xml:space="preserve"> matters.</w:t>
      </w:r>
      <w:r w:rsidR="0075786E" w:rsidRPr="00740788">
        <w:rPr>
          <w:rFonts w:ascii="Arial" w:hAnsi="Arial" w:cs="Arial"/>
          <w:sz w:val="20"/>
          <w:szCs w:val="20"/>
        </w:rPr>
        <w:t xml:space="preserve"> The</w:t>
      </w:r>
      <w:r w:rsidRPr="00740788">
        <w:rPr>
          <w:rFonts w:ascii="Arial" w:hAnsi="Arial" w:cs="Arial"/>
          <w:sz w:val="20"/>
          <w:szCs w:val="20"/>
        </w:rPr>
        <w:t xml:space="preserve"> unconfirmed annual adjustment </w:t>
      </w:r>
      <w:r w:rsidR="002E17C5" w:rsidRPr="00740788">
        <w:rPr>
          <w:rFonts w:ascii="Arial" w:hAnsi="Arial" w:cs="Arial"/>
          <w:sz w:val="20"/>
          <w:szCs w:val="20"/>
        </w:rPr>
        <w:t>figure causes difficulties. Further, it</w:t>
      </w:r>
      <w:r w:rsidRPr="00740788">
        <w:rPr>
          <w:rFonts w:ascii="Arial" w:hAnsi="Arial" w:cs="Arial"/>
          <w:sz w:val="20"/>
          <w:szCs w:val="20"/>
        </w:rPr>
        <w:t xml:space="preserve"> </w:t>
      </w:r>
      <w:r w:rsidR="002E17C5" w:rsidRPr="00740788">
        <w:rPr>
          <w:rFonts w:ascii="Arial" w:hAnsi="Arial" w:cs="Arial"/>
          <w:sz w:val="20"/>
          <w:szCs w:val="20"/>
        </w:rPr>
        <w:t>would make consistent</w:t>
      </w:r>
      <w:r w:rsidRPr="00740788">
        <w:rPr>
          <w:rFonts w:ascii="Arial" w:hAnsi="Arial" w:cs="Arial"/>
          <w:sz w:val="20"/>
          <w:szCs w:val="20"/>
        </w:rPr>
        <w:t xml:space="preserve"> s</w:t>
      </w:r>
      <w:r w:rsidR="002E17C5" w:rsidRPr="00740788">
        <w:rPr>
          <w:rFonts w:ascii="Arial" w:hAnsi="Arial" w:cs="Arial"/>
          <w:sz w:val="20"/>
          <w:szCs w:val="20"/>
        </w:rPr>
        <w:t>ense that the adjustment figure (5.7%)</w:t>
      </w:r>
      <w:r w:rsidRPr="00740788">
        <w:rPr>
          <w:rFonts w:ascii="Arial" w:hAnsi="Arial" w:cs="Arial"/>
          <w:sz w:val="20"/>
          <w:szCs w:val="20"/>
        </w:rPr>
        <w:t xml:space="preserve"> be factored into</w:t>
      </w:r>
      <w:r w:rsidR="002E17C5" w:rsidRPr="00740788">
        <w:rPr>
          <w:rFonts w:ascii="Arial" w:hAnsi="Arial" w:cs="Arial"/>
          <w:sz w:val="20"/>
          <w:szCs w:val="20"/>
        </w:rPr>
        <w:t xml:space="preserve"> charges as </w:t>
      </w:r>
      <w:r w:rsidR="0075786E">
        <w:rPr>
          <w:rFonts w:ascii="Arial" w:hAnsi="Arial" w:cs="Arial"/>
          <w:sz w:val="20"/>
          <w:szCs w:val="20"/>
        </w:rPr>
        <w:t xml:space="preserve">it </w:t>
      </w:r>
      <w:r w:rsidR="002E17C5" w:rsidRPr="00740788">
        <w:rPr>
          <w:rFonts w:ascii="Arial" w:hAnsi="Arial" w:cs="Arial"/>
          <w:sz w:val="20"/>
          <w:szCs w:val="20"/>
        </w:rPr>
        <w:t>previously</w:t>
      </w:r>
      <w:r w:rsidR="0075786E">
        <w:rPr>
          <w:rFonts w:ascii="Arial" w:hAnsi="Arial" w:cs="Arial"/>
          <w:sz w:val="20"/>
          <w:szCs w:val="20"/>
        </w:rPr>
        <w:t xml:space="preserve"> has</w:t>
      </w:r>
      <w:r w:rsidRPr="00740788">
        <w:rPr>
          <w:rFonts w:ascii="Arial" w:hAnsi="Arial" w:cs="Arial"/>
          <w:sz w:val="20"/>
          <w:szCs w:val="20"/>
        </w:rPr>
        <w:t>.</w:t>
      </w:r>
    </w:p>
    <w:p w:rsidR="00501297" w:rsidRPr="00740788" w:rsidRDefault="00501297" w:rsidP="00300037">
      <w:pPr>
        <w:spacing w:line="269" w:lineRule="auto"/>
        <w:jc w:val="both"/>
        <w:rPr>
          <w:rFonts w:ascii="Arial" w:hAnsi="Arial" w:cs="Arial"/>
          <w:sz w:val="20"/>
          <w:szCs w:val="20"/>
        </w:rPr>
      </w:pPr>
    </w:p>
    <w:p w:rsidR="00B041F2" w:rsidRDefault="002E17C5" w:rsidP="00300037">
      <w:pPr>
        <w:spacing w:line="269" w:lineRule="auto"/>
        <w:jc w:val="both"/>
        <w:rPr>
          <w:rFonts w:ascii="Arial" w:hAnsi="Arial" w:cs="Arial"/>
          <w:sz w:val="20"/>
          <w:szCs w:val="20"/>
        </w:rPr>
      </w:pPr>
      <w:r w:rsidRPr="00740788">
        <w:rPr>
          <w:rFonts w:ascii="Arial" w:hAnsi="Arial" w:cs="Arial"/>
          <w:sz w:val="20"/>
          <w:szCs w:val="20"/>
        </w:rPr>
        <w:t>The 5.7</w:t>
      </w:r>
      <w:r w:rsidR="00501297" w:rsidRPr="00740788">
        <w:rPr>
          <w:rFonts w:ascii="Arial" w:hAnsi="Arial" w:cs="Arial"/>
          <w:sz w:val="20"/>
          <w:szCs w:val="20"/>
        </w:rPr>
        <w:t xml:space="preserve">% figure still overstates the expenditure that industry is responsible for. This is because the </w:t>
      </w:r>
      <w:r w:rsidR="00DE3554" w:rsidRPr="00740788">
        <w:rPr>
          <w:rFonts w:ascii="Arial" w:hAnsi="Arial" w:cs="Arial"/>
          <w:sz w:val="20"/>
          <w:szCs w:val="20"/>
        </w:rPr>
        <w:t>ann</w:t>
      </w:r>
      <w:r w:rsidR="00DE3554">
        <w:rPr>
          <w:rFonts w:ascii="Arial" w:hAnsi="Arial" w:cs="Arial"/>
          <w:sz w:val="20"/>
          <w:szCs w:val="20"/>
        </w:rPr>
        <w:t>u</w:t>
      </w:r>
      <w:r w:rsidR="00DE3554" w:rsidRPr="00740788">
        <w:rPr>
          <w:rFonts w:ascii="Arial" w:hAnsi="Arial" w:cs="Arial"/>
          <w:sz w:val="20"/>
          <w:szCs w:val="20"/>
        </w:rPr>
        <w:t>al</w:t>
      </w:r>
      <w:r w:rsidR="00501297" w:rsidRPr="00740788">
        <w:rPr>
          <w:rFonts w:ascii="Arial" w:hAnsi="Arial" w:cs="Arial"/>
          <w:sz w:val="20"/>
          <w:szCs w:val="20"/>
        </w:rPr>
        <w:t xml:space="preserve"> adjustment figure is backdated for inflation</w:t>
      </w:r>
      <w:r w:rsidR="001844D2">
        <w:rPr>
          <w:rFonts w:ascii="Arial" w:hAnsi="Arial" w:cs="Arial"/>
          <w:sz w:val="20"/>
          <w:szCs w:val="20"/>
        </w:rPr>
        <w:t>,</w:t>
      </w:r>
      <w:r w:rsidR="00501297" w:rsidRPr="00740788">
        <w:rPr>
          <w:rFonts w:ascii="Arial" w:hAnsi="Arial" w:cs="Arial"/>
          <w:sz w:val="20"/>
          <w:szCs w:val="20"/>
        </w:rPr>
        <w:t xml:space="preserve"> meaning that expenditure is inflated beyond CPI. With the removal of the floor and the ceiling from the annual adjustment </w:t>
      </w:r>
      <w:r w:rsidR="00B041F2" w:rsidRPr="00740788">
        <w:rPr>
          <w:rFonts w:ascii="Arial" w:hAnsi="Arial" w:cs="Arial"/>
          <w:sz w:val="20"/>
          <w:szCs w:val="20"/>
        </w:rPr>
        <w:t>figure,</w:t>
      </w:r>
      <w:r w:rsidR="00501297" w:rsidRPr="00740788">
        <w:rPr>
          <w:rFonts w:ascii="Arial" w:hAnsi="Arial" w:cs="Arial"/>
          <w:sz w:val="20"/>
          <w:szCs w:val="20"/>
        </w:rPr>
        <w:t xml:space="preserve"> RCPI has spiralled out of control. This would indicate </w:t>
      </w:r>
      <w:r w:rsidRPr="00740788">
        <w:rPr>
          <w:rFonts w:ascii="Arial" w:hAnsi="Arial" w:cs="Arial"/>
          <w:sz w:val="20"/>
          <w:szCs w:val="20"/>
        </w:rPr>
        <w:t xml:space="preserve">that there has been a marked reduction in </w:t>
      </w:r>
      <w:r w:rsidR="00524341" w:rsidRPr="00740788">
        <w:rPr>
          <w:rFonts w:ascii="Arial" w:hAnsi="Arial" w:cs="Arial"/>
          <w:sz w:val="20"/>
          <w:szCs w:val="20"/>
        </w:rPr>
        <w:t xml:space="preserve">the </w:t>
      </w:r>
      <w:r w:rsidRPr="00740788">
        <w:rPr>
          <w:rFonts w:ascii="Arial" w:hAnsi="Arial" w:cs="Arial"/>
          <w:sz w:val="20"/>
          <w:szCs w:val="20"/>
        </w:rPr>
        <w:t>efficienc</w:t>
      </w:r>
      <w:r w:rsidR="00524341" w:rsidRPr="00740788">
        <w:rPr>
          <w:rFonts w:ascii="Arial" w:hAnsi="Arial" w:cs="Arial"/>
          <w:sz w:val="20"/>
          <w:szCs w:val="20"/>
        </w:rPr>
        <w:t>y of road provision</w:t>
      </w:r>
      <w:r w:rsidR="00B041F2" w:rsidRPr="00740788">
        <w:rPr>
          <w:rFonts w:ascii="Arial" w:hAnsi="Arial" w:cs="Arial"/>
          <w:sz w:val="20"/>
          <w:szCs w:val="20"/>
        </w:rPr>
        <w:t>, including expenditure spent on heavy vehicle road maintenance or upgrading.</w:t>
      </w:r>
    </w:p>
    <w:p w:rsidR="0075786E" w:rsidRPr="00740788" w:rsidRDefault="0075786E" w:rsidP="00300037">
      <w:pPr>
        <w:spacing w:line="269" w:lineRule="auto"/>
        <w:jc w:val="both"/>
        <w:rPr>
          <w:rFonts w:ascii="Arial" w:hAnsi="Arial" w:cs="Arial"/>
          <w:sz w:val="20"/>
          <w:szCs w:val="20"/>
        </w:rPr>
      </w:pPr>
    </w:p>
    <w:p w:rsidR="00B041F2" w:rsidRPr="00740788" w:rsidRDefault="002F29F2" w:rsidP="00300037">
      <w:pPr>
        <w:spacing w:line="269" w:lineRule="auto"/>
        <w:jc w:val="both"/>
        <w:rPr>
          <w:rFonts w:ascii="Arial" w:hAnsi="Arial" w:cs="Arial"/>
          <w:sz w:val="20"/>
          <w:szCs w:val="20"/>
        </w:rPr>
      </w:pPr>
      <w:r w:rsidRPr="00740788">
        <w:rPr>
          <w:rFonts w:ascii="Arial" w:hAnsi="Arial" w:cs="Arial"/>
          <w:sz w:val="20"/>
          <w:szCs w:val="20"/>
        </w:rPr>
        <w:t xml:space="preserve">Scenario </w:t>
      </w:r>
      <w:proofErr w:type="gramStart"/>
      <w:r w:rsidR="00B041F2" w:rsidRPr="00740788">
        <w:rPr>
          <w:rFonts w:ascii="Arial" w:hAnsi="Arial" w:cs="Arial"/>
          <w:sz w:val="20"/>
          <w:szCs w:val="20"/>
        </w:rPr>
        <w:t>A,</w:t>
      </w:r>
      <w:proofErr w:type="gramEnd"/>
      <w:r w:rsidR="00B041F2" w:rsidRPr="00740788">
        <w:rPr>
          <w:rFonts w:ascii="Arial" w:hAnsi="Arial" w:cs="Arial"/>
          <w:sz w:val="20"/>
          <w:szCs w:val="20"/>
        </w:rPr>
        <w:t xml:space="preserve"> recalculates the charges and then </w:t>
      </w:r>
      <w:r w:rsidR="00C579E6" w:rsidRPr="00740788">
        <w:rPr>
          <w:rFonts w:ascii="Arial" w:hAnsi="Arial" w:cs="Arial"/>
          <w:sz w:val="20"/>
          <w:szCs w:val="20"/>
        </w:rPr>
        <w:t>includes</w:t>
      </w:r>
      <w:r w:rsidR="00B041F2" w:rsidRPr="00740788">
        <w:rPr>
          <w:rFonts w:ascii="Arial" w:hAnsi="Arial" w:cs="Arial"/>
          <w:sz w:val="20"/>
          <w:szCs w:val="20"/>
        </w:rPr>
        <w:t xml:space="preserve"> the annual adjustment figure on top of the recalculation. </w:t>
      </w:r>
      <w:r w:rsidRPr="00740788">
        <w:rPr>
          <w:rFonts w:ascii="Arial" w:hAnsi="Arial" w:cs="Arial"/>
          <w:sz w:val="20"/>
          <w:szCs w:val="20"/>
        </w:rPr>
        <w:t xml:space="preserve">Scenario </w:t>
      </w:r>
      <w:r w:rsidR="00B041F2" w:rsidRPr="00740788">
        <w:rPr>
          <w:rFonts w:ascii="Arial" w:hAnsi="Arial" w:cs="Arial"/>
          <w:sz w:val="20"/>
          <w:szCs w:val="20"/>
        </w:rPr>
        <w:t xml:space="preserve">B is more of an unknown application. With the </w:t>
      </w:r>
      <w:r w:rsidR="00C579E6" w:rsidRPr="00740788">
        <w:rPr>
          <w:rFonts w:ascii="Arial" w:hAnsi="Arial" w:cs="Arial"/>
          <w:sz w:val="20"/>
          <w:szCs w:val="20"/>
        </w:rPr>
        <w:t xml:space="preserve">use of </w:t>
      </w:r>
      <w:r w:rsidR="00DE3554">
        <w:rPr>
          <w:rFonts w:ascii="Arial" w:hAnsi="Arial" w:cs="Arial"/>
          <w:sz w:val="20"/>
          <w:szCs w:val="20"/>
        </w:rPr>
        <w:t>2011-</w:t>
      </w:r>
      <w:r w:rsidR="00B041F2" w:rsidRPr="00740788">
        <w:rPr>
          <w:rFonts w:ascii="Arial" w:hAnsi="Arial" w:cs="Arial"/>
          <w:sz w:val="20"/>
          <w:szCs w:val="20"/>
        </w:rPr>
        <w:t>12 road expenditure and 2008 usage data – there are considerable difference in this method. Overall</w:t>
      </w:r>
      <w:r w:rsidR="002E17C5" w:rsidRPr="00740788">
        <w:rPr>
          <w:rFonts w:ascii="Arial" w:hAnsi="Arial" w:cs="Arial"/>
          <w:sz w:val="20"/>
          <w:szCs w:val="20"/>
        </w:rPr>
        <w:t xml:space="preserve"> scenario</w:t>
      </w:r>
      <w:r w:rsidR="00B041F2" w:rsidRPr="00740788">
        <w:rPr>
          <w:rFonts w:ascii="Arial" w:hAnsi="Arial" w:cs="Arial"/>
          <w:sz w:val="20"/>
          <w:szCs w:val="20"/>
        </w:rPr>
        <w:t xml:space="preserve"> B does not give the best outcome for industry.</w:t>
      </w:r>
    </w:p>
    <w:p w:rsidR="00F13906" w:rsidRPr="00740788" w:rsidRDefault="00F13906" w:rsidP="00300037">
      <w:pPr>
        <w:spacing w:line="269" w:lineRule="auto"/>
        <w:jc w:val="both"/>
        <w:rPr>
          <w:rFonts w:ascii="Arial" w:hAnsi="Arial" w:cs="Arial"/>
          <w:sz w:val="20"/>
          <w:szCs w:val="20"/>
        </w:rPr>
      </w:pPr>
    </w:p>
    <w:p w:rsidR="00F13906" w:rsidRPr="00740788" w:rsidRDefault="00122CC6" w:rsidP="00300037">
      <w:pPr>
        <w:spacing w:line="269" w:lineRule="auto"/>
        <w:jc w:val="both"/>
        <w:rPr>
          <w:rFonts w:ascii="Arial" w:hAnsi="Arial" w:cs="Arial"/>
          <w:sz w:val="20"/>
          <w:szCs w:val="20"/>
        </w:rPr>
      </w:pPr>
      <w:r w:rsidRPr="00740788">
        <w:rPr>
          <w:rFonts w:ascii="Arial" w:hAnsi="Arial" w:cs="Arial"/>
          <w:sz w:val="20"/>
          <w:szCs w:val="20"/>
        </w:rPr>
        <w:t xml:space="preserve">The effects of the weathering on infrastructure due to </w:t>
      </w:r>
      <w:r w:rsidR="00DE3554">
        <w:rPr>
          <w:rFonts w:ascii="Arial" w:hAnsi="Arial" w:cs="Arial"/>
          <w:sz w:val="20"/>
          <w:szCs w:val="20"/>
        </w:rPr>
        <w:t>the natural disasters from 2010-</w:t>
      </w:r>
      <w:r w:rsidRPr="00740788">
        <w:rPr>
          <w:rFonts w:ascii="Arial" w:hAnsi="Arial" w:cs="Arial"/>
          <w:sz w:val="20"/>
          <w:szCs w:val="20"/>
        </w:rPr>
        <w:t>11, shou</w:t>
      </w:r>
      <w:r w:rsidR="00C579E6" w:rsidRPr="00740788">
        <w:rPr>
          <w:rFonts w:ascii="Arial" w:hAnsi="Arial" w:cs="Arial"/>
          <w:sz w:val="20"/>
          <w:szCs w:val="20"/>
        </w:rPr>
        <w:t>ld effectively be removed from heavy vehicle</w:t>
      </w:r>
      <w:r w:rsidRPr="00740788">
        <w:rPr>
          <w:rFonts w:ascii="Arial" w:hAnsi="Arial" w:cs="Arial"/>
          <w:sz w:val="20"/>
          <w:szCs w:val="20"/>
        </w:rPr>
        <w:t xml:space="preserve"> expenditure costs. In the determination 50% of all maintenance is excluded from related truck use</w:t>
      </w:r>
      <w:r w:rsidR="00ED3977" w:rsidRPr="00740788">
        <w:rPr>
          <w:rFonts w:ascii="Arial" w:hAnsi="Arial" w:cs="Arial"/>
          <w:sz w:val="20"/>
          <w:szCs w:val="20"/>
        </w:rPr>
        <w:t>,</w:t>
      </w:r>
      <w:r w:rsidRPr="00740788">
        <w:rPr>
          <w:rFonts w:ascii="Arial" w:hAnsi="Arial" w:cs="Arial"/>
          <w:sz w:val="20"/>
          <w:szCs w:val="20"/>
        </w:rPr>
        <w:t xml:space="preserve"> as it is determined 50% is due to weathering effects</w:t>
      </w:r>
      <w:r w:rsidR="00ED3977" w:rsidRPr="00740788">
        <w:rPr>
          <w:rFonts w:ascii="Arial" w:hAnsi="Arial" w:cs="Arial"/>
          <w:sz w:val="20"/>
          <w:szCs w:val="20"/>
        </w:rPr>
        <w:t>.</w:t>
      </w:r>
      <w:r w:rsidR="002E17C5" w:rsidRPr="00740788">
        <w:rPr>
          <w:rFonts w:ascii="Arial" w:hAnsi="Arial" w:cs="Arial"/>
          <w:sz w:val="20"/>
          <w:szCs w:val="20"/>
        </w:rPr>
        <w:t xml:space="preserve"> However, in recent times far more maintenance is weather related d</w:t>
      </w:r>
      <w:r w:rsidR="00FA5B69" w:rsidRPr="00740788">
        <w:rPr>
          <w:rFonts w:ascii="Arial" w:hAnsi="Arial" w:cs="Arial"/>
          <w:sz w:val="20"/>
          <w:szCs w:val="20"/>
        </w:rPr>
        <w:t xml:space="preserve">ue to </w:t>
      </w:r>
      <w:r w:rsidR="00ED3977" w:rsidRPr="00740788">
        <w:rPr>
          <w:rFonts w:ascii="Arial" w:hAnsi="Arial" w:cs="Arial"/>
          <w:sz w:val="20"/>
          <w:szCs w:val="20"/>
        </w:rPr>
        <w:t>natural</w:t>
      </w:r>
      <w:r w:rsidR="00C579E6" w:rsidRPr="00740788">
        <w:rPr>
          <w:rFonts w:ascii="Arial" w:hAnsi="Arial" w:cs="Arial"/>
          <w:sz w:val="20"/>
          <w:szCs w:val="20"/>
        </w:rPr>
        <w:t xml:space="preserve"> disaster</w:t>
      </w:r>
      <w:r w:rsidR="00DE3554">
        <w:rPr>
          <w:rFonts w:ascii="Arial" w:hAnsi="Arial" w:cs="Arial"/>
          <w:sz w:val="20"/>
          <w:szCs w:val="20"/>
        </w:rPr>
        <w:t xml:space="preserve"> events, g</w:t>
      </w:r>
      <w:r w:rsidR="00FA5B69" w:rsidRPr="00740788">
        <w:rPr>
          <w:rFonts w:ascii="Arial" w:hAnsi="Arial" w:cs="Arial"/>
          <w:sz w:val="20"/>
          <w:szCs w:val="20"/>
        </w:rPr>
        <w:t>rants,</w:t>
      </w:r>
      <w:r w:rsidR="00ED3977" w:rsidRPr="00740788">
        <w:rPr>
          <w:rFonts w:ascii="Arial" w:hAnsi="Arial" w:cs="Arial"/>
          <w:sz w:val="20"/>
          <w:szCs w:val="20"/>
        </w:rPr>
        <w:t xml:space="preserve"> i</w:t>
      </w:r>
      <w:r w:rsidR="00FA5B69" w:rsidRPr="00740788">
        <w:rPr>
          <w:rFonts w:ascii="Arial" w:hAnsi="Arial" w:cs="Arial"/>
          <w:sz w:val="20"/>
          <w:szCs w:val="20"/>
        </w:rPr>
        <w:t>nsurance</w:t>
      </w:r>
      <w:r w:rsidRPr="00740788">
        <w:rPr>
          <w:rFonts w:ascii="Arial" w:hAnsi="Arial" w:cs="Arial"/>
          <w:sz w:val="20"/>
          <w:szCs w:val="20"/>
        </w:rPr>
        <w:t xml:space="preserve"> and s</w:t>
      </w:r>
      <w:r w:rsidR="00FA5B69" w:rsidRPr="00740788">
        <w:rPr>
          <w:rFonts w:ascii="Arial" w:hAnsi="Arial" w:cs="Arial"/>
          <w:sz w:val="20"/>
          <w:szCs w:val="20"/>
        </w:rPr>
        <w:t xml:space="preserve">tate funds </w:t>
      </w:r>
      <w:r w:rsidR="00C579E6" w:rsidRPr="00740788">
        <w:rPr>
          <w:rFonts w:ascii="Arial" w:hAnsi="Arial" w:cs="Arial"/>
          <w:sz w:val="20"/>
          <w:szCs w:val="20"/>
        </w:rPr>
        <w:t xml:space="preserve">that </w:t>
      </w:r>
      <w:r w:rsidR="00FA5B69" w:rsidRPr="00740788">
        <w:rPr>
          <w:rFonts w:ascii="Arial" w:hAnsi="Arial" w:cs="Arial"/>
          <w:sz w:val="20"/>
          <w:szCs w:val="20"/>
        </w:rPr>
        <w:t>have accommodated increased</w:t>
      </w:r>
      <w:r w:rsidRPr="00740788">
        <w:rPr>
          <w:rFonts w:ascii="Arial" w:hAnsi="Arial" w:cs="Arial"/>
          <w:sz w:val="20"/>
          <w:szCs w:val="20"/>
        </w:rPr>
        <w:t xml:space="preserve"> expenditure related to </w:t>
      </w:r>
      <w:r w:rsidR="00C579E6" w:rsidRPr="00740788">
        <w:rPr>
          <w:rFonts w:ascii="Arial" w:hAnsi="Arial" w:cs="Arial"/>
          <w:sz w:val="20"/>
          <w:szCs w:val="20"/>
        </w:rPr>
        <w:t xml:space="preserve">these </w:t>
      </w:r>
      <w:r w:rsidRPr="00740788">
        <w:rPr>
          <w:rFonts w:ascii="Arial" w:hAnsi="Arial" w:cs="Arial"/>
          <w:sz w:val="20"/>
          <w:szCs w:val="20"/>
        </w:rPr>
        <w:t xml:space="preserve">natural disasters. </w:t>
      </w:r>
      <w:r w:rsidR="00A91243" w:rsidRPr="00740788">
        <w:rPr>
          <w:rFonts w:ascii="Arial" w:hAnsi="Arial" w:cs="Arial"/>
          <w:sz w:val="20"/>
          <w:szCs w:val="20"/>
        </w:rPr>
        <w:t>Hence, the current modera</w:t>
      </w:r>
      <w:r w:rsidR="002E17C5" w:rsidRPr="00740788">
        <w:rPr>
          <w:rFonts w:ascii="Arial" w:hAnsi="Arial" w:cs="Arial"/>
          <w:sz w:val="20"/>
          <w:szCs w:val="20"/>
        </w:rPr>
        <w:t>ted inputs that leads to the 5.7</w:t>
      </w:r>
      <w:r w:rsidR="00FA5B69" w:rsidRPr="00740788">
        <w:rPr>
          <w:rFonts w:ascii="Arial" w:hAnsi="Arial" w:cs="Arial"/>
          <w:sz w:val="20"/>
          <w:szCs w:val="20"/>
        </w:rPr>
        <w:t xml:space="preserve">% annual adjustment, is </w:t>
      </w:r>
      <w:r w:rsidR="00C579E6" w:rsidRPr="00740788">
        <w:rPr>
          <w:rFonts w:ascii="Arial" w:hAnsi="Arial" w:cs="Arial"/>
          <w:sz w:val="20"/>
          <w:szCs w:val="20"/>
        </w:rPr>
        <w:t xml:space="preserve">most </w:t>
      </w:r>
      <w:r w:rsidR="00FA5B69" w:rsidRPr="00740788">
        <w:rPr>
          <w:rFonts w:ascii="Arial" w:hAnsi="Arial" w:cs="Arial"/>
          <w:sz w:val="20"/>
          <w:szCs w:val="20"/>
        </w:rPr>
        <w:t>likely</w:t>
      </w:r>
      <w:r w:rsidR="00A91243" w:rsidRPr="00740788">
        <w:rPr>
          <w:rFonts w:ascii="Arial" w:hAnsi="Arial" w:cs="Arial"/>
          <w:sz w:val="20"/>
          <w:szCs w:val="20"/>
        </w:rPr>
        <w:t xml:space="preserve"> an overstatement of true truck related expenditure.</w:t>
      </w:r>
    </w:p>
    <w:p w:rsidR="00122CC6" w:rsidRPr="00740788" w:rsidRDefault="00122CC6" w:rsidP="00300037">
      <w:pPr>
        <w:spacing w:line="269" w:lineRule="auto"/>
        <w:jc w:val="both"/>
        <w:rPr>
          <w:rFonts w:ascii="Arial" w:hAnsi="Arial" w:cs="Arial"/>
          <w:sz w:val="20"/>
          <w:szCs w:val="20"/>
        </w:rPr>
      </w:pPr>
    </w:p>
    <w:p w:rsidR="00F13906" w:rsidRPr="00740788" w:rsidRDefault="00F13906" w:rsidP="00300037">
      <w:pPr>
        <w:spacing w:line="269" w:lineRule="auto"/>
        <w:jc w:val="both"/>
        <w:rPr>
          <w:rFonts w:ascii="Arial" w:hAnsi="Arial" w:cs="Arial"/>
          <w:sz w:val="20"/>
          <w:szCs w:val="20"/>
        </w:rPr>
      </w:pPr>
      <w:r w:rsidRPr="00740788">
        <w:rPr>
          <w:rFonts w:ascii="Arial" w:hAnsi="Arial" w:cs="Arial"/>
          <w:sz w:val="20"/>
          <w:szCs w:val="20"/>
        </w:rPr>
        <w:t xml:space="preserve">The 50% weathering effect </w:t>
      </w:r>
      <w:r w:rsidR="00A91243" w:rsidRPr="00740788">
        <w:rPr>
          <w:rFonts w:ascii="Arial" w:hAnsi="Arial" w:cs="Arial"/>
          <w:sz w:val="20"/>
          <w:szCs w:val="20"/>
        </w:rPr>
        <w:t xml:space="preserve">is </w:t>
      </w:r>
      <w:r w:rsidRPr="00740788">
        <w:rPr>
          <w:rFonts w:ascii="Arial" w:hAnsi="Arial" w:cs="Arial"/>
          <w:sz w:val="20"/>
          <w:szCs w:val="20"/>
        </w:rPr>
        <w:t>not based on scientific assumptions.</w:t>
      </w:r>
      <w:r w:rsidR="00A91243" w:rsidRPr="00740788">
        <w:rPr>
          <w:rFonts w:ascii="Arial" w:hAnsi="Arial" w:cs="Arial"/>
          <w:sz w:val="20"/>
          <w:szCs w:val="20"/>
        </w:rPr>
        <w:t xml:space="preserve"> </w:t>
      </w:r>
      <w:r w:rsidR="0075786E">
        <w:rPr>
          <w:rFonts w:ascii="Arial" w:hAnsi="Arial" w:cs="Arial"/>
          <w:sz w:val="20"/>
          <w:szCs w:val="20"/>
        </w:rPr>
        <w:t>A previous</w:t>
      </w:r>
      <w:r w:rsidRPr="00740788">
        <w:rPr>
          <w:rFonts w:ascii="Arial" w:hAnsi="Arial" w:cs="Arial"/>
          <w:sz w:val="20"/>
          <w:szCs w:val="20"/>
        </w:rPr>
        <w:t xml:space="preserve"> </w:t>
      </w:r>
      <w:r w:rsidR="0075786E">
        <w:rPr>
          <w:rFonts w:ascii="Arial" w:hAnsi="Arial" w:cs="Arial"/>
          <w:sz w:val="20"/>
          <w:szCs w:val="20"/>
        </w:rPr>
        <w:t>attempt was made</w:t>
      </w:r>
      <w:r w:rsidRPr="00740788">
        <w:rPr>
          <w:rFonts w:ascii="Arial" w:hAnsi="Arial" w:cs="Arial"/>
          <w:sz w:val="20"/>
          <w:szCs w:val="20"/>
        </w:rPr>
        <w:t xml:space="preserve"> to </w:t>
      </w:r>
      <w:r w:rsidR="00C579E6" w:rsidRPr="00740788">
        <w:rPr>
          <w:rFonts w:ascii="Arial" w:hAnsi="Arial" w:cs="Arial"/>
          <w:sz w:val="20"/>
          <w:szCs w:val="20"/>
        </w:rPr>
        <w:t xml:space="preserve">set </w:t>
      </w:r>
      <w:r w:rsidRPr="00740788">
        <w:rPr>
          <w:rFonts w:ascii="Arial" w:hAnsi="Arial" w:cs="Arial"/>
          <w:sz w:val="20"/>
          <w:szCs w:val="20"/>
        </w:rPr>
        <w:t>weathering at 0% at one stage</w:t>
      </w:r>
      <w:r w:rsidR="00DE3554">
        <w:rPr>
          <w:rFonts w:ascii="Arial" w:hAnsi="Arial" w:cs="Arial"/>
          <w:sz w:val="20"/>
          <w:szCs w:val="20"/>
        </w:rPr>
        <w:t>;</w:t>
      </w:r>
      <w:r w:rsidRPr="00740788">
        <w:rPr>
          <w:rFonts w:ascii="Arial" w:hAnsi="Arial" w:cs="Arial"/>
          <w:sz w:val="20"/>
          <w:szCs w:val="20"/>
        </w:rPr>
        <w:t xml:space="preserve"> </w:t>
      </w:r>
      <w:r w:rsidR="00C579E6" w:rsidRPr="00740788">
        <w:rPr>
          <w:rFonts w:ascii="Arial" w:hAnsi="Arial" w:cs="Arial"/>
          <w:sz w:val="20"/>
          <w:szCs w:val="20"/>
        </w:rPr>
        <w:t xml:space="preserve">however, the transport </w:t>
      </w:r>
      <w:r w:rsidRPr="00740788">
        <w:rPr>
          <w:rFonts w:ascii="Arial" w:hAnsi="Arial" w:cs="Arial"/>
          <w:sz w:val="20"/>
          <w:szCs w:val="20"/>
        </w:rPr>
        <w:t xml:space="preserve">industry was successful in arguing that weathering </w:t>
      </w:r>
      <w:r w:rsidR="00C579E6" w:rsidRPr="00740788">
        <w:rPr>
          <w:rFonts w:ascii="Arial" w:hAnsi="Arial" w:cs="Arial"/>
          <w:sz w:val="20"/>
          <w:szCs w:val="20"/>
        </w:rPr>
        <w:t>plays a significant part in road maintenance</w:t>
      </w:r>
      <w:r w:rsidRPr="00740788">
        <w:rPr>
          <w:rFonts w:ascii="Arial" w:hAnsi="Arial" w:cs="Arial"/>
          <w:sz w:val="20"/>
          <w:szCs w:val="20"/>
        </w:rPr>
        <w:t>, especially if roads are poorly built</w:t>
      </w:r>
      <w:r w:rsidR="00A91243" w:rsidRPr="00740788">
        <w:rPr>
          <w:rFonts w:ascii="Arial" w:hAnsi="Arial" w:cs="Arial"/>
          <w:sz w:val="20"/>
          <w:szCs w:val="20"/>
        </w:rPr>
        <w:t>.</w:t>
      </w:r>
      <w:r w:rsidR="00FA5B69" w:rsidRPr="00740788">
        <w:rPr>
          <w:rFonts w:ascii="Arial" w:hAnsi="Arial" w:cs="Arial"/>
          <w:sz w:val="20"/>
          <w:szCs w:val="20"/>
        </w:rPr>
        <w:t xml:space="preserve"> </w:t>
      </w:r>
      <w:proofErr w:type="gramStart"/>
      <w:r w:rsidR="00FA5B69" w:rsidRPr="00740788">
        <w:rPr>
          <w:rFonts w:ascii="Arial" w:hAnsi="Arial" w:cs="Arial"/>
          <w:sz w:val="20"/>
          <w:szCs w:val="20"/>
        </w:rPr>
        <w:t xml:space="preserve">More work </w:t>
      </w:r>
      <w:r w:rsidR="00C579E6" w:rsidRPr="00740788">
        <w:rPr>
          <w:rFonts w:ascii="Arial" w:hAnsi="Arial" w:cs="Arial"/>
          <w:sz w:val="20"/>
          <w:szCs w:val="20"/>
        </w:rPr>
        <w:t xml:space="preserve">needs to be done </w:t>
      </w:r>
      <w:r w:rsidR="00FA5B69" w:rsidRPr="00740788">
        <w:rPr>
          <w:rFonts w:ascii="Arial" w:hAnsi="Arial" w:cs="Arial"/>
          <w:sz w:val="20"/>
          <w:szCs w:val="20"/>
        </w:rPr>
        <w:t xml:space="preserve">to better allocate these effects, as artificially high truck charges </w:t>
      </w:r>
      <w:r w:rsidR="00C579E6" w:rsidRPr="00740788">
        <w:rPr>
          <w:rFonts w:ascii="Arial" w:hAnsi="Arial" w:cs="Arial"/>
          <w:sz w:val="20"/>
          <w:szCs w:val="20"/>
        </w:rPr>
        <w:t>create a negative effect on</w:t>
      </w:r>
      <w:r w:rsidR="00FA5B69" w:rsidRPr="00740788">
        <w:rPr>
          <w:rFonts w:ascii="Arial" w:hAnsi="Arial" w:cs="Arial"/>
          <w:sz w:val="20"/>
          <w:szCs w:val="20"/>
        </w:rPr>
        <w:t xml:space="preserve"> the economy.</w:t>
      </w:r>
      <w:proofErr w:type="gramEnd"/>
    </w:p>
    <w:p w:rsidR="00F13906" w:rsidRPr="00740788" w:rsidRDefault="00F13906" w:rsidP="00300037">
      <w:pPr>
        <w:spacing w:line="269" w:lineRule="auto"/>
        <w:jc w:val="both"/>
        <w:rPr>
          <w:rFonts w:ascii="Arial" w:hAnsi="Arial" w:cs="Arial"/>
          <w:sz w:val="20"/>
          <w:szCs w:val="20"/>
        </w:rPr>
      </w:pPr>
    </w:p>
    <w:p w:rsidR="00617771"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With the annual adjustment calculation, it is more realistic to state that the ceiling has been removed</w:t>
      </w:r>
      <w:r w:rsidR="00ED3977" w:rsidRPr="00740788">
        <w:rPr>
          <w:rFonts w:ascii="Arial" w:hAnsi="Arial" w:cs="Arial"/>
          <w:sz w:val="20"/>
          <w:szCs w:val="20"/>
        </w:rPr>
        <w:t>,</w:t>
      </w:r>
      <w:r w:rsidRPr="00740788">
        <w:rPr>
          <w:rFonts w:ascii="Arial" w:hAnsi="Arial" w:cs="Arial"/>
          <w:sz w:val="20"/>
          <w:szCs w:val="20"/>
        </w:rPr>
        <w:t xml:space="preserve"> as over the period of time the new calculation</w:t>
      </w:r>
      <w:r w:rsidR="00C579E6" w:rsidRPr="00740788">
        <w:rPr>
          <w:rFonts w:ascii="Arial" w:hAnsi="Arial" w:cs="Arial"/>
          <w:sz w:val="20"/>
          <w:szCs w:val="20"/>
        </w:rPr>
        <w:t xml:space="preserve"> method</w:t>
      </w:r>
      <w:r w:rsidRPr="00740788">
        <w:rPr>
          <w:rFonts w:ascii="Arial" w:hAnsi="Arial" w:cs="Arial"/>
          <w:sz w:val="20"/>
          <w:szCs w:val="20"/>
        </w:rPr>
        <w:t xml:space="preserve"> has been in plac</w:t>
      </w:r>
      <w:r w:rsidR="00ED3977" w:rsidRPr="00740788">
        <w:rPr>
          <w:rFonts w:ascii="Arial" w:hAnsi="Arial" w:cs="Arial"/>
          <w:sz w:val="20"/>
          <w:szCs w:val="20"/>
        </w:rPr>
        <w:t>e the charges have never fallen</w:t>
      </w:r>
      <w:r w:rsidRPr="00740788">
        <w:rPr>
          <w:rFonts w:ascii="Arial" w:hAnsi="Arial" w:cs="Arial"/>
          <w:sz w:val="20"/>
          <w:szCs w:val="20"/>
        </w:rPr>
        <w:t xml:space="preserve">. The statement that fleet mix has been taken into account </w:t>
      </w:r>
      <w:r w:rsidR="00FA5B69" w:rsidRPr="00740788">
        <w:rPr>
          <w:rFonts w:ascii="Arial" w:hAnsi="Arial" w:cs="Arial"/>
          <w:sz w:val="20"/>
          <w:szCs w:val="20"/>
        </w:rPr>
        <w:t>does not stand up</w:t>
      </w:r>
      <w:r w:rsidR="00C579E6" w:rsidRPr="00740788">
        <w:rPr>
          <w:rFonts w:ascii="Arial" w:hAnsi="Arial" w:cs="Arial"/>
          <w:sz w:val="20"/>
          <w:szCs w:val="20"/>
        </w:rPr>
        <w:t xml:space="preserve"> to our </w:t>
      </w:r>
      <w:r w:rsidR="008D5056" w:rsidRPr="00740788">
        <w:rPr>
          <w:rFonts w:ascii="Arial" w:hAnsi="Arial" w:cs="Arial"/>
          <w:sz w:val="20"/>
          <w:szCs w:val="20"/>
        </w:rPr>
        <w:t xml:space="preserve">scrutiny. </w:t>
      </w:r>
      <w:r w:rsidR="00FA5B69" w:rsidRPr="00740788">
        <w:rPr>
          <w:rFonts w:ascii="Arial" w:hAnsi="Arial" w:cs="Arial"/>
          <w:sz w:val="20"/>
          <w:szCs w:val="20"/>
        </w:rPr>
        <w:t xml:space="preserve">Our </w:t>
      </w:r>
      <w:r w:rsidR="00ED3977" w:rsidRPr="00740788">
        <w:rPr>
          <w:rFonts w:ascii="Arial" w:hAnsi="Arial" w:cs="Arial"/>
          <w:sz w:val="20"/>
          <w:szCs w:val="20"/>
        </w:rPr>
        <w:t>review of the previous calculation suggests</w:t>
      </w:r>
      <w:r w:rsidR="00FA5B69" w:rsidRPr="00740788">
        <w:rPr>
          <w:rFonts w:ascii="Arial" w:hAnsi="Arial" w:cs="Arial"/>
          <w:sz w:val="20"/>
          <w:szCs w:val="20"/>
        </w:rPr>
        <w:t xml:space="preserve"> 5.7% is at least 2% too high</w:t>
      </w:r>
      <w:r w:rsidR="00C579E6" w:rsidRPr="00740788">
        <w:rPr>
          <w:rFonts w:ascii="Arial" w:hAnsi="Arial" w:cs="Arial"/>
          <w:sz w:val="20"/>
          <w:szCs w:val="20"/>
        </w:rPr>
        <w:t>, impacting the transport industry in a negative matter</w:t>
      </w:r>
      <w:r w:rsidR="00FA5B69" w:rsidRPr="00740788">
        <w:rPr>
          <w:rFonts w:ascii="Arial" w:hAnsi="Arial" w:cs="Arial"/>
          <w:sz w:val="20"/>
          <w:szCs w:val="20"/>
        </w:rPr>
        <w:t>.</w:t>
      </w:r>
    </w:p>
    <w:p w:rsidR="00CB5126" w:rsidRPr="00740788" w:rsidRDefault="00CB5126" w:rsidP="00300037">
      <w:pPr>
        <w:spacing w:line="269" w:lineRule="auto"/>
        <w:jc w:val="both"/>
        <w:rPr>
          <w:rFonts w:ascii="Arial" w:hAnsi="Arial" w:cs="Arial"/>
          <w:sz w:val="20"/>
          <w:szCs w:val="20"/>
        </w:rPr>
      </w:pPr>
    </w:p>
    <w:p w:rsidR="00CB5126" w:rsidRPr="00740788" w:rsidRDefault="00CB5126" w:rsidP="00300037">
      <w:pPr>
        <w:spacing w:line="269" w:lineRule="auto"/>
        <w:jc w:val="both"/>
        <w:rPr>
          <w:rFonts w:ascii="Arial" w:hAnsi="Arial" w:cs="Arial"/>
          <w:sz w:val="20"/>
          <w:szCs w:val="20"/>
        </w:rPr>
      </w:pPr>
      <w:r w:rsidRPr="00740788">
        <w:rPr>
          <w:rFonts w:ascii="Arial" w:hAnsi="Arial" w:cs="Arial"/>
          <w:sz w:val="20"/>
          <w:szCs w:val="20"/>
        </w:rPr>
        <w:t>The -1 used fo</w:t>
      </w:r>
      <w:r w:rsidR="000D0EEF" w:rsidRPr="00740788">
        <w:rPr>
          <w:rFonts w:ascii="Arial" w:hAnsi="Arial" w:cs="Arial"/>
          <w:sz w:val="20"/>
          <w:szCs w:val="20"/>
        </w:rPr>
        <w:t>r the road use factor is evidence</w:t>
      </w:r>
      <w:r w:rsidRPr="00740788">
        <w:rPr>
          <w:rFonts w:ascii="Arial" w:hAnsi="Arial" w:cs="Arial"/>
          <w:sz w:val="20"/>
          <w:szCs w:val="20"/>
        </w:rPr>
        <w:t xml:space="preserve"> of this. The figure has not been updat</w:t>
      </w:r>
      <w:r w:rsidR="00ED3977" w:rsidRPr="00740788">
        <w:rPr>
          <w:rFonts w:ascii="Arial" w:hAnsi="Arial" w:cs="Arial"/>
          <w:sz w:val="20"/>
          <w:szCs w:val="20"/>
        </w:rPr>
        <w:t>ed since 2007</w:t>
      </w:r>
      <w:r w:rsidR="000D0EEF" w:rsidRPr="00740788">
        <w:rPr>
          <w:rFonts w:ascii="Arial" w:hAnsi="Arial" w:cs="Arial"/>
          <w:sz w:val="20"/>
          <w:szCs w:val="20"/>
        </w:rPr>
        <w:t>,</w:t>
      </w:r>
      <w:r w:rsidR="00ED3977" w:rsidRPr="00740788">
        <w:rPr>
          <w:rFonts w:ascii="Arial" w:hAnsi="Arial" w:cs="Arial"/>
          <w:sz w:val="20"/>
          <w:szCs w:val="20"/>
        </w:rPr>
        <w:t xml:space="preserve"> even thought the vehicle kilometres travelled and gross domestic product,</w:t>
      </w:r>
      <w:r w:rsidRPr="00740788">
        <w:rPr>
          <w:rFonts w:ascii="Arial" w:hAnsi="Arial" w:cs="Arial"/>
          <w:sz w:val="20"/>
          <w:szCs w:val="20"/>
        </w:rPr>
        <w:t xml:space="preserve"> which are the parameters of the calculation</w:t>
      </w:r>
      <w:r w:rsidR="00ED3977" w:rsidRPr="00740788">
        <w:rPr>
          <w:rFonts w:ascii="Arial" w:hAnsi="Arial" w:cs="Arial"/>
          <w:sz w:val="20"/>
          <w:szCs w:val="20"/>
        </w:rPr>
        <w:t>,</w:t>
      </w:r>
      <w:r w:rsidRPr="00740788">
        <w:rPr>
          <w:rFonts w:ascii="Arial" w:hAnsi="Arial" w:cs="Arial"/>
          <w:sz w:val="20"/>
          <w:szCs w:val="20"/>
        </w:rPr>
        <w:t xml:space="preserve"> have changed. </w:t>
      </w:r>
      <w:r w:rsidR="002F29F2" w:rsidRPr="00740788">
        <w:rPr>
          <w:rFonts w:ascii="Arial" w:hAnsi="Arial" w:cs="Arial"/>
          <w:sz w:val="20"/>
          <w:szCs w:val="20"/>
        </w:rPr>
        <w:t>We believe this number should be -3,</w:t>
      </w:r>
      <w:r w:rsidR="000D0EEF" w:rsidRPr="00740788">
        <w:rPr>
          <w:rFonts w:ascii="Arial" w:hAnsi="Arial" w:cs="Arial"/>
          <w:sz w:val="20"/>
          <w:szCs w:val="20"/>
        </w:rPr>
        <w:t xml:space="preserve"> and therefore the</w:t>
      </w:r>
      <w:r w:rsidR="002F29F2" w:rsidRPr="00740788">
        <w:rPr>
          <w:rFonts w:ascii="Arial" w:hAnsi="Arial" w:cs="Arial"/>
          <w:sz w:val="20"/>
          <w:szCs w:val="20"/>
        </w:rPr>
        <w:t xml:space="preserve"> </w:t>
      </w:r>
      <w:r w:rsidR="00FA5B69" w:rsidRPr="00740788">
        <w:rPr>
          <w:rFonts w:ascii="Arial" w:hAnsi="Arial" w:cs="Arial"/>
          <w:sz w:val="20"/>
          <w:szCs w:val="20"/>
        </w:rPr>
        <w:t>5.7</w:t>
      </w:r>
      <w:r w:rsidR="000D0EEF" w:rsidRPr="00740788">
        <w:rPr>
          <w:rFonts w:ascii="Arial" w:hAnsi="Arial" w:cs="Arial"/>
          <w:sz w:val="20"/>
          <w:szCs w:val="20"/>
        </w:rPr>
        <w:t>% figure</w:t>
      </w:r>
      <w:r w:rsidR="00FA5B69" w:rsidRPr="00740788">
        <w:rPr>
          <w:rFonts w:ascii="Arial" w:hAnsi="Arial" w:cs="Arial"/>
          <w:sz w:val="20"/>
          <w:szCs w:val="20"/>
        </w:rPr>
        <w:t xml:space="preserve"> should be less than 3.7%</w:t>
      </w:r>
    </w:p>
    <w:p w:rsidR="00355C9F" w:rsidRPr="00794E9F" w:rsidRDefault="00355C9F" w:rsidP="00300037">
      <w:pPr>
        <w:spacing w:line="269" w:lineRule="auto"/>
        <w:jc w:val="both"/>
        <w:rPr>
          <w:rFonts w:ascii="Arial" w:hAnsi="Arial" w:cs="Arial"/>
          <w:sz w:val="20"/>
          <w:szCs w:val="20"/>
        </w:rPr>
      </w:pPr>
    </w:p>
    <w:p w:rsidR="00794E9F" w:rsidRPr="00794E9F" w:rsidRDefault="00794E9F" w:rsidP="00300037">
      <w:pPr>
        <w:spacing w:line="269" w:lineRule="auto"/>
        <w:jc w:val="both"/>
        <w:rPr>
          <w:rFonts w:ascii="Arial" w:hAnsi="Arial" w:cs="Arial"/>
          <w:sz w:val="20"/>
          <w:szCs w:val="20"/>
        </w:rPr>
      </w:pPr>
    </w:p>
    <w:p w:rsidR="00617771" w:rsidRPr="00F50321" w:rsidRDefault="00617771" w:rsidP="00300037">
      <w:pPr>
        <w:pStyle w:val="Heading1"/>
        <w:spacing w:line="269" w:lineRule="auto"/>
        <w:jc w:val="both"/>
      </w:pPr>
      <w:bookmarkStart w:id="4" w:name="_Toc315176344"/>
      <w:bookmarkStart w:id="5" w:name="_Toc316396806"/>
      <w:r w:rsidRPr="00F50321">
        <w:t>Options</w:t>
      </w:r>
      <w:bookmarkEnd w:id="4"/>
      <w:bookmarkEnd w:id="5"/>
    </w:p>
    <w:p w:rsidR="00617771" w:rsidRPr="00740788" w:rsidRDefault="00617771" w:rsidP="00300037">
      <w:pPr>
        <w:spacing w:line="269" w:lineRule="auto"/>
        <w:jc w:val="both"/>
        <w:rPr>
          <w:rFonts w:ascii="Arial" w:hAnsi="Arial" w:cs="Arial"/>
          <w:sz w:val="20"/>
          <w:szCs w:val="20"/>
        </w:rPr>
      </w:pPr>
    </w:p>
    <w:p w:rsidR="00617771" w:rsidRPr="00740788" w:rsidRDefault="00FA55FA" w:rsidP="00300037">
      <w:pPr>
        <w:spacing w:line="269" w:lineRule="auto"/>
        <w:jc w:val="both"/>
        <w:rPr>
          <w:rFonts w:ascii="Arial" w:hAnsi="Arial" w:cs="Arial"/>
          <w:sz w:val="20"/>
          <w:szCs w:val="20"/>
        </w:rPr>
      </w:pPr>
      <w:r w:rsidRPr="00740788">
        <w:rPr>
          <w:rFonts w:ascii="Arial" w:hAnsi="Arial" w:cs="Arial"/>
          <w:sz w:val="20"/>
          <w:szCs w:val="20"/>
        </w:rPr>
        <w:t xml:space="preserve">The ATA </w:t>
      </w:r>
      <w:r w:rsidR="000D0EEF" w:rsidRPr="00740788">
        <w:rPr>
          <w:rFonts w:ascii="Arial" w:hAnsi="Arial" w:cs="Arial"/>
          <w:sz w:val="20"/>
          <w:szCs w:val="20"/>
        </w:rPr>
        <w:t>recommend</w:t>
      </w:r>
      <w:r w:rsidR="0004764C">
        <w:rPr>
          <w:rFonts w:ascii="Arial" w:hAnsi="Arial" w:cs="Arial"/>
          <w:sz w:val="20"/>
          <w:szCs w:val="20"/>
        </w:rPr>
        <w:t>s that the A-trailer registration charge should be lowered to that of a semi-trailer.</w:t>
      </w:r>
      <w:r w:rsidRPr="00740788">
        <w:rPr>
          <w:rFonts w:ascii="Arial" w:hAnsi="Arial" w:cs="Arial"/>
          <w:sz w:val="20"/>
          <w:szCs w:val="20"/>
        </w:rPr>
        <w:t xml:space="preserve"> As we believe this problem is </w:t>
      </w:r>
      <w:r w:rsidR="00FA5B69" w:rsidRPr="00740788">
        <w:rPr>
          <w:rFonts w:ascii="Arial" w:hAnsi="Arial" w:cs="Arial"/>
          <w:sz w:val="20"/>
          <w:szCs w:val="20"/>
        </w:rPr>
        <w:t xml:space="preserve">not </w:t>
      </w:r>
      <w:r w:rsidR="00ED3977" w:rsidRPr="00740788">
        <w:rPr>
          <w:rFonts w:ascii="Arial" w:hAnsi="Arial" w:cs="Arial"/>
          <w:sz w:val="20"/>
          <w:szCs w:val="20"/>
        </w:rPr>
        <w:t xml:space="preserve">a </w:t>
      </w:r>
      <w:r w:rsidR="00FA5B69" w:rsidRPr="00740788">
        <w:rPr>
          <w:rFonts w:ascii="Arial" w:hAnsi="Arial" w:cs="Arial"/>
          <w:sz w:val="20"/>
          <w:szCs w:val="20"/>
        </w:rPr>
        <w:t>significant</w:t>
      </w:r>
      <w:r w:rsidRPr="00740788">
        <w:rPr>
          <w:rFonts w:ascii="Arial" w:hAnsi="Arial" w:cs="Arial"/>
          <w:sz w:val="20"/>
          <w:szCs w:val="20"/>
        </w:rPr>
        <w:t xml:space="preserve"> revenue loss</w:t>
      </w:r>
      <w:r w:rsidR="00FA5B69" w:rsidRPr="00740788">
        <w:rPr>
          <w:rFonts w:ascii="Arial" w:hAnsi="Arial" w:cs="Arial"/>
          <w:sz w:val="20"/>
          <w:szCs w:val="20"/>
        </w:rPr>
        <w:t xml:space="preserve"> and</w:t>
      </w:r>
      <w:r w:rsidR="000D0EEF" w:rsidRPr="00740788">
        <w:rPr>
          <w:rFonts w:ascii="Arial" w:hAnsi="Arial" w:cs="Arial"/>
          <w:sz w:val="20"/>
          <w:szCs w:val="20"/>
        </w:rPr>
        <w:t xml:space="preserve"> that the improved benefits to improved safety outcomes outweigh the minor revenue loss. </w:t>
      </w:r>
      <w:r w:rsidR="00FA5B69" w:rsidRPr="00740788">
        <w:rPr>
          <w:rFonts w:ascii="Arial" w:hAnsi="Arial" w:cs="Arial"/>
          <w:sz w:val="20"/>
          <w:szCs w:val="20"/>
        </w:rPr>
        <w:t>We note</w:t>
      </w:r>
      <w:r w:rsidRPr="00740788">
        <w:rPr>
          <w:rFonts w:ascii="Arial" w:hAnsi="Arial" w:cs="Arial"/>
          <w:sz w:val="20"/>
          <w:szCs w:val="20"/>
        </w:rPr>
        <w:t xml:space="preserve"> there is significant over recovery happening</w:t>
      </w:r>
      <w:r w:rsidR="00DE3554">
        <w:rPr>
          <w:rFonts w:ascii="Arial" w:hAnsi="Arial" w:cs="Arial"/>
          <w:sz w:val="20"/>
          <w:szCs w:val="20"/>
        </w:rPr>
        <w:t>.</w:t>
      </w:r>
      <w:r w:rsidRPr="00740788">
        <w:rPr>
          <w:rFonts w:ascii="Arial" w:hAnsi="Arial" w:cs="Arial"/>
          <w:sz w:val="20"/>
          <w:szCs w:val="20"/>
        </w:rPr>
        <w:t xml:space="preserve"> </w:t>
      </w:r>
      <w:r w:rsidR="00DE3554">
        <w:rPr>
          <w:rFonts w:ascii="Arial" w:hAnsi="Arial" w:cs="Arial"/>
          <w:sz w:val="20"/>
          <w:szCs w:val="20"/>
        </w:rPr>
        <w:t>C</w:t>
      </w:r>
      <w:r w:rsidRPr="00740788">
        <w:rPr>
          <w:rFonts w:ascii="Arial" w:hAnsi="Arial" w:cs="Arial"/>
          <w:sz w:val="20"/>
          <w:szCs w:val="20"/>
        </w:rPr>
        <w:t>harge</w:t>
      </w:r>
      <w:r w:rsidR="00E95BFF" w:rsidRPr="00740788">
        <w:rPr>
          <w:rFonts w:ascii="Arial" w:hAnsi="Arial" w:cs="Arial"/>
          <w:sz w:val="20"/>
          <w:szCs w:val="20"/>
        </w:rPr>
        <w:t>s</w:t>
      </w:r>
      <w:r w:rsidRPr="00740788">
        <w:rPr>
          <w:rFonts w:ascii="Arial" w:hAnsi="Arial" w:cs="Arial"/>
          <w:sz w:val="20"/>
          <w:szCs w:val="20"/>
        </w:rPr>
        <w:t xml:space="preserve"> should be reduced and no further changes made. In the long term industry </w:t>
      </w:r>
      <w:r w:rsidR="00DB56E6">
        <w:rPr>
          <w:rFonts w:ascii="Arial" w:hAnsi="Arial" w:cs="Arial"/>
          <w:sz w:val="20"/>
          <w:szCs w:val="20"/>
        </w:rPr>
        <w:t>seeks</w:t>
      </w:r>
      <w:r w:rsidRPr="00740788">
        <w:rPr>
          <w:rFonts w:ascii="Arial" w:hAnsi="Arial" w:cs="Arial"/>
          <w:sz w:val="20"/>
          <w:szCs w:val="20"/>
        </w:rPr>
        <w:t xml:space="preserve"> a move towards more fuel based variable charges and a move away from fixed registration.</w:t>
      </w:r>
    </w:p>
    <w:p w:rsidR="00FA55FA" w:rsidRPr="00740788" w:rsidRDefault="00FA55FA" w:rsidP="00300037">
      <w:pPr>
        <w:spacing w:line="269" w:lineRule="auto"/>
        <w:jc w:val="both"/>
        <w:rPr>
          <w:rFonts w:ascii="Arial" w:hAnsi="Arial" w:cs="Arial"/>
          <w:sz w:val="20"/>
          <w:szCs w:val="20"/>
        </w:rPr>
      </w:pPr>
    </w:p>
    <w:p w:rsidR="000D0EEF" w:rsidRPr="00740788" w:rsidRDefault="0013140F" w:rsidP="00300037">
      <w:pPr>
        <w:spacing w:line="269" w:lineRule="auto"/>
        <w:jc w:val="both"/>
        <w:rPr>
          <w:rFonts w:ascii="Arial" w:hAnsi="Arial" w:cs="Arial"/>
          <w:sz w:val="20"/>
          <w:szCs w:val="20"/>
        </w:rPr>
      </w:pPr>
      <w:r w:rsidRPr="00740788">
        <w:rPr>
          <w:rFonts w:ascii="Arial" w:hAnsi="Arial" w:cs="Arial"/>
          <w:sz w:val="20"/>
          <w:szCs w:val="20"/>
        </w:rPr>
        <w:t xml:space="preserve"> </w:t>
      </w:r>
      <w:r w:rsidR="000D0EEF" w:rsidRPr="00740788">
        <w:rPr>
          <w:rFonts w:ascii="Arial" w:hAnsi="Arial" w:cs="Arial"/>
          <w:sz w:val="20"/>
          <w:szCs w:val="20"/>
        </w:rPr>
        <w:t xml:space="preserve">Recent enquires to the Office of Best Practice Regulation </w:t>
      </w:r>
      <w:r w:rsidR="00443877">
        <w:rPr>
          <w:rFonts w:ascii="Arial" w:hAnsi="Arial" w:cs="Arial"/>
          <w:sz w:val="20"/>
          <w:szCs w:val="20"/>
        </w:rPr>
        <w:t xml:space="preserve">(OBPR) </w:t>
      </w:r>
      <w:r w:rsidR="000D0EEF" w:rsidRPr="00740788">
        <w:rPr>
          <w:rFonts w:ascii="Arial" w:hAnsi="Arial" w:cs="Arial"/>
          <w:sz w:val="20"/>
          <w:szCs w:val="20"/>
        </w:rPr>
        <w:t>cannot confirm the published claims that RIS exemption</w:t>
      </w:r>
      <w:r w:rsidR="00066D55">
        <w:rPr>
          <w:rFonts w:ascii="Arial" w:hAnsi="Arial" w:cs="Arial"/>
          <w:sz w:val="20"/>
          <w:szCs w:val="20"/>
        </w:rPr>
        <w:t>s</w:t>
      </w:r>
      <w:r w:rsidR="000D0EEF" w:rsidRPr="00740788">
        <w:rPr>
          <w:rFonts w:ascii="Arial" w:hAnsi="Arial" w:cs="Arial"/>
          <w:sz w:val="20"/>
          <w:szCs w:val="20"/>
        </w:rPr>
        <w:t xml:space="preserve"> have been granted for some options</w:t>
      </w:r>
      <w:r w:rsidR="00066D55">
        <w:rPr>
          <w:rFonts w:ascii="Arial" w:hAnsi="Arial" w:cs="Arial"/>
          <w:sz w:val="20"/>
          <w:szCs w:val="20"/>
        </w:rPr>
        <w:t>,</w:t>
      </w:r>
      <w:r w:rsidR="000D0EEF" w:rsidRPr="00740788">
        <w:rPr>
          <w:rFonts w:ascii="Arial" w:hAnsi="Arial" w:cs="Arial"/>
          <w:sz w:val="20"/>
          <w:szCs w:val="20"/>
        </w:rPr>
        <w:t xml:space="preserve"> but not for others within the discussion paper. </w:t>
      </w:r>
      <w:r w:rsidR="00066D55">
        <w:rPr>
          <w:rFonts w:ascii="Arial" w:hAnsi="Arial" w:cs="Arial"/>
          <w:sz w:val="20"/>
          <w:szCs w:val="20"/>
        </w:rPr>
        <w:t>Further information may be available following an FOI request.</w:t>
      </w:r>
    </w:p>
    <w:p w:rsidR="00617771" w:rsidRPr="00740788" w:rsidRDefault="00617771" w:rsidP="00300037">
      <w:pPr>
        <w:spacing w:line="269" w:lineRule="auto"/>
        <w:jc w:val="both"/>
        <w:rPr>
          <w:rFonts w:ascii="Arial" w:hAnsi="Arial" w:cs="Arial"/>
          <w:sz w:val="20"/>
          <w:szCs w:val="20"/>
        </w:rPr>
      </w:pPr>
    </w:p>
    <w:p w:rsidR="00617771" w:rsidRPr="00F50321" w:rsidRDefault="00617771" w:rsidP="00300037">
      <w:pPr>
        <w:pStyle w:val="Heading1"/>
        <w:numPr>
          <w:ilvl w:val="0"/>
          <w:numId w:val="15"/>
        </w:numPr>
        <w:spacing w:line="269" w:lineRule="auto"/>
        <w:jc w:val="both"/>
      </w:pPr>
      <w:bookmarkStart w:id="6" w:name="_Toc315176345"/>
      <w:bookmarkStart w:id="7" w:name="_Toc316396807"/>
      <w:r w:rsidRPr="00F50321">
        <w:lastRenderedPageBreak/>
        <w:t>Option 1 – updating ESA values in the cost allocation models</w:t>
      </w:r>
      <w:bookmarkEnd w:id="6"/>
      <w:bookmarkEnd w:id="7"/>
    </w:p>
    <w:p w:rsidR="00617771" w:rsidRPr="00740788" w:rsidRDefault="00617771" w:rsidP="00300037">
      <w:pPr>
        <w:spacing w:line="269" w:lineRule="auto"/>
        <w:jc w:val="both"/>
        <w:rPr>
          <w:rFonts w:ascii="Arial" w:hAnsi="Arial" w:cs="Arial"/>
          <w:sz w:val="20"/>
          <w:szCs w:val="20"/>
        </w:rPr>
      </w:pPr>
    </w:p>
    <w:p w:rsidR="00617771" w:rsidRPr="00740788" w:rsidRDefault="00105059" w:rsidP="00300037">
      <w:pPr>
        <w:spacing w:line="269" w:lineRule="auto"/>
        <w:jc w:val="both"/>
        <w:rPr>
          <w:rFonts w:ascii="Arial" w:hAnsi="Arial" w:cs="Arial"/>
          <w:sz w:val="20"/>
          <w:szCs w:val="20"/>
        </w:rPr>
      </w:pPr>
      <w:r>
        <w:rPr>
          <w:rFonts w:ascii="Arial" w:hAnsi="Arial" w:cs="Arial"/>
          <w:sz w:val="20"/>
          <w:szCs w:val="20"/>
        </w:rPr>
        <w:t xml:space="preserve">While there is admission that </w:t>
      </w:r>
      <w:r w:rsidR="00617771" w:rsidRPr="00740788">
        <w:rPr>
          <w:rFonts w:ascii="Arial" w:hAnsi="Arial" w:cs="Arial"/>
          <w:sz w:val="20"/>
          <w:szCs w:val="20"/>
        </w:rPr>
        <w:t xml:space="preserve">the 2007 ESA work </w:t>
      </w:r>
      <w:r>
        <w:rPr>
          <w:rFonts w:ascii="Arial" w:hAnsi="Arial" w:cs="Arial"/>
          <w:sz w:val="20"/>
          <w:szCs w:val="20"/>
        </w:rPr>
        <w:t>which</w:t>
      </w:r>
      <w:r w:rsidR="00617771" w:rsidRPr="00740788">
        <w:rPr>
          <w:rFonts w:ascii="Arial" w:hAnsi="Arial" w:cs="Arial"/>
          <w:sz w:val="20"/>
          <w:szCs w:val="20"/>
        </w:rPr>
        <w:t xml:space="preserve"> was used to calculate the attributable costs for heavy vehicles were not as robust as they could have been, the work presented to the ATA still has significant fundamental flaws that </w:t>
      </w:r>
      <w:r w:rsidR="000D0EEF" w:rsidRPr="00740788">
        <w:rPr>
          <w:rFonts w:ascii="Arial" w:hAnsi="Arial" w:cs="Arial"/>
          <w:sz w:val="20"/>
          <w:szCs w:val="20"/>
        </w:rPr>
        <w:t>cause</w:t>
      </w:r>
      <w:r w:rsidR="00FA55FA" w:rsidRPr="00740788">
        <w:rPr>
          <w:rFonts w:ascii="Arial" w:hAnsi="Arial" w:cs="Arial"/>
          <w:sz w:val="20"/>
          <w:szCs w:val="20"/>
        </w:rPr>
        <w:t xml:space="preserve"> the ATA to not endorsing the use of the findings</w:t>
      </w:r>
      <w:r w:rsidR="00617771" w:rsidRPr="00740788">
        <w:rPr>
          <w:rFonts w:ascii="Arial" w:hAnsi="Arial" w:cs="Arial"/>
          <w:sz w:val="20"/>
          <w:szCs w:val="20"/>
        </w:rPr>
        <w:t>.</w:t>
      </w:r>
    </w:p>
    <w:p w:rsidR="00617771" w:rsidRPr="00740788" w:rsidRDefault="00617771" w:rsidP="00300037">
      <w:pPr>
        <w:spacing w:line="269" w:lineRule="auto"/>
        <w:jc w:val="both"/>
        <w:rPr>
          <w:rFonts w:ascii="Arial" w:hAnsi="Arial" w:cs="Arial"/>
          <w:sz w:val="20"/>
          <w:szCs w:val="20"/>
        </w:rPr>
      </w:pPr>
    </w:p>
    <w:p w:rsidR="00617771"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The 2007 work was not supported because of the use of average gross mass</w:t>
      </w:r>
      <w:r w:rsidR="002F29F2" w:rsidRPr="00740788">
        <w:rPr>
          <w:rFonts w:ascii="Arial" w:hAnsi="Arial" w:cs="Arial"/>
          <w:sz w:val="20"/>
          <w:szCs w:val="20"/>
        </w:rPr>
        <w:t xml:space="preserve"> and a flawed predicting formula</w:t>
      </w:r>
      <w:r w:rsidRPr="00740788">
        <w:rPr>
          <w:rFonts w:ascii="Arial" w:hAnsi="Arial" w:cs="Arial"/>
          <w:sz w:val="20"/>
          <w:szCs w:val="20"/>
        </w:rPr>
        <w:t xml:space="preserve">, which generally overstated ESA effects. The findings overestimated the ESA effects of B-doubles and underestimated </w:t>
      </w:r>
      <w:r w:rsidR="00ED3977" w:rsidRPr="00740788">
        <w:rPr>
          <w:rFonts w:ascii="Arial" w:hAnsi="Arial" w:cs="Arial"/>
          <w:sz w:val="20"/>
          <w:szCs w:val="20"/>
        </w:rPr>
        <w:t>ESA effects</w:t>
      </w:r>
      <w:r w:rsidR="00FA55FA" w:rsidRPr="00740788">
        <w:rPr>
          <w:rFonts w:ascii="Arial" w:hAnsi="Arial" w:cs="Arial"/>
          <w:sz w:val="20"/>
          <w:szCs w:val="20"/>
        </w:rPr>
        <w:t xml:space="preserve"> </w:t>
      </w:r>
      <w:r w:rsidRPr="00740788">
        <w:rPr>
          <w:rFonts w:ascii="Arial" w:hAnsi="Arial" w:cs="Arial"/>
          <w:sz w:val="20"/>
          <w:szCs w:val="20"/>
        </w:rPr>
        <w:t xml:space="preserve">for rigid trucks. However, </w:t>
      </w:r>
      <w:r w:rsidR="00105059">
        <w:rPr>
          <w:rFonts w:ascii="Arial" w:hAnsi="Arial" w:cs="Arial"/>
          <w:sz w:val="20"/>
          <w:szCs w:val="20"/>
        </w:rPr>
        <w:t>it was</w:t>
      </w:r>
      <w:r w:rsidRPr="00740788">
        <w:rPr>
          <w:rFonts w:ascii="Arial" w:hAnsi="Arial" w:cs="Arial"/>
          <w:sz w:val="20"/>
          <w:szCs w:val="20"/>
        </w:rPr>
        <w:t xml:space="preserve"> stated that it was the best</w:t>
      </w:r>
      <w:r w:rsidR="00FA55FA" w:rsidRPr="00740788">
        <w:rPr>
          <w:rFonts w:ascii="Arial" w:hAnsi="Arial" w:cs="Arial"/>
          <w:sz w:val="20"/>
          <w:szCs w:val="20"/>
        </w:rPr>
        <w:t xml:space="preserve"> it</w:t>
      </w:r>
      <w:r w:rsidRPr="00740788">
        <w:rPr>
          <w:rFonts w:ascii="Arial" w:hAnsi="Arial" w:cs="Arial"/>
          <w:sz w:val="20"/>
          <w:szCs w:val="20"/>
        </w:rPr>
        <w:t xml:space="preserve"> could do. The 2007 work used weight in motion (WIM) data from three states measuring average gross mass. It included overloaded vehicles and other unclean data in its analysis. There is a significant mismatch in NTC vehicle categories and in the WIM categories leading to further distortions.</w:t>
      </w:r>
    </w:p>
    <w:p w:rsidR="00617771" w:rsidRPr="00740788" w:rsidRDefault="00617771" w:rsidP="00300037">
      <w:pPr>
        <w:spacing w:line="269" w:lineRule="auto"/>
        <w:jc w:val="both"/>
        <w:rPr>
          <w:rFonts w:ascii="Arial" w:hAnsi="Arial" w:cs="Arial"/>
          <w:sz w:val="20"/>
          <w:szCs w:val="20"/>
        </w:rPr>
      </w:pPr>
    </w:p>
    <w:p w:rsidR="00617771"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 xml:space="preserve">The 2009 ARRB work uses a different methodology </w:t>
      </w:r>
      <w:r w:rsidR="00DE3554">
        <w:rPr>
          <w:rFonts w:ascii="Arial" w:hAnsi="Arial" w:cs="Arial"/>
          <w:sz w:val="20"/>
          <w:szCs w:val="20"/>
        </w:rPr>
        <w:t xml:space="preserve">with </w:t>
      </w:r>
      <w:r w:rsidRPr="00740788">
        <w:rPr>
          <w:rFonts w:ascii="Arial" w:hAnsi="Arial" w:cs="Arial"/>
          <w:sz w:val="20"/>
          <w:szCs w:val="20"/>
        </w:rPr>
        <w:t xml:space="preserve">a distributional approach for calculating predicative ESA formulas. The ATA secretariat has seen </w:t>
      </w:r>
      <w:r w:rsidR="0013140F" w:rsidRPr="00740788">
        <w:rPr>
          <w:rFonts w:ascii="Arial" w:hAnsi="Arial" w:cs="Arial"/>
          <w:sz w:val="20"/>
          <w:szCs w:val="20"/>
        </w:rPr>
        <w:t>a draft of the</w:t>
      </w:r>
      <w:r w:rsidRPr="00740788">
        <w:rPr>
          <w:rFonts w:ascii="Arial" w:hAnsi="Arial" w:cs="Arial"/>
          <w:sz w:val="20"/>
          <w:szCs w:val="20"/>
        </w:rPr>
        <w:t xml:space="preserve"> report and pointed out errors </w:t>
      </w:r>
      <w:r w:rsidR="00DE3554">
        <w:rPr>
          <w:rFonts w:ascii="Arial" w:hAnsi="Arial" w:cs="Arial"/>
          <w:sz w:val="20"/>
          <w:szCs w:val="20"/>
        </w:rPr>
        <w:t>in the methodology and analysis. W</w:t>
      </w:r>
      <w:r w:rsidRPr="00740788">
        <w:rPr>
          <w:rFonts w:ascii="Arial" w:hAnsi="Arial" w:cs="Arial"/>
          <w:sz w:val="20"/>
          <w:szCs w:val="20"/>
        </w:rPr>
        <w:t xml:space="preserve">hile we were told that the changes would be reflected in the discussion paper, however the adjusted </w:t>
      </w:r>
      <w:r w:rsidR="0013140F" w:rsidRPr="00740788">
        <w:rPr>
          <w:rFonts w:ascii="Arial" w:hAnsi="Arial" w:cs="Arial"/>
          <w:sz w:val="20"/>
          <w:szCs w:val="20"/>
        </w:rPr>
        <w:t xml:space="preserve">final </w:t>
      </w:r>
      <w:r w:rsidRPr="00740788">
        <w:rPr>
          <w:rFonts w:ascii="Arial" w:hAnsi="Arial" w:cs="Arial"/>
          <w:sz w:val="20"/>
          <w:szCs w:val="20"/>
        </w:rPr>
        <w:t>ARRB paper has not been released for review.</w:t>
      </w:r>
    </w:p>
    <w:p w:rsidR="00617771" w:rsidRPr="00740788" w:rsidRDefault="00617771" w:rsidP="00300037">
      <w:pPr>
        <w:spacing w:line="269" w:lineRule="auto"/>
        <w:jc w:val="both"/>
        <w:rPr>
          <w:rFonts w:ascii="Arial" w:hAnsi="Arial" w:cs="Arial"/>
          <w:sz w:val="20"/>
          <w:szCs w:val="20"/>
        </w:rPr>
      </w:pPr>
    </w:p>
    <w:p w:rsidR="00617771" w:rsidRPr="00740788" w:rsidRDefault="0013140F" w:rsidP="00300037">
      <w:pPr>
        <w:spacing w:line="269" w:lineRule="auto"/>
        <w:jc w:val="both"/>
        <w:rPr>
          <w:rFonts w:ascii="Arial" w:hAnsi="Arial" w:cs="Arial"/>
          <w:sz w:val="20"/>
          <w:szCs w:val="20"/>
        </w:rPr>
      </w:pPr>
      <w:r w:rsidRPr="00740788">
        <w:rPr>
          <w:rFonts w:ascii="Arial" w:hAnsi="Arial" w:cs="Arial"/>
          <w:sz w:val="20"/>
          <w:szCs w:val="20"/>
        </w:rPr>
        <w:t>The problems Identified included:</w:t>
      </w:r>
    </w:p>
    <w:p w:rsidR="00617771" w:rsidRPr="00740788" w:rsidRDefault="00617771" w:rsidP="00300037">
      <w:pPr>
        <w:spacing w:line="269" w:lineRule="auto"/>
        <w:jc w:val="both"/>
        <w:rPr>
          <w:rFonts w:ascii="Arial" w:hAnsi="Arial" w:cs="Arial"/>
          <w:sz w:val="20"/>
          <w:szCs w:val="20"/>
        </w:rPr>
      </w:pPr>
    </w:p>
    <w:p w:rsidR="00617771" w:rsidRPr="00740788" w:rsidRDefault="00617771" w:rsidP="00300037">
      <w:pPr>
        <w:pStyle w:val="ListParagraph"/>
        <w:numPr>
          <w:ilvl w:val="0"/>
          <w:numId w:val="19"/>
        </w:numPr>
        <w:spacing w:after="0" w:line="269" w:lineRule="auto"/>
        <w:jc w:val="both"/>
        <w:rPr>
          <w:rFonts w:ascii="Arial" w:hAnsi="Arial" w:cs="Arial"/>
          <w:sz w:val="20"/>
          <w:szCs w:val="20"/>
        </w:rPr>
      </w:pPr>
      <w:r w:rsidRPr="00740788">
        <w:rPr>
          <w:rFonts w:ascii="Arial" w:hAnsi="Arial" w:cs="Arial"/>
          <w:sz w:val="20"/>
          <w:szCs w:val="20"/>
        </w:rPr>
        <w:t xml:space="preserve">The analysis contains data points that are clearly in error and dirty </w:t>
      </w:r>
      <w:r w:rsidR="00080FA5" w:rsidRPr="00740788">
        <w:rPr>
          <w:rFonts w:ascii="Arial" w:hAnsi="Arial" w:cs="Arial"/>
          <w:sz w:val="20"/>
          <w:szCs w:val="20"/>
        </w:rPr>
        <w:t>data, which</w:t>
      </w:r>
      <w:r w:rsidR="00DE3554">
        <w:rPr>
          <w:rFonts w:ascii="Arial" w:hAnsi="Arial" w:cs="Arial"/>
          <w:sz w:val="20"/>
          <w:szCs w:val="20"/>
        </w:rPr>
        <w:t xml:space="preserve"> ARRB admitted h</w:t>
      </w:r>
      <w:r w:rsidRPr="00740788">
        <w:rPr>
          <w:rFonts w:ascii="Arial" w:hAnsi="Arial" w:cs="Arial"/>
          <w:sz w:val="20"/>
          <w:szCs w:val="20"/>
        </w:rPr>
        <w:t>as been included simply to bulk up the findings.</w:t>
      </w:r>
    </w:p>
    <w:p w:rsidR="00617771" w:rsidRPr="00740788" w:rsidRDefault="00617771" w:rsidP="00300037">
      <w:pPr>
        <w:pStyle w:val="ListParagraph"/>
        <w:numPr>
          <w:ilvl w:val="0"/>
          <w:numId w:val="19"/>
        </w:numPr>
        <w:spacing w:after="0" w:line="269" w:lineRule="auto"/>
        <w:jc w:val="both"/>
        <w:rPr>
          <w:rFonts w:ascii="Arial" w:hAnsi="Arial" w:cs="Arial"/>
          <w:sz w:val="20"/>
          <w:szCs w:val="20"/>
        </w:rPr>
      </w:pPr>
      <w:r w:rsidRPr="00740788">
        <w:rPr>
          <w:rFonts w:ascii="Arial" w:hAnsi="Arial" w:cs="Arial"/>
          <w:sz w:val="20"/>
          <w:szCs w:val="20"/>
        </w:rPr>
        <w:t>WIM machine error has not been a</w:t>
      </w:r>
      <w:r w:rsidR="00105059">
        <w:rPr>
          <w:rFonts w:ascii="Arial" w:hAnsi="Arial" w:cs="Arial"/>
          <w:sz w:val="20"/>
          <w:szCs w:val="20"/>
        </w:rPr>
        <w:t>ppropriately accounted for.  The ATA suggest examining</w:t>
      </w:r>
      <w:r w:rsidRPr="00740788">
        <w:rPr>
          <w:rFonts w:ascii="Arial" w:hAnsi="Arial" w:cs="Arial"/>
          <w:sz w:val="20"/>
          <w:szCs w:val="20"/>
        </w:rPr>
        <w:t xml:space="preserve"> the concept behind the measuring adjustment approach in the NTC mass measuring guidelines.</w:t>
      </w:r>
    </w:p>
    <w:p w:rsidR="00617771" w:rsidRPr="00740788" w:rsidRDefault="00617771" w:rsidP="00300037">
      <w:pPr>
        <w:pStyle w:val="ListParagraph"/>
        <w:numPr>
          <w:ilvl w:val="0"/>
          <w:numId w:val="19"/>
        </w:numPr>
        <w:spacing w:after="0" w:line="269" w:lineRule="auto"/>
        <w:jc w:val="both"/>
        <w:rPr>
          <w:rFonts w:ascii="Arial" w:hAnsi="Arial" w:cs="Arial"/>
          <w:sz w:val="20"/>
          <w:szCs w:val="20"/>
        </w:rPr>
      </w:pPr>
      <w:r w:rsidRPr="00740788">
        <w:rPr>
          <w:rFonts w:ascii="Arial" w:hAnsi="Arial" w:cs="Arial"/>
          <w:sz w:val="20"/>
          <w:szCs w:val="20"/>
        </w:rPr>
        <w:t>The masses included in the report were not physically feasible and overestimated load mass considerably. 100% overloading on gross was included (meaning a payload overload of 3 or</w:t>
      </w:r>
      <w:r w:rsidR="0013140F" w:rsidRPr="00740788">
        <w:rPr>
          <w:rFonts w:ascii="Arial" w:hAnsi="Arial" w:cs="Arial"/>
          <w:sz w:val="20"/>
          <w:szCs w:val="20"/>
        </w:rPr>
        <w:t xml:space="preserve"> 4 times). </w:t>
      </w:r>
      <w:r w:rsidR="00105059">
        <w:rPr>
          <w:rFonts w:ascii="Arial" w:hAnsi="Arial" w:cs="Arial"/>
          <w:sz w:val="20"/>
          <w:szCs w:val="20"/>
        </w:rPr>
        <w:t>T</w:t>
      </w:r>
      <w:r w:rsidR="0013140F" w:rsidRPr="00740788">
        <w:rPr>
          <w:rFonts w:ascii="Arial" w:hAnsi="Arial" w:cs="Arial"/>
          <w:sz w:val="20"/>
          <w:szCs w:val="20"/>
        </w:rPr>
        <w:t xml:space="preserve">he latest </w:t>
      </w:r>
      <w:r w:rsidR="003B79FE" w:rsidRPr="00740788">
        <w:rPr>
          <w:rFonts w:ascii="Arial" w:hAnsi="Arial" w:cs="Arial"/>
          <w:sz w:val="20"/>
          <w:szCs w:val="20"/>
        </w:rPr>
        <w:t>version</w:t>
      </w:r>
      <w:r w:rsidRPr="00740788">
        <w:rPr>
          <w:rFonts w:ascii="Arial" w:hAnsi="Arial" w:cs="Arial"/>
          <w:sz w:val="20"/>
          <w:szCs w:val="20"/>
        </w:rPr>
        <w:t xml:space="preserve"> lower</w:t>
      </w:r>
      <w:r w:rsidR="0013140F" w:rsidRPr="00740788">
        <w:rPr>
          <w:rFonts w:ascii="Arial" w:hAnsi="Arial" w:cs="Arial"/>
          <w:sz w:val="20"/>
          <w:szCs w:val="20"/>
        </w:rPr>
        <w:t>s</w:t>
      </w:r>
      <w:r w:rsidRPr="00740788">
        <w:rPr>
          <w:rFonts w:ascii="Arial" w:hAnsi="Arial" w:cs="Arial"/>
          <w:sz w:val="20"/>
          <w:szCs w:val="20"/>
        </w:rPr>
        <w:t xml:space="preserve"> the overload to 10% of gross mass, we still object to this as it continues to overstate the ESA impact of heavy vehicles.</w:t>
      </w:r>
    </w:p>
    <w:p w:rsidR="00105059" w:rsidRDefault="00617771" w:rsidP="00300037">
      <w:pPr>
        <w:pStyle w:val="ListParagraph"/>
        <w:numPr>
          <w:ilvl w:val="0"/>
          <w:numId w:val="19"/>
        </w:numPr>
        <w:spacing w:after="0" w:line="269" w:lineRule="auto"/>
        <w:jc w:val="both"/>
        <w:rPr>
          <w:rFonts w:ascii="Arial" w:hAnsi="Arial" w:cs="Arial"/>
          <w:sz w:val="20"/>
          <w:szCs w:val="20"/>
        </w:rPr>
      </w:pPr>
      <w:r w:rsidRPr="00105059">
        <w:rPr>
          <w:rFonts w:ascii="Arial" w:hAnsi="Arial" w:cs="Arial"/>
          <w:sz w:val="20"/>
          <w:szCs w:val="20"/>
        </w:rPr>
        <w:t xml:space="preserve">The report uses Higher Mass Limits (HML) to obtain </w:t>
      </w:r>
      <w:r w:rsidR="00DE3554" w:rsidRPr="00105059">
        <w:rPr>
          <w:rFonts w:ascii="Arial" w:hAnsi="Arial" w:cs="Arial"/>
          <w:sz w:val="20"/>
          <w:szCs w:val="20"/>
        </w:rPr>
        <w:t>inputs for the ESA calculations. T</w:t>
      </w:r>
      <w:r w:rsidRPr="00105059">
        <w:rPr>
          <w:rFonts w:ascii="Arial" w:hAnsi="Arial" w:cs="Arial"/>
          <w:sz w:val="20"/>
          <w:szCs w:val="20"/>
        </w:rPr>
        <w:t>his is wrong. Heavy vehi</w:t>
      </w:r>
      <w:r w:rsidR="007E5F0D" w:rsidRPr="00105059">
        <w:rPr>
          <w:rFonts w:ascii="Arial" w:hAnsi="Arial" w:cs="Arial"/>
          <w:sz w:val="20"/>
          <w:szCs w:val="20"/>
        </w:rPr>
        <w:t>cles that can travel at HML</w:t>
      </w:r>
      <w:r w:rsidRPr="00105059">
        <w:rPr>
          <w:rFonts w:ascii="Arial" w:hAnsi="Arial" w:cs="Arial"/>
          <w:sz w:val="20"/>
          <w:szCs w:val="20"/>
        </w:rPr>
        <w:t xml:space="preserve"> use road friendly suspension (RFS), this means that these vehicles cause no additional road wear than vehicles travelling at g</w:t>
      </w:r>
      <w:r w:rsidR="003B79FE" w:rsidRPr="00105059">
        <w:rPr>
          <w:rFonts w:ascii="Arial" w:hAnsi="Arial" w:cs="Arial"/>
          <w:sz w:val="20"/>
          <w:szCs w:val="20"/>
        </w:rPr>
        <w:t xml:space="preserve">eneral mass limits on non-RFS. </w:t>
      </w:r>
      <w:r w:rsidRPr="00105059">
        <w:rPr>
          <w:rFonts w:ascii="Arial" w:hAnsi="Arial" w:cs="Arial"/>
          <w:sz w:val="20"/>
          <w:szCs w:val="20"/>
        </w:rPr>
        <w:t>The high proportion of RFS vehicles in the industry at GML or lower masses should be properly accounted for in the ESA a</w:t>
      </w:r>
      <w:r w:rsidR="007E5F0D" w:rsidRPr="00105059">
        <w:rPr>
          <w:rFonts w:ascii="Arial" w:hAnsi="Arial" w:cs="Arial"/>
          <w:sz w:val="20"/>
          <w:szCs w:val="20"/>
        </w:rPr>
        <w:t>ssessment, as these vehicles have</w:t>
      </w:r>
      <w:r w:rsidRPr="00105059">
        <w:rPr>
          <w:rFonts w:ascii="Arial" w:hAnsi="Arial" w:cs="Arial"/>
          <w:sz w:val="20"/>
          <w:szCs w:val="20"/>
        </w:rPr>
        <w:t xml:space="preserve"> less </w:t>
      </w:r>
      <w:proofErr w:type="gramStart"/>
      <w:r w:rsidRPr="00105059">
        <w:rPr>
          <w:rFonts w:ascii="Arial" w:hAnsi="Arial" w:cs="Arial"/>
          <w:sz w:val="20"/>
          <w:szCs w:val="20"/>
        </w:rPr>
        <w:t>ESA</w:t>
      </w:r>
      <w:r w:rsidR="007E5F0D" w:rsidRPr="00105059">
        <w:rPr>
          <w:rFonts w:ascii="Arial" w:hAnsi="Arial" w:cs="Arial"/>
          <w:sz w:val="20"/>
          <w:szCs w:val="20"/>
        </w:rPr>
        <w:t>s</w:t>
      </w:r>
      <w:proofErr w:type="gramEnd"/>
      <w:r w:rsidRPr="00105059">
        <w:rPr>
          <w:rFonts w:ascii="Arial" w:hAnsi="Arial" w:cs="Arial"/>
          <w:sz w:val="20"/>
          <w:szCs w:val="20"/>
        </w:rPr>
        <w:t xml:space="preserve"> than the analysis takes into account for identical configurations without RFS. </w:t>
      </w:r>
    </w:p>
    <w:p w:rsidR="00617771" w:rsidRPr="00105059" w:rsidRDefault="00617771" w:rsidP="00300037">
      <w:pPr>
        <w:pStyle w:val="ListParagraph"/>
        <w:numPr>
          <w:ilvl w:val="0"/>
          <w:numId w:val="19"/>
        </w:numPr>
        <w:spacing w:after="0" w:line="269" w:lineRule="auto"/>
        <w:jc w:val="both"/>
        <w:rPr>
          <w:rFonts w:ascii="Arial" w:hAnsi="Arial" w:cs="Arial"/>
          <w:sz w:val="20"/>
          <w:szCs w:val="20"/>
        </w:rPr>
      </w:pPr>
      <w:r w:rsidRPr="00105059">
        <w:rPr>
          <w:rFonts w:ascii="Arial" w:hAnsi="Arial" w:cs="Arial"/>
          <w:sz w:val="20"/>
          <w:szCs w:val="20"/>
        </w:rPr>
        <w:t xml:space="preserve">There </w:t>
      </w:r>
      <w:r w:rsidR="007E5F0D" w:rsidRPr="00105059">
        <w:rPr>
          <w:rFonts w:ascii="Arial" w:hAnsi="Arial" w:cs="Arial"/>
          <w:sz w:val="20"/>
          <w:szCs w:val="20"/>
        </w:rPr>
        <w:t xml:space="preserve">is still a </w:t>
      </w:r>
      <w:r w:rsidRPr="00105059">
        <w:rPr>
          <w:rFonts w:ascii="Arial" w:hAnsi="Arial" w:cs="Arial"/>
          <w:sz w:val="20"/>
          <w:szCs w:val="20"/>
        </w:rPr>
        <w:t xml:space="preserve">significant mismatched in trying to match WIM coding and NTC charge classes. There were several critical cases such as a 7axle truck and dog </w:t>
      </w:r>
      <w:r w:rsidR="00F83170" w:rsidRPr="00105059">
        <w:rPr>
          <w:rFonts w:ascii="Arial" w:hAnsi="Arial" w:cs="Arial"/>
          <w:sz w:val="20"/>
          <w:szCs w:val="20"/>
        </w:rPr>
        <w:t>vs.</w:t>
      </w:r>
      <w:r w:rsidRPr="00105059">
        <w:rPr>
          <w:rFonts w:ascii="Arial" w:hAnsi="Arial" w:cs="Arial"/>
          <w:sz w:val="20"/>
          <w:szCs w:val="20"/>
        </w:rPr>
        <w:t xml:space="preserve"> 7 axle B-doubles, the results showed no difference in WIM data.</w:t>
      </w:r>
    </w:p>
    <w:p w:rsidR="00617771" w:rsidRDefault="00617771" w:rsidP="00300037">
      <w:pPr>
        <w:pStyle w:val="ListParagraph"/>
        <w:numPr>
          <w:ilvl w:val="0"/>
          <w:numId w:val="19"/>
        </w:numPr>
        <w:spacing w:after="0" w:line="269" w:lineRule="auto"/>
        <w:jc w:val="both"/>
        <w:rPr>
          <w:rFonts w:ascii="Arial" w:hAnsi="Arial" w:cs="Arial"/>
          <w:sz w:val="20"/>
          <w:szCs w:val="20"/>
        </w:rPr>
      </w:pPr>
      <w:r w:rsidRPr="00740788">
        <w:rPr>
          <w:rFonts w:ascii="Arial" w:hAnsi="Arial" w:cs="Arial"/>
          <w:sz w:val="20"/>
          <w:szCs w:val="20"/>
        </w:rPr>
        <w:t>It is unclear whether empty running vehicles have been accounted for. The attempt to match NTC and WIM classifications led to the removal of all empty running from some subclasses and moved these data readings to the class below. This likely leads to a distortion which overstates the ESA of vehicle classes.</w:t>
      </w:r>
    </w:p>
    <w:p w:rsidR="00DB56E6" w:rsidRPr="00DB56E6" w:rsidRDefault="00DB56E6" w:rsidP="00DB56E6">
      <w:pPr>
        <w:spacing w:line="269" w:lineRule="auto"/>
        <w:ind w:left="395"/>
        <w:jc w:val="both"/>
        <w:rPr>
          <w:rFonts w:ascii="Arial" w:hAnsi="Arial" w:cs="Arial"/>
          <w:sz w:val="20"/>
          <w:szCs w:val="20"/>
        </w:rPr>
      </w:pPr>
    </w:p>
    <w:p w:rsidR="00617771" w:rsidRDefault="00617771" w:rsidP="00300037">
      <w:pPr>
        <w:spacing w:line="269" w:lineRule="auto"/>
        <w:jc w:val="both"/>
        <w:rPr>
          <w:rFonts w:ascii="Arial" w:hAnsi="Arial" w:cs="Arial"/>
          <w:sz w:val="20"/>
          <w:szCs w:val="20"/>
        </w:rPr>
      </w:pPr>
      <w:r w:rsidRPr="00740788">
        <w:rPr>
          <w:rFonts w:ascii="Arial" w:hAnsi="Arial" w:cs="Arial"/>
          <w:sz w:val="20"/>
          <w:szCs w:val="20"/>
        </w:rPr>
        <w:t xml:space="preserve">It is unlikely that the report can be amended to correct the above flaws without substantial reworking. The </w:t>
      </w:r>
      <w:r w:rsidR="00F83170" w:rsidRPr="00740788">
        <w:rPr>
          <w:rFonts w:ascii="Arial" w:hAnsi="Arial" w:cs="Arial"/>
          <w:sz w:val="20"/>
          <w:szCs w:val="20"/>
        </w:rPr>
        <w:t>inputs from the ARRB work are</w:t>
      </w:r>
      <w:r w:rsidRPr="00740788">
        <w:rPr>
          <w:rFonts w:ascii="Arial" w:hAnsi="Arial" w:cs="Arial"/>
          <w:sz w:val="20"/>
          <w:szCs w:val="20"/>
        </w:rPr>
        <w:t xml:space="preserve"> not sturdy enough to be used in the options. It is too much of an unknown outcome to give support.</w:t>
      </w:r>
    </w:p>
    <w:p w:rsidR="00A60756" w:rsidRDefault="00A60756" w:rsidP="00300037">
      <w:pPr>
        <w:spacing w:line="269" w:lineRule="auto"/>
        <w:jc w:val="both"/>
        <w:rPr>
          <w:rFonts w:ascii="Arial" w:hAnsi="Arial" w:cs="Arial"/>
          <w:sz w:val="20"/>
          <w:szCs w:val="20"/>
        </w:rPr>
      </w:pPr>
    </w:p>
    <w:p w:rsidR="00A60756" w:rsidRPr="00740788" w:rsidRDefault="00A60756" w:rsidP="00300037">
      <w:pPr>
        <w:spacing w:line="269" w:lineRule="auto"/>
        <w:jc w:val="both"/>
        <w:rPr>
          <w:rFonts w:ascii="Arial" w:hAnsi="Arial" w:cs="Arial"/>
          <w:sz w:val="20"/>
          <w:szCs w:val="20"/>
        </w:rPr>
      </w:pPr>
    </w:p>
    <w:p w:rsidR="00617771" w:rsidRPr="00F50321" w:rsidRDefault="00617771" w:rsidP="00300037">
      <w:pPr>
        <w:pStyle w:val="Heading1"/>
        <w:numPr>
          <w:ilvl w:val="0"/>
          <w:numId w:val="15"/>
        </w:numPr>
        <w:spacing w:line="269" w:lineRule="auto"/>
        <w:jc w:val="both"/>
      </w:pPr>
      <w:bookmarkStart w:id="8" w:name="_Toc315176346"/>
      <w:bookmarkStart w:id="9" w:name="_Toc316396808"/>
      <w:r w:rsidRPr="00F50321">
        <w:t>Option 2 – Standard trailer axle charge</w:t>
      </w:r>
      <w:bookmarkEnd w:id="8"/>
      <w:bookmarkEnd w:id="9"/>
    </w:p>
    <w:p w:rsidR="00617771" w:rsidRPr="00740788" w:rsidRDefault="00617771" w:rsidP="00300037">
      <w:pPr>
        <w:spacing w:line="269" w:lineRule="auto"/>
        <w:jc w:val="both"/>
        <w:rPr>
          <w:rFonts w:ascii="Arial" w:hAnsi="Arial" w:cs="Arial"/>
          <w:sz w:val="20"/>
          <w:szCs w:val="20"/>
        </w:rPr>
      </w:pPr>
    </w:p>
    <w:p w:rsidR="00617771" w:rsidRPr="00740788" w:rsidRDefault="00105059" w:rsidP="00300037">
      <w:pPr>
        <w:spacing w:line="269" w:lineRule="auto"/>
        <w:jc w:val="both"/>
        <w:rPr>
          <w:rFonts w:ascii="Arial" w:hAnsi="Arial" w:cs="Arial"/>
          <w:sz w:val="20"/>
          <w:szCs w:val="20"/>
        </w:rPr>
      </w:pPr>
      <w:r>
        <w:rPr>
          <w:rFonts w:ascii="Arial" w:hAnsi="Arial" w:cs="Arial"/>
          <w:sz w:val="20"/>
          <w:szCs w:val="20"/>
        </w:rPr>
        <w:t>While it is</w:t>
      </w:r>
      <w:r w:rsidR="00617771" w:rsidRPr="00740788">
        <w:rPr>
          <w:rFonts w:ascii="Arial" w:hAnsi="Arial" w:cs="Arial"/>
          <w:sz w:val="20"/>
          <w:szCs w:val="20"/>
        </w:rPr>
        <w:t xml:space="preserve"> state</w:t>
      </w:r>
      <w:r>
        <w:rPr>
          <w:rFonts w:ascii="Arial" w:hAnsi="Arial" w:cs="Arial"/>
          <w:sz w:val="20"/>
          <w:szCs w:val="20"/>
        </w:rPr>
        <w:t>d</w:t>
      </w:r>
      <w:r w:rsidR="00617771" w:rsidRPr="00740788">
        <w:rPr>
          <w:rFonts w:ascii="Arial" w:hAnsi="Arial" w:cs="Arial"/>
          <w:sz w:val="20"/>
          <w:szCs w:val="20"/>
        </w:rPr>
        <w:t xml:space="preserve"> that this option is based on the ATA proposal, there is little resemblance </w:t>
      </w:r>
      <w:r w:rsidR="00A60756">
        <w:rPr>
          <w:rFonts w:ascii="Arial" w:hAnsi="Arial" w:cs="Arial"/>
          <w:sz w:val="20"/>
          <w:szCs w:val="20"/>
        </w:rPr>
        <w:t>between what th</w:t>
      </w:r>
      <w:r w:rsidR="00617771" w:rsidRPr="00740788">
        <w:rPr>
          <w:rFonts w:ascii="Arial" w:hAnsi="Arial" w:cs="Arial"/>
          <w:sz w:val="20"/>
          <w:szCs w:val="20"/>
        </w:rPr>
        <w:t>e ATA recommend</w:t>
      </w:r>
      <w:r w:rsidR="00A60756">
        <w:rPr>
          <w:rFonts w:ascii="Arial" w:hAnsi="Arial" w:cs="Arial"/>
          <w:sz w:val="20"/>
          <w:szCs w:val="20"/>
        </w:rPr>
        <w:t>ed</w:t>
      </w:r>
      <w:r w:rsidR="00617771" w:rsidRPr="00740788">
        <w:rPr>
          <w:rFonts w:ascii="Arial" w:hAnsi="Arial" w:cs="Arial"/>
          <w:sz w:val="20"/>
          <w:szCs w:val="20"/>
        </w:rPr>
        <w:t xml:space="preserve"> and the methodology used </w:t>
      </w:r>
      <w:r>
        <w:rPr>
          <w:rFonts w:ascii="Arial" w:hAnsi="Arial" w:cs="Arial"/>
          <w:sz w:val="20"/>
          <w:szCs w:val="20"/>
        </w:rPr>
        <w:t>in the paper</w:t>
      </w:r>
      <w:r w:rsidR="00617771" w:rsidRPr="00740788">
        <w:rPr>
          <w:rFonts w:ascii="Arial" w:hAnsi="Arial" w:cs="Arial"/>
          <w:sz w:val="20"/>
          <w:szCs w:val="20"/>
        </w:rPr>
        <w:t>.</w:t>
      </w:r>
      <w:r>
        <w:rPr>
          <w:rFonts w:ascii="Arial" w:hAnsi="Arial" w:cs="Arial"/>
          <w:sz w:val="20"/>
          <w:szCs w:val="20"/>
        </w:rPr>
        <w:t xml:space="preserve"> </w:t>
      </w:r>
      <w:r w:rsidR="00617771" w:rsidRPr="00740788">
        <w:rPr>
          <w:rFonts w:ascii="Arial" w:hAnsi="Arial" w:cs="Arial"/>
          <w:sz w:val="20"/>
          <w:szCs w:val="20"/>
        </w:rPr>
        <w:t>The emotive, negative and leading language used in the review of the opti</w:t>
      </w:r>
      <w:r>
        <w:rPr>
          <w:rFonts w:ascii="Arial" w:hAnsi="Arial" w:cs="Arial"/>
          <w:sz w:val="20"/>
          <w:szCs w:val="20"/>
        </w:rPr>
        <w:t>on is used to steer ob</w:t>
      </w:r>
      <w:r w:rsidR="00617771" w:rsidRPr="00740788">
        <w:rPr>
          <w:rFonts w:ascii="Arial" w:hAnsi="Arial" w:cs="Arial"/>
          <w:sz w:val="20"/>
          <w:szCs w:val="20"/>
        </w:rPr>
        <w:t>servers away from this option. It does not deal with the option fairly and creates excessive problems that have not previously been ra</w:t>
      </w:r>
      <w:r>
        <w:rPr>
          <w:rFonts w:ascii="Arial" w:hAnsi="Arial" w:cs="Arial"/>
          <w:sz w:val="20"/>
          <w:szCs w:val="20"/>
        </w:rPr>
        <w:t xml:space="preserve">ised in consultation. </w:t>
      </w:r>
    </w:p>
    <w:p w:rsidR="00617771" w:rsidRPr="00740788" w:rsidRDefault="00617771" w:rsidP="00300037">
      <w:pPr>
        <w:spacing w:line="269" w:lineRule="auto"/>
        <w:jc w:val="both"/>
        <w:rPr>
          <w:rFonts w:ascii="Arial" w:hAnsi="Arial" w:cs="Arial"/>
          <w:sz w:val="20"/>
          <w:szCs w:val="20"/>
        </w:rPr>
      </w:pPr>
    </w:p>
    <w:p w:rsidR="00105059" w:rsidRDefault="00105059" w:rsidP="00105059">
      <w:pPr>
        <w:spacing w:line="269" w:lineRule="auto"/>
        <w:jc w:val="both"/>
        <w:rPr>
          <w:rFonts w:ascii="Arial" w:hAnsi="Arial" w:cs="Arial"/>
          <w:sz w:val="20"/>
          <w:szCs w:val="20"/>
        </w:rPr>
      </w:pPr>
      <w:r>
        <w:rPr>
          <w:rFonts w:ascii="Arial" w:hAnsi="Arial" w:cs="Arial"/>
          <w:sz w:val="20"/>
          <w:szCs w:val="20"/>
        </w:rPr>
        <w:t>T</w:t>
      </w:r>
      <w:r w:rsidR="00617771" w:rsidRPr="00740788">
        <w:rPr>
          <w:rFonts w:ascii="Arial" w:hAnsi="Arial" w:cs="Arial"/>
          <w:sz w:val="20"/>
          <w:szCs w:val="20"/>
        </w:rPr>
        <w:t>wo sub options</w:t>
      </w:r>
      <w:r>
        <w:rPr>
          <w:rFonts w:ascii="Arial" w:hAnsi="Arial" w:cs="Arial"/>
          <w:sz w:val="20"/>
          <w:szCs w:val="20"/>
        </w:rPr>
        <w:t xml:space="preserve"> have been devised</w:t>
      </w:r>
      <w:r w:rsidR="00617771" w:rsidRPr="00740788">
        <w:rPr>
          <w:rFonts w:ascii="Arial" w:hAnsi="Arial" w:cs="Arial"/>
          <w:sz w:val="20"/>
          <w:szCs w:val="20"/>
        </w:rPr>
        <w:t xml:space="preserve"> for this choice. These sub-options were not discussed with the ATA and the logic </w:t>
      </w:r>
      <w:r w:rsidR="000D0EEF" w:rsidRPr="00740788">
        <w:rPr>
          <w:rFonts w:ascii="Arial" w:hAnsi="Arial" w:cs="Arial"/>
          <w:sz w:val="20"/>
          <w:szCs w:val="20"/>
        </w:rPr>
        <w:t xml:space="preserve">surrounding them </w:t>
      </w:r>
      <w:r w:rsidR="00617771" w:rsidRPr="00740788">
        <w:rPr>
          <w:rFonts w:ascii="Arial" w:hAnsi="Arial" w:cs="Arial"/>
          <w:sz w:val="20"/>
          <w:szCs w:val="20"/>
        </w:rPr>
        <w:t>is yet to be explained</w:t>
      </w:r>
      <w:r w:rsidR="003F0BD2" w:rsidRPr="00740788">
        <w:rPr>
          <w:rFonts w:ascii="Arial" w:hAnsi="Arial" w:cs="Arial"/>
          <w:sz w:val="20"/>
          <w:szCs w:val="20"/>
        </w:rPr>
        <w:t>.</w:t>
      </w:r>
    </w:p>
    <w:p w:rsidR="00105059" w:rsidRDefault="00105059" w:rsidP="00105059">
      <w:pPr>
        <w:spacing w:line="269" w:lineRule="auto"/>
        <w:jc w:val="both"/>
        <w:rPr>
          <w:rFonts w:ascii="Arial" w:hAnsi="Arial" w:cs="Arial"/>
          <w:sz w:val="20"/>
          <w:szCs w:val="20"/>
        </w:rPr>
      </w:pPr>
    </w:p>
    <w:p w:rsidR="00617771" w:rsidRPr="00740788" w:rsidRDefault="003B79FE" w:rsidP="00105059">
      <w:pPr>
        <w:spacing w:after="200" w:line="276" w:lineRule="auto"/>
        <w:rPr>
          <w:rFonts w:ascii="Arial" w:hAnsi="Arial" w:cs="Arial"/>
          <w:sz w:val="20"/>
          <w:szCs w:val="20"/>
        </w:rPr>
      </w:pPr>
      <w:r w:rsidRPr="00740788">
        <w:rPr>
          <w:rFonts w:ascii="Arial" w:hAnsi="Arial" w:cs="Arial"/>
          <w:sz w:val="20"/>
          <w:szCs w:val="20"/>
        </w:rPr>
        <w:lastRenderedPageBreak/>
        <w:t>Sub</w:t>
      </w:r>
      <w:r w:rsidR="0013140F" w:rsidRPr="00740788">
        <w:rPr>
          <w:rFonts w:ascii="Arial" w:hAnsi="Arial" w:cs="Arial"/>
          <w:sz w:val="20"/>
          <w:szCs w:val="20"/>
        </w:rPr>
        <w:t xml:space="preserve"> option </w:t>
      </w:r>
      <w:r w:rsidR="00617771" w:rsidRPr="00740788">
        <w:rPr>
          <w:rFonts w:ascii="Arial" w:hAnsi="Arial" w:cs="Arial"/>
          <w:sz w:val="20"/>
          <w:szCs w:val="20"/>
        </w:rPr>
        <w:t xml:space="preserve">2a, </w:t>
      </w:r>
      <w:r w:rsidR="0013140F" w:rsidRPr="00740788">
        <w:rPr>
          <w:rFonts w:ascii="Arial" w:hAnsi="Arial" w:cs="Arial"/>
          <w:sz w:val="20"/>
          <w:szCs w:val="20"/>
        </w:rPr>
        <w:t>introduces</w:t>
      </w:r>
      <w:r w:rsidR="00617771" w:rsidRPr="00740788">
        <w:rPr>
          <w:rFonts w:ascii="Arial" w:hAnsi="Arial" w:cs="Arial"/>
          <w:sz w:val="20"/>
          <w:szCs w:val="20"/>
        </w:rPr>
        <w:t xml:space="preserve"> a sta</w:t>
      </w:r>
      <w:r w:rsidR="00A60756">
        <w:rPr>
          <w:rFonts w:ascii="Arial" w:hAnsi="Arial" w:cs="Arial"/>
          <w:sz w:val="20"/>
          <w:szCs w:val="20"/>
        </w:rPr>
        <w:t>ndard axle charge for trailers, the same charging structure used before</w:t>
      </w:r>
      <w:r w:rsidR="00DB56E6">
        <w:rPr>
          <w:rFonts w:ascii="Arial" w:hAnsi="Arial" w:cs="Arial"/>
          <w:sz w:val="20"/>
          <w:szCs w:val="20"/>
        </w:rPr>
        <w:t xml:space="preserve"> the</w:t>
      </w:r>
      <w:r w:rsidRPr="00740788">
        <w:rPr>
          <w:rFonts w:ascii="Arial" w:hAnsi="Arial" w:cs="Arial"/>
          <w:sz w:val="20"/>
          <w:szCs w:val="20"/>
        </w:rPr>
        <w:t xml:space="preserve"> 2007 determination. This</w:t>
      </w:r>
      <w:r w:rsidR="0013140F" w:rsidRPr="00740788">
        <w:rPr>
          <w:rFonts w:ascii="Arial" w:hAnsi="Arial" w:cs="Arial"/>
          <w:sz w:val="20"/>
          <w:szCs w:val="20"/>
        </w:rPr>
        <w:t xml:space="preserve"> outcome </w:t>
      </w:r>
      <w:r w:rsidR="003F0BD2" w:rsidRPr="00740788">
        <w:rPr>
          <w:rFonts w:ascii="Arial" w:hAnsi="Arial" w:cs="Arial"/>
          <w:sz w:val="20"/>
          <w:szCs w:val="20"/>
        </w:rPr>
        <w:t>is what the ATA suggested, but it was to lower the cost of an A-trailer to that of a semi-trailer</w:t>
      </w:r>
      <w:r w:rsidRPr="00740788">
        <w:rPr>
          <w:rFonts w:ascii="Arial" w:hAnsi="Arial" w:cs="Arial"/>
          <w:sz w:val="20"/>
          <w:szCs w:val="20"/>
        </w:rPr>
        <w:t>,</w:t>
      </w:r>
      <w:r w:rsidR="003F0BD2" w:rsidRPr="00740788">
        <w:rPr>
          <w:rFonts w:ascii="Arial" w:hAnsi="Arial" w:cs="Arial"/>
          <w:sz w:val="20"/>
          <w:szCs w:val="20"/>
        </w:rPr>
        <w:t xml:space="preserve"> then work out a per axle charge of the revenue reduction caused by the rationalisation of the A-trailer. </w:t>
      </w:r>
      <w:r w:rsidR="0013140F" w:rsidRPr="00740788">
        <w:rPr>
          <w:rFonts w:ascii="Arial" w:hAnsi="Arial" w:cs="Arial"/>
          <w:sz w:val="20"/>
          <w:szCs w:val="20"/>
        </w:rPr>
        <w:t xml:space="preserve">This is a simple logical approach. The </w:t>
      </w:r>
      <w:r w:rsidR="00105059">
        <w:rPr>
          <w:rFonts w:ascii="Arial" w:hAnsi="Arial" w:cs="Arial"/>
          <w:sz w:val="20"/>
          <w:szCs w:val="20"/>
        </w:rPr>
        <w:t>model in the paper</w:t>
      </w:r>
      <w:r w:rsidR="0013140F" w:rsidRPr="00740788">
        <w:rPr>
          <w:rFonts w:ascii="Arial" w:hAnsi="Arial" w:cs="Arial"/>
          <w:sz w:val="20"/>
          <w:szCs w:val="20"/>
        </w:rPr>
        <w:t xml:space="preserve"> uses a revenue back calculation </w:t>
      </w:r>
      <w:r w:rsidRPr="00740788">
        <w:rPr>
          <w:rFonts w:ascii="Arial" w:hAnsi="Arial" w:cs="Arial"/>
          <w:sz w:val="20"/>
          <w:szCs w:val="20"/>
        </w:rPr>
        <w:t>which</w:t>
      </w:r>
      <w:r w:rsidR="00105059">
        <w:rPr>
          <w:rFonts w:ascii="Arial" w:hAnsi="Arial" w:cs="Arial"/>
          <w:sz w:val="20"/>
          <w:szCs w:val="20"/>
        </w:rPr>
        <w:t xml:space="preserve"> is unexplained to industry</w:t>
      </w:r>
      <w:r w:rsidR="0013140F" w:rsidRPr="00740788">
        <w:rPr>
          <w:rFonts w:ascii="Arial" w:hAnsi="Arial" w:cs="Arial"/>
          <w:sz w:val="20"/>
          <w:szCs w:val="20"/>
        </w:rPr>
        <w:t>. The ATA does not support the</w:t>
      </w:r>
      <w:r w:rsidR="00105059">
        <w:rPr>
          <w:rFonts w:ascii="Arial" w:hAnsi="Arial" w:cs="Arial"/>
          <w:sz w:val="20"/>
          <w:szCs w:val="20"/>
        </w:rPr>
        <w:t xml:space="preserve"> papers </w:t>
      </w:r>
      <w:r w:rsidR="0013140F" w:rsidRPr="00740788">
        <w:rPr>
          <w:rFonts w:ascii="Arial" w:hAnsi="Arial" w:cs="Arial"/>
          <w:sz w:val="20"/>
          <w:szCs w:val="20"/>
        </w:rPr>
        <w:t>methodology.</w:t>
      </w:r>
    </w:p>
    <w:p w:rsidR="00617771"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The nine sets of the charges the</w:t>
      </w:r>
      <w:r w:rsidR="00E55CC1">
        <w:rPr>
          <w:rFonts w:ascii="Arial" w:hAnsi="Arial" w:cs="Arial"/>
          <w:sz w:val="20"/>
          <w:szCs w:val="20"/>
        </w:rPr>
        <w:t xml:space="preserve"> paper states</w:t>
      </w:r>
      <w:r w:rsidRPr="00740788">
        <w:rPr>
          <w:rFonts w:ascii="Arial" w:hAnsi="Arial" w:cs="Arial"/>
          <w:sz w:val="20"/>
          <w:szCs w:val="20"/>
        </w:rPr>
        <w:t xml:space="preserve"> is likely to emerge from option </w:t>
      </w:r>
      <w:r w:rsidR="00DA60B6">
        <w:rPr>
          <w:rFonts w:ascii="Arial" w:hAnsi="Arial" w:cs="Arial"/>
          <w:sz w:val="20"/>
          <w:szCs w:val="20"/>
        </w:rPr>
        <w:t>2</w:t>
      </w:r>
      <w:r w:rsidRPr="00740788">
        <w:rPr>
          <w:rFonts w:ascii="Arial" w:hAnsi="Arial" w:cs="Arial"/>
          <w:sz w:val="20"/>
          <w:szCs w:val="20"/>
        </w:rPr>
        <w:t xml:space="preserve"> </w:t>
      </w:r>
      <w:r w:rsidR="005456D4">
        <w:rPr>
          <w:rFonts w:ascii="Arial" w:hAnsi="Arial" w:cs="Arial"/>
          <w:sz w:val="20"/>
          <w:szCs w:val="20"/>
        </w:rPr>
        <w:t xml:space="preserve">appears to have been </w:t>
      </w:r>
      <w:r w:rsidRPr="00740788">
        <w:rPr>
          <w:rFonts w:ascii="Arial" w:hAnsi="Arial" w:cs="Arial"/>
          <w:sz w:val="20"/>
          <w:szCs w:val="20"/>
        </w:rPr>
        <w:t xml:space="preserve">included in order to </w:t>
      </w:r>
      <w:r w:rsidR="00DA60B6">
        <w:rPr>
          <w:rFonts w:ascii="Arial" w:hAnsi="Arial" w:cs="Arial"/>
          <w:sz w:val="20"/>
          <w:szCs w:val="20"/>
        </w:rPr>
        <w:t>undermine</w:t>
      </w:r>
      <w:r w:rsidRPr="00740788">
        <w:rPr>
          <w:rFonts w:ascii="Arial" w:hAnsi="Arial" w:cs="Arial"/>
          <w:sz w:val="20"/>
          <w:szCs w:val="20"/>
        </w:rPr>
        <w:t xml:space="preserve"> endorsement of the</w:t>
      </w:r>
      <w:r w:rsidR="00DA60B6">
        <w:rPr>
          <w:rFonts w:ascii="Arial" w:hAnsi="Arial" w:cs="Arial"/>
          <w:sz w:val="20"/>
          <w:szCs w:val="20"/>
        </w:rPr>
        <w:t xml:space="preserve"> broader</w:t>
      </w:r>
      <w:r w:rsidRPr="00740788">
        <w:rPr>
          <w:rFonts w:ascii="Arial" w:hAnsi="Arial" w:cs="Arial"/>
          <w:sz w:val="20"/>
          <w:szCs w:val="20"/>
        </w:rPr>
        <w:t xml:space="preserve"> option. </w:t>
      </w:r>
      <w:r w:rsidR="00E55CC1">
        <w:rPr>
          <w:rFonts w:ascii="Arial" w:hAnsi="Arial" w:cs="Arial"/>
          <w:sz w:val="20"/>
          <w:szCs w:val="20"/>
        </w:rPr>
        <w:t xml:space="preserve">It has </w:t>
      </w:r>
      <w:r w:rsidRPr="00740788">
        <w:rPr>
          <w:rFonts w:ascii="Arial" w:hAnsi="Arial" w:cs="Arial"/>
          <w:sz w:val="20"/>
          <w:szCs w:val="20"/>
        </w:rPr>
        <w:t>overly complicated the</w:t>
      </w:r>
      <w:r w:rsidR="003F0BD2" w:rsidRPr="00740788">
        <w:rPr>
          <w:rFonts w:ascii="Arial" w:hAnsi="Arial" w:cs="Arial"/>
          <w:sz w:val="20"/>
          <w:szCs w:val="20"/>
        </w:rPr>
        <w:t xml:space="preserve"> simple, administratively easy</w:t>
      </w:r>
      <w:r w:rsidRPr="00740788">
        <w:rPr>
          <w:rFonts w:ascii="Arial" w:hAnsi="Arial" w:cs="Arial"/>
          <w:sz w:val="20"/>
          <w:szCs w:val="20"/>
        </w:rPr>
        <w:t xml:space="preserve"> and popular option in order to alter it from its origin considerably. When in consultation </w:t>
      </w:r>
      <w:r w:rsidR="00E55CC1">
        <w:rPr>
          <w:rFonts w:ascii="Arial" w:hAnsi="Arial" w:cs="Arial"/>
          <w:sz w:val="20"/>
          <w:szCs w:val="20"/>
        </w:rPr>
        <w:t xml:space="preserve">prior to the paper release </w:t>
      </w:r>
      <w:r w:rsidRPr="00740788">
        <w:rPr>
          <w:rFonts w:ascii="Arial" w:hAnsi="Arial" w:cs="Arial"/>
          <w:sz w:val="20"/>
          <w:szCs w:val="20"/>
        </w:rPr>
        <w:t xml:space="preserve">there was no indication that these two options </w:t>
      </w:r>
      <w:r w:rsidR="00655F5C" w:rsidRPr="00740788">
        <w:rPr>
          <w:rFonts w:ascii="Arial" w:hAnsi="Arial" w:cs="Arial"/>
          <w:sz w:val="20"/>
          <w:szCs w:val="20"/>
        </w:rPr>
        <w:t>would not be</w:t>
      </w:r>
      <w:r w:rsidRPr="00740788">
        <w:rPr>
          <w:rFonts w:ascii="Arial" w:hAnsi="Arial" w:cs="Arial"/>
          <w:sz w:val="20"/>
          <w:szCs w:val="20"/>
        </w:rPr>
        <w:t xml:space="preserve"> used, nor was the supposed 9 different charges mentioned</w:t>
      </w:r>
      <w:r w:rsidR="00F274CC" w:rsidRPr="00740788">
        <w:rPr>
          <w:rFonts w:ascii="Arial" w:hAnsi="Arial" w:cs="Arial"/>
          <w:sz w:val="20"/>
          <w:szCs w:val="20"/>
        </w:rPr>
        <w:t>, this is a potential issues for all options, not just option 2</w:t>
      </w:r>
      <w:r w:rsidRPr="00740788">
        <w:rPr>
          <w:rFonts w:ascii="Arial" w:hAnsi="Arial" w:cs="Arial"/>
          <w:sz w:val="20"/>
          <w:szCs w:val="20"/>
        </w:rPr>
        <w:t>.</w:t>
      </w:r>
    </w:p>
    <w:p w:rsidR="00617771" w:rsidRPr="00740788" w:rsidRDefault="00617771" w:rsidP="00300037">
      <w:pPr>
        <w:spacing w:line="269" w:lineRule="auto"/>
        <w:jc w:val="both"/>
        <w:rPr>
          <w:rFonts w:ascii="Arial" w:hAnsi="Arial" w:cs="Arial"/>
          <w:sz w:val="20"/>
          <w:szCs w:val="20"/>
        </w:rPr>
      </w:pPr>
    </w:p>
    <w:p w:rsidR="00617771" w:rsidRDefault="002F29F2" w:rsidP="00300037">
      <w:pPr>
        <w:spacing w:line="269" w:lineRule="auto"/>
        <w:jc w:val="both"/>
        <w:rPr>
          <w:rFonts w:ascii="Arial" w:hAnsi="Arial" w:cs="Arial"/>
          <w:sz w:val="20"/>
          <w:szCs w:val="20"/>
        </w:rPr>
      </w:pPr>
      <w:r w:rsidRPr="00740788">
        <w:rPr>
          <w:rFonts w:ascii="Arial" w:hAnsi="Arial" w:cs="Arial"/>
          <w:sz w:val="20"/>
          <w:szCs w:val="20"/>
        </w:rPr>
        <w:t xml:space="preserve">It is claimed that </w:t>
      </w:r>
      <w:r w:rsidR="00617771" w:rsidRPr="00740788">
        <w:rPr>
          <w:rFonts w:ascii="Arial" w:hAnsi="Arial" w:cs="Arial"/>
          <w:sz w:val="20"/>
          <w:szCs w:val="20"/>
        </w:rPr>
        <w:t>option</w:t>
      </w:r>
      <w:r w:rsidRPr="00740788">
        <w:rPr>
          <w:rFonts w:ascii="Arial" w:hAnsi="Arial" w:cs="Arial"/>
          <w:sz w:val="20"/>
          <w:szCs w:val="20"/>
        </w:rPr>
        <w:t xml:space="preserve"> 2</w:t>
      </w:r>
      <w:r w:rsidR="00617771" w:rsidRPr="00740788">
        <w:rPr>
          <w:rFonts w:ascii="Arial" w:hAnsi="Arial" w:cs="Arial"/>
          <w:sz w:val="20"/>
          <w:szCs w:val="20"/>
        </w:rPr>
        <w:t xml:space="preserve"> would need a RIS and w</w:t>
      </w:r>
      <w:r w:rsidR="008D5056">
        <w:rPr>
          <w:rFonts w:ascii="Arial" w:hAnsi="Arial" w:cs="Arial"/>
          <w:sz w:val="20"/>
          <w:szCs w:val="20"/>
        </w:rPr>
        <w:t>ould</w:t>
      </w:r>
      <w:r w:rsidR="00617771" w:rsidRPr="00740788">
        <w:rPr>
          <w:rFonts w:ascii="Arial" w:hAnsi="Arial" w:cs="Arial"/>
          <w:sz w:val="20"/>
          <w:szCs w:val="20"/>
        </w:rPr>
        <w:t xml:space="preserve"> be slow to implement. We disagree with both findings. While the</w:t>
      </w:r>
      <w:r w:rsidR="00E55CC1">
        <w:rPr>
          <w:rFonts w:ascii="Arial" w:hAnsi="Arial" w:cs="Arial"/>
          <w:sz w:val="20"/>
          <w:szCs w:val="20"/>
        </w:rPr>
        <w:t>re are claims of</w:t>
      </w:r>
      <w:r w:rsidR="00A60756">
        <w:rPr>
          <w:rFonts w:ascii="Arial" w:hAnsi="Arial" w:cs="Arial"/>
          <w:sz w:val="20"/>
          <w:szCs w:val="20"/>
        </w:rPr>
        <w:t xml:space="preserve"> </w:t>
      </w:r>
      <w:r w:rsidR="00617771" w:rsidRPr="00740788">
        <w:rPr>
          <w:rFonts w:ascii="Arial" w:hAnsi="Arial" w:cs="Arial"/>
          <w:sz w:val="20"/>
          <w:szCs w:val="20"/>
        </w:rPr>
        <w:t>RIS exemption</w:t>
      </w:r>
      <w:r w:rsidR="00E55CC1">
        <w:rPr>
          <w:rFonts w:ascii="Arial" w:hAnsi="Arial" w:cs="Arial"/>
          <w:sz w:val="20"/>
          <w:szCs w:val="20"/>
        </w:rPr>
        <w:t>s for the NTC</w:t>
      </w:r>
      <w:r w:rsidR="00617771" w:rsidRPr="00740788">
        <w:rPr>
          <w:rFonts w:ascii="Arial" w:hAnsi="Arial" w:cs="Arial"/>
          <w:sz w:val="20"/>
          <w:szCs w:val="20"/>
        </w:rPr>
        <w:t xml:space="preserve"> preferred option, this option is no less or more deserving of a RIS than any </w:t>
      </w:r>
      <w:r w:rsidR="00F274CC" w:rsidRPr="00740788">
        <w:rPr>
          <w:rFonts w:ascii="Arial" w:hAnsi="Arial" w:cs="Arial"/>
          <w:sz w:val="20"/>
          <w:szCs w:val="20"/>
        </w:rPr>
        <w:t xml:space="preserve">of the </w:t>
      </w:r>
      <w:r w:rsidR="00617771" w:rsidRPr="00740788">
        <w:rPr>
          <w:rFonts w:ascii="Arial" w:hAnsi="Arial" w:cs="Arial"/>
          <w:sz w:val="20"/>
          <w:szCs w:val="20"/>
        </w:rPr>
        <w:t xml:space="preserve">other options. </w:t>
      </w:r>
      <w:r w:rsidR="00E03B9B" w:rsidRPr="00740788">
        <w:rPr>
          <w:rFonts w:ascii="Arial" w:hAnsi="Arial" w:cs="Arial"/>
          <w:sz w:val="20"/>
          <w:szCs w:val="20"/>
        </w:rPr>
        <w:t>If a RIS was needed it</w:t>
      </w:r>
      <w:r w:rsidR="00617771" w:rsidRPr="00740788">
        <w:rPr>
          <w:rFonts w:ascii="Arial" w:hAnsi="Arial" w:cs="Arial"/>
          <w:sz w:val="20"/>
          <w:szCs w:val="20"/>
        </w:rPr>
        <w:t xml:space="preserve"> would be simple and quickly done</w:t>
      </w:r>
      <w:r w:rsidR="003B79FE" w:rsidRPr="00740788">
        <w:rPr>
          <w:rFonts w:ascii="Arial" w:hAnsi="Arial" w:cs="Arial"/>
          <w:sz w:val="20"/>
          <w:szCs w:val="20"/>
        </w:rPr>
        <w:t>,</w:t>
      </w:r>
      <w:r w:rsidR="00617771" w:rsidRPr="00740788">
        <w:rPr>
          <w:rFonts w:ascii="Arial" w:hAnsi="Arial" w:cs="Arial"/>
          <w:sz w:val="20"/>
          <w:szCs w:val="20"/>
        </w:rPr>
        <w:t xml:space="preserve"> as it would mean returning to a previously approved approach to setting registration charges. There are a number of </w:t>
      </w:r>
      <w:r w:rsidR="00F274CC" w:rsidRPr="00740788">
        <w:rPr>
          <w:rFonts w:ascii="Arial" w:hAnsi="Arial" w:cs="Arial"/>
          <w:sz w:val="20"/>
          <w:szCs w:val="20"/>
        </w:rPr>
        <w:t xml:space="preserve">RISs’ previously undertaken that support </w:t>
      </w:r>
      <w:r w:rsidR="00617771" w:rsidRPr="00740788">
        <w:rPr>
          <w:rFonts w:ascii="Arial" w:hAnsi="Arial" w:cs="Arial"/>
          <w:sz w:val="20"/>
          <w:szCs w:val="20"/>
        </w:rPr>
        <w:t xml:space="preserve">this method of charging (RIS appendix Third heavy Vehicle Road Pricing Determination Technical Report Figure 8 on page 64.) </w:t>
      </w:r>
    </w:p>
    <w:p w:rsidR="008D5056" w:rsidRPr="00740788" w:rsidRDefault="008D5056" w:rsidP="00300037">
      <w:pPr>
        <w:spacing w:line="269" w:lineRule="auto"/>
        <w:jc w:val="both"/>
        <w:rPr>
          <w:rFonts w:ascii="Arial" w:hAnsi="Arial" w:cs="Arial"/>
          <w:sz w:val="20"/>
          <w:szCs w:val="20"/>
        </w:rPr>
      </w:pPr>
    </w:p>
    <w:p w:rsidR="00617771"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 xml:space="preserve">The </w:t>
      </w:r>
      <w:r w:rsidR="00E55CC1">
        <w:rPr>
          <w:rFonts w:ascii="Arial" w:hAnsi="Arial" w:cs="Arial"/>
          <w:sz w:val="20"/>
          <w:szCs w:val="20"/>
        </w:rPr>
        <w:t>paper states</w:t>
      </w:r>
      <w:r w:rsidRPr="00740788">
        <w:rPr>
          <w:rFonts w:ascii="Arial" w:hAnsi="Arial" w:cs="Arial"/>
          <w:sz w:val="20"/>
          <w:szCs w:val="20"/>
        </w:rPr>
        <w:t xml:space="preserve"> the </w:t>
      </w:r>
      <w:r w:rsidR="003B79FE" w:rsidRPr="00740788">
        <w:rPr>
          <w:rFonts w:ascii="Arial" w:hAnsi="Arial" w:cs="Arial"/>
          <w:sz w:val="20"/>
          <w:szCs w:val="20"/>
        </w:rPr>
        <w:t>option is</w:t>
      </w:r>
      <w:r w:rsidRPr="00740788">
        <w:rPr>
          <w:rFonts w:ascii="Arial" w:hAnsi="Arial" w:cs="Arial"/>
          <w:sz w:val="20"/>
          <w:szCs w:val="20"/>
        </w:rPr>
        <w:t xml:space="preserve"> at odds with CRRP, and may discourage br</w:t>
      </w:r>
      <w:r w:rsidR="002F29F2" w:rsidRPr="00740788">
        <w:rPr>
          <w:rFonts w:ascii="Arial" w:hAnsi="Arial" w:cs="Arial"/>
          <w:sz w:val="20"/>
          <w:szCs w:val="20"/>
        </w:rPr>
        <w:t>oader investment in access for B</w:t>
      </w:r>
      <w:r w:rsidRPr="00740788">
        <w:rPr>
          <w:rFonts w:ascii="Arial" w:hAnsi="Arial" w:cs="Arial"/>
          <w:sz w:val="20"/>
          <w:szCs w:val="20"/>
        </w:rPr>
        <w:t xml:space="preserve">-doubles and B-triples. </w:t>
      </w:r>
      <w:r w:rsidR="00F274CC" w:rsidRPr="00740788">
        <w:rPr>
          <w:rFonts w:ascii="Arial" w:hAnsi="Arial" w:cs="Arial"/>
          <w:sz w:val="20"/>
          <w:szCs w:val="20"/>
        </w:rPr>
        <w:t xml:space="preserve">This is unsubstantiated, especially given that </w:t>
      </w:r>
      <w:r w:rsidR="00E03B9B" w:rsidRPr="00740788">
        <w:rPr>
          <w:rFonts w:ascii="Arial" w:hAnsi="Arial" w:cs="Arial"/>
          <w:sz w:val="20"/>
          <w:szCs w:val="20"/>
        </w:rPr>
        <w:t>the CRRP project is a longer term project that has no concrete outcomes as of yet.</w:t>
      </w:r>
    </w:p>
    <w:p w:rsidR="00617771" w:rsidRPr="00740788" w:rsidRDefault="00617771" w:rsidP="00794E9F">
      <w:pPr>
        <w:spacing w:line="269" w:lineRule="auto"/>
        <w:jc w:val="both"/>
        <w:rPr>
          <w:rFonts w:ascii="Arial" w:hAnsi="Arial" w:cs="Arial"/>
          <w:sz w:val="20"/>
          <w:szCs w:val="20"/>
        </w:rPr>
      </w:pPr>
    </w:p>
    <w:p w:rsidR="004B2137"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 xml:space="preserve">One of the many merits of this option is that the current registration system can </w:t>
      </w:r>
      <w:r w:rsidR="003F2DC6" w:rsidRPr="00740788">
        <w:rPr>
          <w:rFonts w:ascii="Arial" w:hAnsi="Arial" w:cs="Arial"/>
          <w:sz w:val="20"/>
          <w:szCs w:val="20"/>
        </w:rPr>
        <w:t>be amended. The</w:t>
      </w:r>
      <w:r w:rsidRPr="00740788">
        <w:rPr>
          <w:rFonts w:ascii="Arial" w:hAnsi="Arial" w:cs="Arial"/>
          <w:sz w:val="20"/>
          <w:szCs w:val="20"/>
        </w:rPr>
        <w:t xml:space="preserve"> </w:t>
      </w:r>
      <w:r w:rsidR="003F2DC6" w:rsidRPr="00740788">
        <w:rPr>
          <w:rFonts w:ascii="Arial" w:hAnsi="Arial" w:cs="Arial"/>
          <w:sz w:val="20"/>
          <w:szCs w:val="20"/>
        </w:rPr>
        <w:t xml:space="preserve">changes </w:t>
      </w:r>
      <w:r w:rsidRPr="00740788">
        <w:rPr>
          <w:rFonts w:ascii="Arial" w:hAnsi="Arial" w:cs="Arial"/>
          <w:sz w:val="20"/>
          <w:szCs w:val="20"/>
        </w:rPr>
        <w:t>would be similar to an annual adjustment. The timing of the decisions made on the issue would likely indicate that a July change will happen. The ATA has suggested that defining ‘trailers’ as a class of vehicle does not require new usage d</w:t>
      </w:r>
      <w:r w:rsidR="003F2DC6" w:rsidRPr="00740788">
        <w:rPr>
          <w:rFonts w:ascii="Arial" w:hAnsi="Arial" w:cs="Arial"/>
          <w:sz w:val="20"/>
          <w:szCs w:val="20"/>
        </w:rPr>
        <w:t>ata (currently not collected.) The ATA option returns</w:t>
      </w:r>
      <w:r w:rsidRPr="00740788">
        <w:rPr>
          <w:rFonts w:ascii="Arial" w:hAnsi="Arial" w:cs="Arial"/>
          <w:sz w:val="20"/>
          <w:szCs w:val="20"/>
        </w:rPr>
        <w:t xml:space="preserve"> the charges model to a known, certified previous form of charging that is preferable to the outcomes of the current system.</w:t>
      </w:r>
    </w:p>
    <w:p w:rsidR="004B2137" w:rsidRPr="00740788" w:rsidRDefault="004B2137" w:rsidP="00300037">
      <w:pPr>
        <w:spacing w:line="269" w:lineRule="auto"/>
        <w:jc w:val="both"/>
        <w:rPr>
          <w:rFonts w:ascii="Arial" w:hAnsi="Arial" w:cs="Arial"/>
          <w:sz w:val="20"/>
          <w:szCs w:val="20"/>
        </w:rPr>
      </w:pPr>
    </w:p>
    <w:p w:rsidR="004B2137" w:rsidRPr="00740788" w:rsidRDefault="00E55CC1" w:rsidP="00300037">
      <w:pPr>
        <w:spacing w:line="269" w:lineRule="auto"/>
        <w:jc w:val="both"/>
        <w:rPr>
          <w:rFonts w:ascii="Arial" w:hAnsi="Arial" w:cs="Arial"/>
          <w:sz w:val="20"/>
          <w:szCs w:val="20"/>
        </w:rPr>
      </w:pPr>
      <w:r>
        <w:rPr>
          <w:rFonts w:ascii="Arial" w:hAnsi="Arial" w:cs="Arial"/>
          <w:sz w:val="20"/>
          <w:szCs w:val="20"/>
        </w:rPr>
        <w:t>The key point</w:t>
      </w:r>
      <w:r w:rsidR="004B2137" w:rsidRPr="00740788">
        <w:rPr>
          <w:rFonts w:ascii="Arial" w:hAnsi="Arial" w:cs="Arial"/>
          <w:sz w:val="20"/>
          <w:szCs w:val="20"/>
        </w:rPr>
        <w:t xml:space="preserve"> not mentioned, which is paramount to the ATA per axle model is that A-trailer and semi-trailer charges (which both have the same number of axles) are aligned is not made. </w:t>
      </w:r>
      <w:r w:rsidR="003B79FE" w:rsidRPr="00740788">
        <w:rPr>
          <w:rFonts w:ascii="Arial" w:hAnsi="Arial" w:cs="Arial"/>
          <w:sz w:val="20"/>
          <w:szCs w:val="20"/>
        </w:rPr>
        <w:t>Sensitive</w:t>
      </w:r>
      <w:r w:rsidR="004B2137" w:rsidRPr="00740788">
        <w:rPr>
          <w:rFonts w:ascii="Arial" w:hAnsi="Arial" w:cs="Arial"/>
          <w:sz w:val="20"/>
          <w:szCs w:val="20"/>
        </w:rPr>
        <w:t xml:space="preserve"> language about cross subsidisation is used by the NTC. However, there is no further analysis about how the no-cross subsidisation between </w:t>
      </w:r>
      <w:proofErr w:type="gramStart"/>
      <w:r w:rsidR="003B79FE" w:rsidRPr="00740788">
        <w:rPr>
          <w:rFonts w:ascii="Arial" w:hAnsi="Arial" w:cs="Arial"/>
          <w:sz w:val="20"/>
          <w:szCs w:val="20"/>
        </w:rPr>
        <w:t>vehicle</w:t>
      </w:r>
      <w:proofErr w:type="gramEnd"/>
      <w:r w:rsidR="004B2137" w:rsidRPr="00740788">
        <w:rPr>
          <w:rFonts w:ascii="Arial" w:hAnsi="Arial" w:cs="Arial"/>
          <w:sz w:val="20"/>
          <w:szCs w:val="20"/>
        </w:rPr>
        <w:t xml:space="preserve"> classes would be negated under the ATA</w:t>
      </w:r>
      <w:r w:rsidR="003F2DC6" w:rsidRPr="00740788">
        <w:rPr>
          <w:rFonts w:ascii="Arial" w:hAnsi="Arial" w:cs="Arial"/>
          <w:sz w:val="20"/>
          <w:szCs w:val="20"/>
        </w:rPr>
        <w:t xml:space="preserve"> options as trailers could and should be</w:t>
      </w:r>
      <w:r w:rsidR="004B2137" w:rsidRPr="00740788">
        <w:rPr>
          <w:rFonts w:ascii="Arial" w:hAnsi="Arial" w:cs="Arial"/>
          <w:sz w:val="20"/>
          <w:szCs w:val="20"/>
        </w:rPr>
        <w:t xml:space="preserve"> considered a vehicle class.</w:t>
      </w:r>
    </w:p>
    <w:p w:rsidR="00617771" w:rsidRPr="00740788" w:rsidRDefault="00617771" w:rsidP="00300037">
      <w:pPr>
        <w:spacing w:line="269" w:lineRule="auto"/>
        <w:jc w:val="both"/>
        <w:rPr>
          <w:rFonts w:ascii="Arial" w:hAnsi="Arial" w:cs="Arial"/>
          <w:sz w:val="20"/>
          <w:szCs w:val="20"/>
        </w:rPr>
      </w:pPr>
    </w:p>
    <w:p w:rsidR="00F50321" w:rsidRDefault="004B2137" w:rsidP="00300037">
      <w:pPr>
        <w:spacing w:line="269" w:lineRule="auto"/>
        <w:jc w:val="both"/>
        <w:rPr>
          <w:rFonts w:ascii="Arial" w:hAnsi="Arial" w:cs="Arial"/>
          <w:sz w:val="20"/>
          <w:szCs w:val="20"/>
        </w:rPr>
      </w:pPr>
      <w:r w:rsidRPr="00740788">
        <w:rPr>
          <w:rFonts w:ascii="Arial" w:hAnsi="Arial" w:cs="Arial"/>
          <w:sz w:val="20"/>
          <w:szCs w:val="20"/>
        </w:rPr>
        <w:t>The claim that state revenue would</w:t>
      </w:r>
      <w:r w:rsidR="00F274CC" w:rsidRPr="00740788">
        <w:rPr>
          <w:rFonts w:ascii="Arial" w:hAnsi="Arial" w:cs="Arial"/>
          <w:sz w:val="20"/>
          <w:szCs w:val="20"/>
        </w:rPr>
        <w:t xml:space="preserve"> </w:t>
      </w:r>
      <w:r w:rsidRPr="00740788">
        <w:rPr>
          <w:rFonts w:ascii="Arial" w:hAnsi="Arial" w:cs="Arial"/>
          <w:sz w:val="20"/>
          <w:szCs w:val="20"/>
        </w:rPr>
        <w:t>f</w:t>
      </w:r>
      <w:r w:rsidR="00F274CC" w:rsidRPr="00740788">
        <w:rPr>
          <w:rFonts w:ascii="Arial" w:hAnsi="Arial" w:cs="Arial"/>
          <w:sz w:val="20"/>
          <w:szCs w:val="20"/>
        </w:rPr>
        <w:t>all under this option, and the C</w:t>
      </w:r>
      <w:r w:rsidRPr="00740788">
        <w:rPr>
          <w:rFonts w:ascii="Arial" w:hAnsi="Arial" w:cs="Arial"/>
          <w:sz w:val="20"/>
          <w:szCs w:val="20"/>
        </w:rPr>
        <w:t>ommonwealth would accrue more revenue</w:t>
      </w:r>
      <w:r w:rsidR="00F274CC" w:rsidRPr="00740788">
        <w:rPr>
          <w:rFonts w:ascii="Arial" w:hAnsi="Arial" w:cs="Arial"/>
          <w:sz w:val="20"/>
          <w:szCs w:val="20"/>
        </w:rPr>
        <w:t>,</w:t>
      </w:r>
      <w:r w:rsidRPr="00740788">
        <w:rPr>
          <w:rFonts w:ascii="Arial" w:hAnsi="Arial" w:cs="Arial"/>
          <w:sz w:val="20"/>
          <w:szCs w:val="20"/>
        </w:rPr>
        <w:t xml:space="preserve"> is unexpected.</w:t>
      </w:r>
      <w:r w:rsidR="00A60756">
        <w:rPr>
          <w:rFonts w:ascii="Arial" w:hAnsi="Arial" w:cs="Arial"/>
          <w:sz w:val="20"/>
          <w:szCs w:val="20"/>
        </w:rPr>
        <w:t xml:space="preserve"> </w:t>
      </w:r>
      <w:r w:rsidR="00F274CC" w:rsidRPr="00740788">
        <w:rPr>
          <w:rFonts w:ascii="Arial" w:hAnsi="Arial" w:cs="Arial"/>
          <w:sz w:val="20"/>
          <w:szCs w:val="20"/>
        </w:rPr>
        <w:t>Overall, t</w:t>
      </w:r>
      <w:r w:rsidRPr="00740788">
        <w:rPr>
          <w:rFonts w:ascii="Arial" w:hAnsi="Arial" w:cs="Arial"/>
          <w:sz w:val="20"/>
          <w:szCs w:val="20"/>
        </w:rPr>
        <w:t xml:space="preserve">he ATA </w:t>
      </w:r>
      <w:r w:rsidR="003F2DC6" w:rsidRPr="00740788">
        <w:rPr>
          <w:rFonts w:ascii="Arial" w:hAnsi="Arial" w:cs="Arial"/>
          <w:sz w:val="20"/>
          <w:szCs w:val="20"/>
        </w:rPr>
        <w:t xml:space="preserve">original </w:t>
      </w:r>
      <w:r w:rsidRPr="00740788">
        <w:rPr>
          <w:rFonts w:ascii="Arial" w:hAnsi="Arial" w:cs="Arial"/>
          <w:sz w:val="20"/>
          <w:szCs w:val="20"/>
        </w:rPr>
        <w:t>per axle redistribution model is registration revenue neutral</w:t>
      </w:r>
      <w:r w:rsidR="00F274CC" w:rsidRPr="00740788">
        <w:rPr>
          <w:rFonts w:ascii="Arial" w:hAnsi="Arial" w:cs="Arial"/>
          <w:sz w:val="20"/>
          <w:szCs w:val="20"/>
        </w:rPr>
        <w:t xml:space="preserve"> for the jurisdictions,</w:t>
      </w:r>
      <w:r w:rsidRPr="00740788">
        <w:rPr>
          <w:rFonts w:ascii="Arial" w:hAnsi="Arial" w:cs="Arial"/>
          <w:sz w:val="20"/>
          <w:szCs w:val="20"/>
        </w:rPr>
        <w:t xml:space="preserve"> and has no effect on fuel charges.</w:t>
      </w:r>
    </w:p>
    <w:p w:rsidR="00A60756" w:rsidRDefault="00A60756" w:rsidP="00300037">
      <w:pPr>
        <w:spacing w:line="269" w:lineRule="auto"/>
        <w:jc w:val="both"/>
        <w:rPr>
          <w:rFonts w:ascii="Arial" w:hAnsi="Arial" w:cs="Arial"/>
          <w:sz w:val="20"/>
          <w:szCs w:val="20"/>
        </w:rPr>
      </w:pPr>
    </w:p>
    <w:p w:rsidR="00047768" w:rsidRPr="00740788" w:rsidRDefault="00047768" w:rsidP="00300037">
      <w:pPr>
        <w:spacing w:line="269" w:lineRule="auto"/>
        <w:jc w:val="both"/>
        <w:rPr>
          <w:rFonts w:ascii="Arial" w:hAnsi="Arial" w:cs="Arial"/>
          <w:sz w:val="20"/>
          <w:szCs w:val="20"/>
        </w:rPr>
      </w:pPr>
      <w:r w:rsidRPr="00740788">
        <w:rPr>
          <w:rFonts w:ascii="Arial" w:hAnsi="Arial" w:cs="Arial"/>
          <w:sz w:val="20"/>
          <w:szCs w:val="20"/>
        </w:rPr>
        <w:t>On the 28</w:t>
      </w:r>
      <w:r w:rsidRPr="00740788">
        <w:rPr>
          <w:rFonts w:ascii="Arial" w:hAnsi="Arial" w:cs="Arial"/>
          <w:sz w:val="20"/>
          <w:szCs w:val="20"/>
          <w:vertAlign w:val="superscript"/>
        </w:rPr>
        <w:t xml:space="preserve">th </w:t>
      </w:r>
      <w:r w:rsidR="00A60756">
        <w:rPr>
          <w:rFonts w:ascii="Arial" w:hAnsi="Arial" w:cs="Arial"/>
          <w:sz w:val="20"/>
          <w:szCs w:val="20"/>
        </w:rPr>
        <w:t>August 2011 the ATA furnished</w:t>
      </w:r>
      <w:r w:rsidRPr="00740788">
        <w:rPr>
          <w:rFonts w:ascii="Arial" w:hAnsi="Arial" w:cs="Arial"/>
          <w:sz w:val="20"/>
          <w:szCs w:val="20"/>
        </w:rPr>
        <w:t xml:space="preserve"> the NTC with data spreadsheets providing information about the ATA’s model for the </w:t>
      </w:r>
      <w:r w:rsidR="00F274CC" w:rsidRPr="00740788">
        <w:rPr>
          <w:rFonts w:ascii="Arial" w:hAnsi="Arial" w:cs="Arial"/>
          <w:sz w:val="20"/>
          <w:szCs w:val="20"/>
        </w:rPr>
        <w:t>A</w:t>
      </w:r>
      <w:r w:rsidRPr="00740788">
        <w:rPr>
          <w:rFonts w:ascii="Arial" w:hAnsi="Arial" w:cs="Arial"/>
          <w:sz w:val="20"/>
          <w:szCs w:val="20"/>
        </w:rPr>
        <w:t xml:space="preserve">–trailer solution. Some six months </w:t>
      </w:r>
      <w:r w:rsidR="00F274CC" w:rsidRPr="00740788">
        <w:rPr>
          <w:rFonts w:ascii="Arial" w:hAnsi="Arial" w:cs="Arial"/>
          <w:sz w:val="20"/>
          <w:szCs w:val="20"/>
        </w:rPr>
        <w:t>later</w:t>
      </w:r>
      <w:r w:rsidRPr="00740788">
        <w:rPr>
          <w:rFonts w:ascii="Arial" w:hAnsi="Arial" w:cs="Arial"/>
          <w:sz w:val="20"/>
          <w:szCs w:val="20"/>
        </w:rPr>
        <w:t>, on 2</w:t>
      </w:r>
      <w:r w:rsidRPr="00740788">
        <w:rPr>
          <w:rFonts w:ascii="Arial" w:hAnsi="Arial" w:cs="Arial"/>
          <w:sz w:val="20"/>
          <w:szCs w:val="20"/>
          <w:vertAlign w:val="superscript"/>
        </w:rPr>
        <w:t>nd</w:t>
      </w:r>
      <w:r w:rsidRPr="00740788">
        <w:rPr>
          <w:rFonts w:ascii="Arial" w:hAnsi="Arial" w:cs="Arial"/>
          <w:sz w:val="20"/>
          <w:szCs w:val="20"/>
        </w:rPr>
        <w:t xml:space="preserve"> </w:t>
      </w:r>
      <w:r w:rsidR="00F274CC" w:rsidRPr="00740788">
        <w:rPr>
          <w:rFonts w:ascii="Arial" w:hAnsi="Arial" w:cs="Arial"/>
          <w:sz w:val="20"/>
          <w:szCs w:val="20"/>
        </w:rPr>
        <w:t>February</w:t>
      </w:r>
      <w:r w:rsidRPr="00740788">
        <w:rPr>
          <w:rFonts w:ascii="Arial" w:hAnsi="Arial" w:cs="Arial"/>
          <w:sz w:val="20"/>
          <w:szCs w:val="20"/>
        </w:rPr>
        <w:t xml:space="preserve"> 2012, </w:t>
      </w:r>
      <w:r w:rsidR="00E55CC1">
        <w:rPr>
          <w:rFonts w:ascii="Arial" w:hAnsi="Arial" w:cs="Arial"/>
          <w:sz w:val="20"/>
          <w:szCs w:val="20"/>
        </w:rPr>
        <w:t xml:space="preserve">the NTC </w:t>
      </w:r>
      <w:r w:rsidRPr="00740788">
        <w:rPr>
          <w:rFonts w:ascii="Arial" w:hAnsi="Arial" w:cs="Arial"/>
          <w:sz w:val="20"/>
          <w:szCs w:val="20"/>
        </w:rPr>
        <w:t xml:space="preserve">replied </w:t>
      </w:r>
      <w:r w:rsidR="00F274CC" w:rsidRPr="00740788">
        <w:rPr>
          <w:rFonts w:ascii="Arial" w:hAnsi="Arial" w:cs="Arial"/>
          <w:sz w:val="20"/>
          <w:szCs w:val="20"/>
        </w:rPr>
        <w:t>with their findings, even though they had not consulted with us in the meantime in relation to the spreadsheets.</w:t>
      </w:r>
    </w:p>
    <w:p w:rsidR="00047768" w:rsidRPr="00740788" w:rsidRDefault="00047768" w:rsidP="00300037">
      <w:pPr>
        <w:spacing w:line="269" w:lineRule="auto"/>
        <w:jc w:val="both"/>
        <w:rPr>
          <w:rFonts w:ascii="Arial" w:hAnsi="Arial" w:cs="Arial"/>
          <w:sz w:val="20"/>
          <w:szCs w:val="20"/>
        </w:rPr>
      </w:pPr>
    </w:p>
    <w:p w:rsidR="00FE794C" w:rsidRDefault="00E55CC1" w:rsidP="00FE794C">
      <w:pPr>
        <w:spacing w:line="269" w:lineRule="auto"/>
        <w:jc w:val="both"/>
      </w:pPr>
      <w:r>
        <w:rPr>
          <w:rFonts w:ascii="Arial" w:hAnsi="Arial" w:cs="Arial"/>
          <w:sz w:val="20"/>
          <w:szCs w:val="20"/>
        </w:rPr>
        <w:t>The model being used</w:t>
      </w:r>
      <w:r w:rsidR="00D25755" w:rsidRPr="00740788">
        <w:rPr>
          <w:rFonts w:ascii="Arial" w:hAnsi="Arial" w:cs="Arial"/>
          <w:sz w:val="20"/>
          <w:szCs w:val="20"/>
        </w:rPr>
        <w:t xml:space="preserve"> for all calculations is not in any way reflective of the methodology the ATA have used for the per axle charge. This explains to some extent why the numbers are different. </w:t>
      </w:r>
      <w:r w:rsidR="003F2DC6" w:rsidRPr="00740788">
        <w:rPr>
          <w:rFonts w:ascii="Arial" w:hAnsi="Arial" w:cs="Arial"/>
          <w:sz w:val="20"/>
          <w:szCs w:val="20"/>
        </w:rPr>
        <w:t>It also exp</w:t>
      </w:r>
      <w:r>
        <w:rPr>
          <w:rFonts w:ascii="Arial" w:hAnsi="Arial" w:cs="Arial"/>
          <w:sz w:val="20"/>
          <w:szCs w:val="20"/>
        </w:rPr>
        <w:t xml:space="preserve">oses over recovery as the papers </w:t>
      </w:r>
      <w:r w:rsidR="003F2DC6" w:rsidRPr="00740788">
        <w:rPr>
          <w:rFonts w:ascii="Arial" w:hAnsi="Arial" w:cs="Arial"/>
          <w:sz w:val="20"/>
          <w:szCs w:val="20"/>
        </w:rPr>
        <w:t>‘back’ calculation of trailer charges from revenue does not align with forward calculation of the same</w:t>
      </w:r>
      <w:r>
        <w:rPr>
          <w:rFonts w:ascii="Arial" w:hAnsi="Arial" w:cs="Arial"/>
          <w:sz w:val="20"/>
          <w:szCs w:val="20"/>
        </w:rPr>
        <w:t xml:space="preserve"> inputs. In this option the</w:t>
      </w:r>
      <w:r w:rsidR="003F2DC6" w:rsidRPr="00740788">
        <w:rPr>
          <w:rFonts w:ascii="Arial" w:hAnsi="Arial" w:cs="Arial"/>
          <w:sz w:val="20"/>
          <w:szCs w:val="20"/>
        </w:rPr>
        <w:t xml:space="preserve"> calculation exposes $100 million plus of over recovery</w:t>
      </w:r>
      <w:bookmarkStart w:id="10" w:name="_Toc315176347"/>
      <w:r w:rsidR="00FE794C">
        <w:rPr>
          <w:rFonts w:ascii="Arial" w:hAnsi="Arial" w:cs="Arial"/>
          <w:sz w:val="20"/>
          <w:szCs w:val="20"/>
        </w:rPr>
        <w:t>.</w:t>
      </w:r>
    </w:p>
    <w:p w:rsidR="00FE794C" w:rsidRPr="00FE794C" w:rsidRDefault="00FE794C" w:rsidP="00FE794C">
      <w:pPr>
        <w:spacing w:after="200" w:line="276" w:lineRule="auto"/>
      </w:pPr>
      <w:r>
        <w:br w:type="page"/>
      </w:r>
    </w:p>
    <w:p w:rsidR="00617771" w:rsidRPr="00F50321" w:rsidRDefault="00617771" w:rsidP="00300037">
      <w:pPr>
        <w:pStyle w:val="Heading1"/>
        <w:numPr>
          <w:ilvl w:val="0"/>
          <w:numId w:val="15"/>
        </w:numPr>
        <w:spacing w:line="269" w:lineRule="auto"/>
        <w:jc w:val="both"/>
      </w:pPr>
      <w:bookmarkStart w:id="11" w:name="_Toc316396809"/>
      <w:r w:rsidRPr="00F50321">
        <w:lastRenderedPageBreak/>
        <w:t>Option 3- change the split between registration and the road user charge</w:t>
      </w:r>
      <w:bookmarkEnd w:id="10"/>
      <w:bookmarkEnd w:id="11"/>
    </w:p>
    <w:p w:rsidR="00617771" w:rsidRPr="00740788" w:rsidRDefault="00617771" w:rsidP="00300037">
      <w:pPr>
        <w:spacing w:line="269" w:lineRule="auto"/>
        <w:jc w:val="both"/>
        <w:rPr>
          <w:rFonts w:ascii="Arial" w:hAnsi="Arial" w:cs="Arial"/>
          <w:sz w:val="20"/>
          <w:szCs w:val="20"/>
        </w:rPr>
      </w:pPr>
    </w:p>
    <w:p w:rsidR="00AC206F"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 xml:space="preserve">This option recovers more </w:t>
      </w:r>
      <w:r w:rsidR="00047768" w:rsidRPr="00740788">
        <w:rPr>
          <w:rFonts w:ascii="Arial" w:hAnsi="Arial" w:cs="Arial"/>
          <w:sz w:val="20"/>
          <w:szCs w:val="20"/>
        </w:rPr>
        <w:t xml:space="preserve">revenue </w:t>
      </w:r>
      <w:r w:rsidRPr="00740788">
        <w:rPr>
          <w:rFonts w:ascii="Arial" w:hAnsi="Arial" w:cs="Arial"/>
          <w:sz w:val="20"/>
          <w:szCs w:val="20"/>
        </w:rPr>
        <w:t xml:space="preserve">from fuel and less revenue from registration. While industry does favour an increased use of variable charges, the specifics of this option are not attractive to industry. A-trailers are still </w:t>
      </w:r>
      <w:r w:rsidR="003B79FE" w:rsidRPr="00740788">
        <w:rPr>
          <w:rFonts w:ascii="Arial" w:hAnsi="Arial" w:cs="Arial"/>
          <w:sz w:val="20"/>
          <w:szCs w:val="20"/>
        </w:rPr>
        <w:t>not lowered</w:t>
      </w:r>
      <w:r w:rsidRPr="00740788">
        <w:rPr>
          <w:rFonts w:ascii="Arial" w:hAnsi="Arial" w:cs="Arial"/>
          <w:sz w:val="20"/>
          <w:szCs w:val="20"/>
        </w:rPr>
        <w:t xml:space="preserve"> enough</w:t>
      </w:r>
      <w:r w:rsidR="00047768" w:rsidRPr="00740788">
        <w:rPr>
          <w:rFonts w:ascii="Arial" w:hAnsi="Arial" w:cs="Arial"/>
          <w:sz w:val="20"/>
          <w:szCs w:val="20"/>
        </w:rPr>
        <w:t xml:space="preserve"> to have a restraining effect on the decline in their use,</w:t>
      </w:r>
      <w:r w:rsidRPr="00740788">
        <w:rPr>
          <w:rFonts w:ascii="Arial" w:hAnsi="Arial" w:cs="Arial"/>
          <w:sz w:val="20"/>
          <w:szCs w:val="20"/>
        </w:rPr>
        <w:t xml:space="preserve"> with only a $2,087 registration reduction for B-doubles.  The methodology is limited by using a single fuel amou</w:t>
      </w:r>
      <w:r w:rsidR="002C0C31">
        <w:rPr>
          <w:rFonts w:ascii="Arial" w:hAnsi="Arial" w:cs="Arial"/>
          <w:sz w:val="20"/>
          <w:szCs w:val="20"/>
        </w:rPr>
        <w:t>nt (RUC) and suggesting</w:t>
      </w:r>
      <w:r w:rsidR="00047768" w:rsidRPr="00740788">
        <w:rPr>
          <w:rFonts w:ascii="Arial" w:hAnsi="Arial" w:cs="Arial"/>
          <w:sz w:val="20"/>
          <w:szCs w:val="20"/>
        </w:rPr>
        <w:t xml:space="preserve"> that</w:t>
      </w:r>
      <w:r w:rsidRPr="00740788">
        <w:rPr>
          <w:rFonts w:ascii="Arial" w:hAnsi="Arial" w:cs="Arial"/>
          <w:sz w:val="20"/>
          <w:szCs w:val="20"/>
        </w:rPr>
        <w:t xml:space="preserve"> light rigid truck registrations cannot be reduced. Problems arise over the distribution of revenue between States and Commonwealth. The RUC increase with this option is </w:t>
      </w:r>
      <w:r w:rsidR="00DA60B6" w:rsidRPr="00740788">
        <w:rPr>
          <w:rFonts w:ascii="Arial" w:hAnsi="Arial" w:cs="Arial"/>
          <w:sz w:val="20"/>
          <w:szCs w:val="20"/>
        </w:rPr>
        <w:t>considerable</w:t>
      </w:r>
      <w:r w:rsidRPr="00740788">
        <w:rPr>
          <w:rFonts w:ascii="Arial" w:hAnsi="Arial" w:cs="Arial"/>
          <w:sz w:val="20"/>
          <w:szCs w:val="20"/>
        </w:rPr>
        <w:t xml:space="preserve"> and net-over recovery increases.</w:t>
      </w:r>
    </w:p>
    <w:p w:rsidR="00617771" w:rsidRPr="00740788" w:rsidRDefault="00617771" w:rsidP="00300037">
      <w:pPr>
        <w:spacing w:line="269" w:lineRule="auto"/>
        <w:jc w:val="both"/>
        <w:rPr>
          <w:rFonts w:ascii="Arial" w:hAnsi="Arial" w:cs="Arial"/>
          <w:sz w:val="20"/>
          <w:szCs w:val="20"/>
        </w:rPr>
      </w:pPr>
    </w:p>
    <w:p w:rsidR="00617771" w:rsidRPr="00F50321" w:rsidRDefault="00617771" w:rsidP="00300037">
      <w:pPr>
        <w:pStyle w:val="Heading1"/>
        <w:numPr>
          <w:ilvl w:val="0"/>
          <w:numId w:val="15"/>
        </w:numPr>
        <w:spacing w:line="269" w:lineRule="auto"/>
        <w:jc w:val="both"/>
      </w:pPr>
      <w:bookmarkStart w:id="12" w:name="_Toc315176348"/>
      <w:bookmarkStart w:id="13" w:name="_Toc316396810"/>
      <w:r w:rsidRPr="00F50321">
        <w:t>Option 4 – update ESAs, B-triple discount, and increased RUC</w:t>
      </w:r>
      <w:bookmarkEnd w:id="12"/>
      <w:bookmarkEnd w:id="13"/>
    </w:p>
    <w:p w:rsidR="00617771" w:rsidRPr="00740788" w:rsidRDefault="00617771" w:rsidP="00300037">
      <w:pPr>
        <w:spacing w:line="269" w:lineRule="auto"/>
        <w:jc w:val="both"/>
        <w:rPr>
          <w:rFonts w:ascii="Arial" w:hAnsi="Arial" w:cs="Arial"/>
          <w:sz w:val="20"/>
          <w:szCs w:val="20"/>
        </w:rPr>
      </w:pPr>
    </w:p>
    <w:p w:rsidR="00617771" w:rsidRPr="00740788" w:rsidRDefault="00617771" w:rsidP="00300037">
      <w:pPr>
        <w:spacing w:line="269" w:lineRule="auto"/>
        <w:jc w:val="both"/>
        <w:rPr>
          <w:rFonts w:ascii="Arial" w:hAnsi="Arial" w:cs="Arial"/>
          <w:sz w:val="20"/>
          <w:szCs w:val="20"/>
        </w:rPr>
      </w:pPr>
      <w:r w:rsidRPr="00740788">
        <w:rPr>
          <w:rFonts w:ascii="Arial" w:hAnsi="Arial" w:cs="Arial"/>
          <w:sz w:val="20"/>
          <w:szCs w:val="20"/>
        </w:rPr>
        <w:t>This option is</w:t>
      </w:r>
      <w:r w:rsidR="00A60756">
        <w:rPr>
          <w:rFonts w:ascii="Arial" w:hAnsi="Arial" w:cs="Arial"/>
          <w:sz w:val="20"/>
          <w:szCs w:val="20"/>
        </w:rPr>
        <w:t xml:space="preserve"> a combination of various measures to address the A-trailer problem. </w:t>
      </w:r>
      <w:r w:rsidRPr="00740788">
        <w:rPr>
          <w:rFonts w:ascii="Arial" w:hAnsi="Arial" w:cs="Arial"/>
          <w:sz w:val="20"/>
          <w:szCs w:val="20"/>
        </w:rPr>
        <w:t>The B-triple discounts are not explained</w:t>
      </w:r>
      <w:r w:rsidR="00047768" w:rsidRPr="00740788">
        <w:rPr>
          <w:rFonts w:ascii="Arial" w:hAnsi="Arial" w:cs="Arial"/>
          <w:sz w:val="20"/>
          <w:szCs w:val="20"/>
        </w:rPr>
        <w:t xml:space="preserve">, and it implies </w:t>
      </w:r>
      <w:r w:rsidRPr="00740788">
        <w:rPr>
          <w:rFonts w:ascii="Arial" w:hAnsi="Arial" w:cs="Arial"/>
          <w:sz w:val="20"/>
          <w:szCs w:val="20"/>
        </w:rPr>
        <w:t>there will b</w:t>
      </w:r>
      <w:r w:rsidR="00047768" w:rsidRPr="00740788">
        <w:rPr>
          <w:rFonts w:ascii="Arial" w:hAnsi="Arial" w:cs="Arial"/>
          <w:sz w:val="20"/>
          <w:szCs w:val="20"/>
        </w:rPr>
        <w:t>e a different registration rate</w:t>
      </w:r>
      <w:r w:rsidRPr="00740788">
        <w:rPr>
          <w:rFonts w:ascii="Arial" w:hAnsi="Arial" w:cs="Arial"/>
          <w:sz w:val="20"/>
          <w:szCs w:val="20"/>
        </w:rPr>
        <w:t xml:space="preserve"> for each A-trailer in a B-triple. This complicated method of charging would affect industry and regulators. Industry needs more information on this option and its implications before it could be supported.</w:t>
      </w:r>
    </w:p>
    <w:p w:rsidR="000969DD" w:rsidRDefault="000969DD" w:rsidP="00300037">
      <w:pPr>
        <w:spacing w:line="269" w:lineRule="auto"/>
        <w:jc w:val="both"/>
        <w:rPr>
          <w:rFonts w:ascii="Arial" w:hAnsi="Arial" w:cs="Arial"/>
          <w:sz w:val="20"/>
          <w:szCs w:val="20"/>
        </w:rPr>
      </w:pPr>
    </w:p>
    <w:p w:rsidR="00FE794C" w:rsidRPr="00740788" w:rsidRDefault="00FE794C" w:rsidP="00300037">
      <w:pPr>
        <w:spacing w:line="269" w:lineRule="auto"/>
        <w:jc w:val="both"/>
        <w:rPr>
          <w:rFonts w:ascii="Arial" w:hAnsi="Arial" w:cs="Arial"/>
          <w:sz w:val="20"/>
          <w:szCs w:val="20"/>
        </w:rPr>
      </w:pPr>
    </w:p>
    <w:p w:rsidR="002E0FF1" w:rsidRPr="00F50321" w:rsidRDefault="00AC206F" w:rsidP="00300037">
      <w:pPr>
        <w:pStyle w:val="Heading1"/>
        <w:spacing w:line="269" w:lineRule="auto"/>
        <w:jc w:val="both"/>
      </w:pPr>
      <w:bookmarkStart w:id="14" w:name="_Toc316396811"/>
      <w:r w:rsidRPr="00F50321">
        <w:t>The charges</w:t>
      </w:r>
      <w:bookmarkEnd w:id="14"/>
    </w:p>
    <w:p w:rsidR="002E0FF1" w:rsidRPr="00740788" w:rsidRDefault="002E0FF1" w:rsidP="00300037">
      <w:pPr>
        <w:spacing w:line="269" w:lineRule="auto"/>
        <w:jc w:val="both"/>
        <w:rPr>
          <w:rFonts w:ascii="Arial" w:hAnsi="Arial" w:cs="Arial"/>
          <w:sz w:val="20"/>
          <w:szCs w:val="20"/>
        </w:rPr>
      </w:pPr>
    </w:p>
    <w:p w:rsidR="00C4602C" w:rsidRPr="00740788" w:rsidRDefault="00AC206F" w:rsidP="00300037">
      <w:pPr>
        <w:spacing w:line="269" w:lineRule="auto"/>
        <w:jc w:val="both"/>
        <w:rPr>
          <w:rFonts w:ascii="Arial" w:hAnsi="Arial" w:cs="Arial"/>
          <w:sz w:val="20"/>
          <w:szCs w:val="20"/>
        </w:rPr>
      </w:pPr>
      <w:r w:rsidRPr="00740788">
        <w:rPr>
          <w:rFonts w:ascii="Arial" w:hAnsi="Arial" w:cs="Arial"/>
          <w:sz w:val="20"/>
          <w:szCs w:val="20"/>
        </w:rPr>
        <w:t>Little support for any of the charges can be made</w:t>
      </w:r>
      <w:r w:rsidR="003B79FE" w:rsidRPr="00740788">
        <w:rPr>
          <w:rFonts w:ascii="Arial" w:hAnsi="Arial" w:cs="Arial"/>
          <w:sz w:val="20"/>
          <w:szCs w:val="20"/>
        </w:rPr>
        <w:t>,</w:t>
      </w:r>
      <w:r w:rsidRPr="00740788">
        <w:rPr>
          <w:rFonts w:ascii="Arial" w:hAnsi="Arial" w:cs="Arial"/>
          <w:sz w:val="20"/>
          <w:szCs w:val="20"/>
        </w:rPr>
        <w:t xml:space="preserve"> as industry is not allowed, as a matter of </w:t>
      </w:r>
      <w:r w:rsidR="001971A3">
        <w:rPr>
          <w:rFonts w:ascii="Arial" w:hAnsi="Arial" w:cs="Arial"/>
          <w:sz w:val="20"/>
          <w:szCs w:val="20"/>
        </w:rPr>
        <w:t xml:space="preserve">NTC </w:t>
      </w:r>
      <w:r w:rsidRPr="00740788">
        <w:rPr>
          <w:rFonts w:ascii="Arial" w:hAnsi="Arial" w:cs="Arial"/>
          <w:sz w:val="20"/>
          <w:szCs w:val="20"/>
        </w:rPr>
        <w:t>pol</w:t>
      </w:r>
      <w:r w:rsidR="0061611C" w:rsidRPr="00740788">
        <w:rPr>
          <w:rFonts w:ascii="Arial" w:hAnsi="Arial" w:cs="Arial"/>
          <w:sz w:val="20"/>
          <w:szCs w:val="20"/>
        </w:rPr>
        <w:t>icy, to be provided with a copy of the models</w:t>
      </w:r>
      <w:r w:rsidR="00047768" w:rsidRPr="00740788">
        <w:rPr>
          <w:rFonts w:ascii="Arial" w:hAnsi="Arial" w:cs="Arial"/>
          <w:sz w:val="20"/>
          <w:szCs w:val="20"/>
        </w:rPr>
        <w:t xml:space="preserve"> workings, meaning w</w:t>
      </w:r>
      <w:r w:rsidRPr="00740788">
        <w:rPr>
          <w:rFonts w:ascii="Arial" w:hAnsi="Arial" w:cs="Arial"/>
          <w:sz w:val="20"/>
          <w:szCs w:val="20"/>
        </w:rPr>
        <w:t xml:space="preserve">e </w:t>
      </w:r>
      <w:r w:rsidR="003B79FE" w:rsidRPr="00740788">
        <w:rPr>
          <w:rFonts w:ascii="Arial" w:hAnsi="Arial" w:cs="Arial"/>
          <w:sz w:val="20"/>
          <w:szCs w:val="20"/>
        </w:rPr>
        <w:t>are unable to</w:t>
      </w:r>
      <w:r w:rsidR="00E54FFF" w:rsidRPr="00740788">
        <w:rPr>
          <w:rFonts w:ascii="Arial" w:hAnsi="Arial" w:cs="Arial"/>
          <w:sz w:val="20"/>
          <w:szCs w:val="20"/>
        </w:rPr>
        <w:t xml:space="preserve"> make</w:t>
      </w:r>
      <w:r w:rsidR="003B79FE" w:rsidRPr="00740788">
        <w:rPr>
          <w:rFonts w:ascii="Arial" w:hAnsi="Arial" w:cs="Arial"/>
          <w:sz w:val="20"/>
          <w:szCs w:val="20"/>
        </w:rPr>
        <w:t xml:space="preserve"> robust</w:t>
      </w:r>
      <w:r w:rsidR="00E54FFF" w:rsidRPr="00740788">
        <w:rPr>
          <w:rFonts w:ascii="Arial" w:hAnsi="Arial" w:cs="Arial"/>
          <w:sz w:val="20"/>
          <w:szCs w:val="20"/>
        </w:rPr>
        <w:t xml:space="preserve"> conclusions</w:t>
      </w:r>
      <w:r w:rsidR="00C309A9">
        <w:rPr>
          <w:rFonts w:ascii="Arial" w:hAnsi="Arial" w:cs="Arial"/>
          <w:sz w:val="20"/>
          <w:szCs w:val="20"/>
        </w:rPr>
        <w:t xml:space="preserve"> as to</w:t>
      </w:r>
      <w:r w:rsidRPr="00740788">
        <w:rPr>
          <w:rFonts w:ascii="Arial" w:hAnsi="Arial" w:cs="Arial"/>
          <w:sz w:val="20"/>
          <w:szCs w:val="20"/>
        </w:rPr>
        <w:t xml:space="preserve"> the numbers </w:t>
      </w:r>
      <w:r w:rsidR="003B79FE" w:rsidRPr="00740788">
        <w:rPr>
          <w:rFonts w:ascii="Arial" w:hAnsi="Arial" w:cs="Arial"/>
          <w:sz w:val="20"/>
          <w:szCs w:val="20"/>
        </w:rPr>
        <w:t xml:space="preserve">provided. </w:t>
      </w:r>
      <w:r w:rsidRPr="00740788">
        <w:rPr>
          <w:rFonts w:ascii="Arial" w:hAnsi="Arial" w:cs="Arial"/>
          <w:sz w:val="20"/>
          <w:szCs w:val="20"/>
        </w:rPr>
        <w:t>No thorough analysis of the options is provided in the paper, making deeper examinat</w:t>
      </w:r>
      <w:r w:rsidR="007D1B42" w:rsidRPr="00740788">
        <w:rPr>
          <w:rFonts w:ascii="Arial" w:hAnsi="Arial" w:cs="Arial"/>
          <w:sz w:val="20"/>
          <w:szCs w:val="20"/>
        </w:rPr>
        <w:t>ion of the numbers a necessity. H</w:t>
      </w:r>
      <w:r w:rsidRPr="00740788">
        <w:rPr>
          <w:rFonts w:ascii="Arial" w:hAnsi="Arial" w:cs="Arial"/>
          <w:sz w:val="20"/>
          <w:szCs w:val="20"/>
        </w:rPr>
        <w:t>owever, the numbers provided a</w:t>
      </w:r>
      <w:r w:rsidR="002C0C31">
        <w:rPr>
          <w:rFonts w:ascii="Arial" w:hAnsi="Arial" w:cs="Arial"/>
          <w:sz w:val="20"/>
          <w:szCs w:val="20"/>
        </w:rPr>
        <w:t>re</w:t>
      </w:r>
      <w:r w:rsidRPr="00740788">
        <w:rPr>
          <w:rFonts w:ascii="Arial" w:hAnsi="Arial" w:cs="Arial"/>
          <w:sz w:val="20"/>
          <w:szCs w:val="20"/>
        </w:rPr>
        <w:t xml:space="preserve"> not su</w:t>
      </w:r>
      <w:r w:rsidR="00E54FFF" w:rsidRPr="00740788">
        <w:rPr>
          <w:rFonts w:ascii="Arial" w:hAnsi="Arial" w:cs="Arial"/>
          <w:sz w:val="20"/>
          <w:szCs w:val="20"/>
        </w:rPr>
        <w:t>pposed to be viewed as final</w:t>
      </w:r>
      <w:r w:rsidRPr="00740788">
        <w:rPr>
          <w:rFonts w:ascii="Arial" w:hAnsi="Arial" w:cs="Arial"/>
          <w:sz w:val="20"/>
          <w:szCs w:val="20"/>
        </w:rPr>
        <w:t>.</w:t>
      </w:r>
      <w:r w:rsidR="00E54FFF" w:rsidRPr="00740788">
        <w:rPr>
          <w:rFonts w:ascii="Arial" w:hAnsi="Arial" w:cs="Arial"/>
          <w:sz w:val="20"/>
          <w:szCs w:val="20"/>
        </w:rPr>
        <w:t xml:space="preserve"> </w:t>
      </w:r>
      <w:r w:rsidR="002C0C31">
        <w:rPr>
          <w:rFonts w:ascii="Arial" w:hAnsi="Arial" w:cs="Arial"/>
          <w:sz w:val="20"/>
          <w:szCs w:val="20"/>
        </w:rPr>
        <w:t>We have no</w:t>
      </w:r>
      <w:r w:rsidR="00E54FFF" w:rsidRPr="00740788">
        <w:rPr>
          <w:rFonts w:ascii="Arial" w:hAnsi="Arial" w:cs="Arial"/>
          <w:sz w:val="20"/>
          <w:szCs w:val="20"/>
        </w:rPr>
        <w:t xml:space="preserve"> confirmation that these are the final numbers to be presented to SCOTI.</w:t>
      </w:r>
    </w:p>
    <w:p w:rsidR="00FE432B" w:rsidRPr="00740788" w:rsidRDefault="00FE432B" w:rsidP="00300037">
      <w:pPr>
        <w:spacing w:line="269" w:lineRule="auto"/>
        <w:jc w:val="both"/>
        <w:rPr>
          <w:rFonts w:ascii="Arial" w:hAnsi="Arial" w:cs="Arial"/>
          <w:sz w:val="20"/>
          <w:szCs w:val="20"/>
          <w:u w:val="single"/>
        </w:rPr>
      </w:pPr>
    </w:p>
    <w:p w:rsidR="00FE432B" w:rsidRPr="00740788" w:rsidRDefault="00FE432B" w:rsidP="00300037">
      <w:pPr>
        <w:spacing w:line="269" w:lineRule="auto"/>
        <w:jc w:val="both"/>
        <w:rPr>
          <w:rFonts w:ascii="Arial" w:hAnsi="Arial" w:cs="Arial"/>
          <w:sz w:val="20"/>
          <w:szCs w:val="20"/>
        </w:rPr>
      </w:pPr>
      <w:r w:rsidRPr="00740788">
        <w:rPr>
          <w:rFonts w:ascii="Arial" w:hAnsi="Arial" w:cs="Arial"/>
          <w:sz w:val="20"/>
          <w:szCs w:val="20"/>
        </w:rPr>
        <w:t>Note: The 4 options reviewed below are respon</w:t>
      </w:r>
      <w:r w:rsidR="004A189D" w:rsidRPr="00740788">
        <w:rPr>
          <w:rFonts w:ascii="Arial" w:hAnsi="Arial" w:cs="Arial"/>
          <w:sz w:val="20"/>
          <w:szCs w:val="20"/>
        </w:rPr>
        <w:t>ding to the published paper not t</w:t>
      </w:r>
      <w:r w:rsidRPr="00740788">
        <w:rPr>
          <w:rFonts w:ascii="Arial" w:hAnsi="Arial" w:cs="Arial"/>
          <w:sz w:val="20"/>
          <w:szCs w:val="20"/>
        </w:rPr>
        <w:t>h</w:t>
      </w:r>
      <w:r w:rsidR="004A189D" w:rsidRPr="00740788">
        <w:rPr>
          <w:rFonts w:ascii="Arial" w:hAnsi="Arial" w:cs="Arial"/>
          <w:sz w:val="20"/>
          <w:szCs w:val="20"/>
        </w:rPr>
        <w:t>e</w:t>
      </w:r>
      <w:r w:rsidRPr="00740788">
        <w:rPr>
          <w:rFonts w:ascii="Arial" w:hAnsi="Arial" w:cs="Arial"/>
          <w:sz w:val="20"/>
          <w:szCs w:val="20"/>
        </w:rPr>
        <w:t xml:space="preserve"> 3</w:t>
      </w:r>
      <w:r w:rsidR="00C309A9">
        <w:rPr>
          <w:rFonts w:ascii="Arial" w:hAnsi="Arial" w:cs="Arial"/>
          <w:sz w:val="20"/>
          <w:szCs w:val="20"/>
        </w:rPr>
        <w:t xml:space="preserve">0 January 2012 </w:t>
      </w:r>
      <w:r w:rsidR="004A189D" w:rsidRPr="00740788">
        <w:rPr>
          <w:rFonts w:ascii="Arial" w:hAnsi="Arial" w:cs="Arial"/>
          <w:sz w:val="20"/>
          <w:szCs w:val="20"/>
        </w:rPr>
        <w:t xml:space="preserve">recalculation results. However, the principles </w:t>
      </w:r>
      <w:r w:rsidR="00C309A9">
        <w:rPr>
          <w:rFonts w:ascii="Arial" w:hAnsi="Arial" w:cs="Arial"/>
          <w:sz w:val="20"/>
          <w:szCs w:val="20"/>
        </w:rPr>
        <w:t xml:space="preserve">of our finding </w:t>
      </w:r>
      <w:r w:rsidR="004A189D" w:rsidRPr="00740788">
        <w:rPr>
          <w:rFonts w:ascii="Arial" w:hAnsi="Arial" w:cs="Arial"/>
          <w:sz w:val="20"/>
          <w:szCs w:val="20"/>
        </w:rPr>
        <w:t>are still valid.</w:t>
      </w:r>
    </w:p>
    <w:p w:rsidR="00FE432B" w:rsidRPr="00740788" w:rsidRDefault="00FE432B" w:rsidP="00300037">
      <w:pPr>
        <w:spacing w:line="269" w:lineRule="auto"/>
        <w:jc w:val="both"/>
        <w:rPr>
          <w:rFonts w:ascii="Arial" w:hAnsi="Arial" w:cs="Arial"/>
          <w:sz w:val="20"/>
          <w:szCs w:val="20"/>
          <w:u w:val="single"/>
        </w:rPr>
      </w:pPr>
    </w:p>
    <w:p w:rsidR="00E73AE2" w:rsidRPr="00740788" w:rsidRDefault="002F29F2" w:rsidP="00300037">
      <w:pPr>
        <w:spacing w:line="269" w:lineRule="auto"/>
        <w:jc w:val="both"/>
        <w:rPr>
          <w:rFonts w:ascii="Arial" w:hAnsi="Arial" w:cs="Arial"/>
          <w:sz w:val="20"/>
          <w:szCs w:val="20"/>
          <w:u w:val="single"/>
        </w:rPr>
      </w:pPr>
      <w:r w:rsidRPr="00740788">
        <w:rPr>
          <w:rFonts w:ascii="Arial" w:hAnsi="Arial" w:cs="Arial"/>
          <w:sz w:val="20"/>
          <w:szCs w:val="20"/>
          <w:u w:val="single"/>
        </w:rPr>
        <w:t xml:space="preserve">Option </w:t>
      </w:r>
      <w:r w:rsidR="0093312C" w:rsidRPr="00740788">
        <w:rPr>
          <w:rFonts w:ascii="Arial" w:hAnsi="Arial" w:cs="Arial"/>
          <w:sz w:val="20"/>
          <w:szCs w:val="20"/>
          <w:u w:val="single"/>
        </w:rPr>
        <w:t>1</w:t>
      </w:r>
    </w:p>
    <w:p w:rsidR="00A60756" w:rsidRDefault="00AC206F" w:rsidP="00300037">
      <w:pPr>
        <w:spacing w:line="269" w:lineRule="auto"/>
        <w:jc w:val="both"/>
        <w:rPr>
          <w:rFonts w:ascii="Arial" w:hAnsi="Arial" w:cs="Arial"/>
          <w:sz w:val="20"/>
          <w:szCs w:val="20"/>
        </w:rPr>
      </w:pPr>
      <w:r w:rsidRPr="00740788">
        <w:rPr>
          <w:rFonts w:ascii="Arial" w:hAnsi="Arial" w:cs="Arial"/>
          <w:sz w:val="20"/>
          <w:szCs w:val="20"/>
        </w:rPr>
        <w:t xml:space="preserve">Considerable increases </w:t>
      </w:r>
      <w:r w:rsidR="00D91B8D" w:rsidRPr="00740788">
        <w:rPr>
          <w:rFonts w:ascii="Arial" w:hAnsi="Arial" w:cs="Arial"/>
          <w:sz w:val="20"/>
          <w:szCs w:val="20"/>
        </w:rPr>
        <w:t xml:space="preserve">in registration </w:t>
      </w:r>
      <w:r w:rsidRPr="00740788">
        <w:rPr>
          <w:rFonts w:ascii="Arial" w:hAnsi="Arial" w:cs="Arial"/>
          <w:sz w:val="20"/>
          <w:szCs w:val="20"/>
        </w:rPr>
        <w:t>will be felt i</w:t>
      </w:r>
      <w:r w:rsidR="004A189D" w:rsidRPr="00740788">
        <w:rPr>
          <w:rFonts w:ascii="Arial" w:hAnsi="Arial" w:cs="Arial"/>
          <w:sz w:val="20"/>
          <w:szCs w:val="20"/>
        </w:rPr>
        <w:t>n the rigid truck component of</w:t>
      </w:r>
      <w:r w:rsidRPr="00740788">
        <w:rPr>
          <w:rFonts w:ascii="Arial" w:hAnsi="Arial" w:cs="Arial"/>
          <w:sz w:val="20"/>
          <w:szCs w:val="20"/>
        </w:rPr>
        <w:t xml:space="preserve"> industry, reflecting the adjusted ESA figures</w:t>
      </w:r>
      <w:r w:rsidR="00D91B8D" w:rsidRPr="00740788">
        <w:rPr>
          <w:rFonts w:ascii="Arial" w:hAnsi="Arial" w:cs="Arial"/>
          <w:sz w:val="20"/>
          <w:szCs w:val="20"/>
        </w:rPr>
        <w:t>. For</w:t>
      </w:r>
      <w:r w:rsidRPr="00740788">
        <w:rPr>
          <w:rFonts w:ascii="Arial" w:hAnsi="Arial" w:cs="Arial"/>
          <w:sz w:val="20"/>
          <w:szCs w:val="20"/>
        </w:rPr>
        <w:t xml:space="preserve"> a 4 axle rigid truck GVM &gt;25 tonne </w:t>
      </w:r>
      <w:r w:rsidR="00D91B8D" w:rsidRPr="00740788">
        <w:rPr>
          <w:rFonts w:ascii="Arial" w:hAnsi="Arial" w:cs="Arial"/>
          <w:sz w:val="20"/>
          <w:szCs w:val="20"/>
        </w:rPr>
        <w:t>registration charge will increase by</w:t>
      </w:r>
      <w:r w:rsidRPr="00740788">
        <w:rPr>
          <w:rFonts w:ascii="Arial" w:hAnsi="Arial" w:cs="Arial"/>
          <w:sz w:val="20"/>
          <w:szCs w:val="20"/>
        </w:rPr>
        <w:t xml:space="preserve"> $1846. </w:t>
      </w:r>
    </w:p>
    <w:p w:rsidR="00AC206F" w:rsidRPr="00740788" w:rsidRDefault="00AC206F" w:rsidP="00300037">
      <w:pPr>
        <w:spacing w:line="269" w:lineRule="auto"/>
        <w:jc w:val="both"/>
        <w:rPr>
          <w:rFonts w:ascii="Arial" w:hAnsi="Arial" w:cs="Arial"/>
          <w:sz w:val="20"/>
          <w:szCs w:val="20"/>
        </w:rPr>
      </w:pPr>
      <w:r w:rsidRPr="00740788">
        <w:rPr>
          <w:rFonts w:ascii="Arial" w:hAnsi="Arial" w:cs="Arial"/>
          <w:sz w:val="20"/>
          <w:szCs w:val="20"/>
        </w:rPr>
        <w:t>However the 4 Axle rigid trucks with GVM &gt;25 &lt;42.5 tonne</w:t>
      </w:r>
      <w:r w:rsidR="00D91B8D" w:rsidRPr="00740788">
        <w:rPr>
          <w:rFonts w:ascii="Arial" w:hAnsi="Arial" w:cs="Arial"/>
          <w:sz w:val="20"/>
          <w:szCs w:val="20"/>
        </w:rPr>
        <w:t xml:space="preserve"> will lower the registration charge by </w:t>
      </w:r>
      <w:r w:rsidRPr="00740788">
        <w:rPr>
          <w:rFonts w:ascii="Arial" w:hAnsi="Arial" w:cs="Arial"/>
          <w:sz w:val="20"/>
          <w:szCs w:val="20"/>
        </w:rPr>
        <w:t xml:space="preserve">$2 from the status quo. </w:t>
      </w:r>
    </w:p>
    <w:p w:rsidR="00AC206F" w:rsidRPr="00740788" w:rsidRDefault="00AC206F" w:rsidP="00300037">
      <w:pPr>
        <w:spacing w:line="269" w:lineRule="auto"/>
        <w:jc w:val="both"/>
        <w:rPr>
          <w:rFonts w:ascii="Arial" w:hAnsi="Arial" w:cs="Arial"/>
          <w:sz w:val="20"/>
          <w:szCs w:val="20"/>
        </w:rPr>
      </w:pPr>
    </w:p>
    <w:p w:rsidR="00AC206F" w:rsidRPr="00740788" w:rsidRDefault="00AC206F" w:rsidP="00300037">
      <w:pPr>
        <w:spacing w:line="269" w:lineRule="auto"/>
        <w:jc w:val="both"/>
        <w:rPr>
          <w:rFonts w:ascii="Arial" w:hAnsi="Arial" w:cs="Arial"/>
          <w:sz w:val="20"/>
          <w:szCs w:val="20"/>
        </w:rPr>
      </w:pPr>
      <w:r w:rsidRPr="00740788">
        <w:rPr>
          <w:rFonts w:ascii="Arial" w:hAnsi="Arial" w:cs="Arial"/>
          <w:sz w:val="20"/>
          <w:szCs w:val="20"/>
        </w:rPr>
        <w:t>The reduction in A-trailers is sm</w:t>
      </w:r>
      <w:r w:rsidR="00A60756">
        <w:rPr>
          <w:rFonts w:ascii="Arial" w:hAnsi="Arial" w:cs="Arial"/>
          <w:sz w:val="20"/>
          <w:szCs w:val="20"/>
        </w:rPr>
        <w:t>all. F</w:t>
      </w:r>
      <w:r w:rsidRPr="00740788">
        <w:rPr>
          <w:rFonts w:ascii="Arial" w:hAnsi="Arial" w:cs="Arial"/>
          <w:sz w:val="20"/>
          <w:szCs w:val="20"/>
        </w:rPr>
        <w:t>or a B-double the reduction is only $1,283, equivalent to just over a third of how much the registra</w:t>
      </w:r>
      <w:r w:rsidR="00A60756">
        <w:rPr>
          <w:rFonts w:ascii="Arial" w:hAnsi="Arial" w:cs="Arial"/>
          <w:sz w:val="20"/>
          <w:szCs w:val="20"/>
        </w:rPr>
        <w:t>tion charge increased from 2009-10 and 2010-</w:t>
      </w:r>
      <w:r w:rsidRPr="00740788">
        <w:rPr>
          <w:rFonts w:ascii="Arial" w:hAnsi="Arial" w:cs="Arial"/>
          <w:sz w:val="20"/>
          <w:szCs w:val="20"/>
        </w:rPr>
        <w:t>11 charges.</w:t>
      </w:r>
    </w:p>
    <w:p w:rsidR="00A60756" w:rsidRDefault="00A60756" w:rsidP="00300037">
      <w:pPr>
        <w:spacing w:line="269" w:lineRule="auto"/>
        <w:jc w:val="both"/>
        <w:rPr>
          <w:rFonts w:ascii="Arial" w:hAnsi="Arial" w:cs="Arial"/>
          <w:sz w:val="20"/>
          <w:szCs w:val="20"/>
        </w:rPr>
      </w:pPr>
      <w:r>
        <w:rPr>
          <w:rFonts w:ascii="Arial" w:hAnsi="Arial" w:cs="Arial"/>
          <w:sz w:val="20"/>
          <w:szCs w:val="20"/>
        </w:rPr>
        <w:t xml:space="preserve"> </w:t>
      </w:r>
    </w:p>
    <w:p w:rsidR="00AC206F" w:rsidRPr="00740788" w:rsidRDefault="00AC206F" w:rsidP="00300037">
      <w:pPr>
        <w:spacing w:line="269" w:lineRule="auto"/>
        <w:jc w:val="both"/>
        <w:rPr>
          <w:rFonts w:ascii="Arial" w:hAnsi="Arial" w:cs="Arial"/>
          <w:sz w:val="20"/>
          <w:szCs w:val="20"/>
        </w:rPr>
      </w:pPr>
      <w:r w:rsidRPr="00740788">
        <w:rPr>
          <w:rFonts w:ascii="Arial" w:hAnsi="Arial" w:cs="Arial"/>
          <w:sz w:val="20"/>
          <w:szCs w:val="20"/>
        </w:rPr>
        <w:t xml:space="preserve">The road user charge is lowered from the 5.4% adjusted status quo in </w:t>
      </w:r>
      <w:r w:rsidR="0061611C" w:rsidRPr="00740788">
        <w:rPr>
          <w:rFonts w:ascii="Arial" w:hAnsi="Arial" w:cs="Arial"/>
          <w:sz w:val="20"/>
          <w:szCs w:val="20"/>
        </w:rPr>
        <w:t xml:space="preserve">scenario </w:t>
      </w:r>
      <w:proofErr w:type="gramStart"/>
      <w:r w:rsidR="0061611C" w:rsidRPr="00740788">
        <w:rPr>
          <w:rFonts w:ascii="Arial" w:hAnsi="Arial" w:cs="Arial"/>
          <w:sz w:val="20"/>
          <w:szCs w:val="20"/>
        </w:rPr>
        <w:t>A</w:t>
      </w:r>
      <w:proofErr w:type="gramEnd"/>
      <w:r w:rsidR="0061611C" w:rsidRPr="00740788">
        <w:rPr>
          <w:rFonts w:ascii="Arial" w:hAnsi="Arial" w:cs="Arial"/>
          <w:sz w:val="20"/>
          <w:szCs w:val="20"/>
        </w:rPr>
        <w:t xml:space="preserve"> but increased in scenario</w:t>
      </w:r>
      <w:r w:rsidRPr="00740788">
        <w:rPr>
          <w:rFonts w:ascii="Arial" w:hAnsi="Arial" w:cs="Arial"/>
          <w:sz w:val="20"/>
          <w:szCs w:val="20"/>
        </w:rPr>
        <w:t xml:space="preserve"> B. The report states that the increase in </w:t>
      </w:r>
      <w:r w:rsidR="0061611C" w:rsidRPr="00740788">
        <w:rPr>
          <w:rFonts w:ascii="Arial" w:hAnsi="Arial" w:cs="Arial"/>
          <w:sz w:val="20"/>
          <w:szCs w:val="20"/>
        </w:rPr>
        <w:t xml:space="preserve">scenario </w:t>
      </w:r>
      <w:r w:rsidRPr="00740788">
        <w:rPr>
          <w:rFonts w:ascii="Arial" w:hAnsi="Arial" w:cs="Arial"/>
          <w:sz w:val="20"/>
          <w:szCs w:val="20"/>
        </w:rPr>
        <w:t>B is to balance out the reduced registration revenue. The inc</w:t>
      </w:r>
      <w:r w:rsidR="001F6150">
        <w:rPr>
          <w:rFonts w:ascii="Arial" w:hAnsi="Arial" w:cs="Arial"/>
          <w:sz w:val="20"/>
          <w:szCs w:val="20"/>
        </w:rPr>
        <w:t>rease in the RUC is not explained</w:t>
      </w:r>
      <w:r w:rsidRPr="00740788">
        <w:rPr>
          <w:rFonts w:ascii="Arial" w:hAnsi="Arial" w:cs="Arial"/>
          <w:sz w:val="20"/>
          <w:szCs w:val="20"/>
        </w:rPr>
        <w:t xml:space="preserve"> an</w:t>
      </w:r>
      <w:r w:rsidR="0061611C" w:rsidRPr="00740788">
        <w:rPr>
          <w:rFonts w:ascii="Arial" w:hAnsi="Arial" w:cs="Arial"/>
          <w:sz w:val="20"/>
          <w:szCs w:val="20"/>
        </w:rPr>
        <w:t>d in a determination if the ESA</w:t>
      </w:r>
      <w:r w:rsidRPr="00740788">
        <w:rPr>
          <w:rFonts w:ascii="Arial" w:hAnsi="Arial" w:cs="Arial"/>
          <w:sz w:val="20"/>
          <w:szCs w:val="20"/>
        </w:rPr>
        <w:t xml:space="preserve"> * Km quantum falls the allocated cost also falls, therefore overall charges would drop (see 2007 HVC determination RIS vol 11 page 20).</w:t>
      </w:r>
      <w:r w:rsidR="001F6150" w:rsidRPr="001F6150">
        <w:rPr>
          <w:rFonts w:ascii="Arial" w:hAnsi="Arial" w:cs="Arial"/>
          <w:sz w:val="20"/>
          <w:szCs w:val="20"/>
        </w:rPr>
        <w:t xml:space="preserve"> </w:t>
      </w:r>
      <w:r w:rsidR="001F6150" w:rsidRPr="00740788">
        <w:rPr>
          <w:rFonts w:ascii="Arial" w:hAnsi="Arial" w:cs="Arial"/>
          <w:sz w:val="20"/>
          <w:szCs w:val="20"/>
        </w:rPr>
        <w:t>The application appears to be inconsistent with the approach used in the current determination, as reduced ESAs should reduce the cost to be recovered from trucks.</w:t>
      </w:r>
    </w:p>
    <w:p w:rsidR="00AC206F" w:rsidRPr="00740788" w:rsidRDefault="00AC206F" w:rsidP="00300037">
      <w:pPr>
        <w:spacing w:line="269" w:lineRule="auto"/>
        <w:jc w:val="both"/>
        <w:rPr>
          <w:rFonts w:ascii="Arial" w:hAnsi="Arial" w:cs="Arial"/>
          <w:sz w:val="20"/>
          <w:szCs w:val="20"/>
        </w:rPr>
      </w:pPr>
    </w:p>
    <w:p w:rsidR="00AC206F" w:rsidRPr="00740788" w:rsidRDefault="00AC206F" w:rsidP="00300037">
      <w:pPr>
        <w:spacing w:line="269" w:lineRule="auto"/>
        <w:jc w:val="both"/>
        <w:rPr>
          <w:rFonts w:ascii="Arial" w:hAnsi="Arial" w:cs="Arial"/>
          <w:sz w:val="20"/>
          <w:szCs w:val="20"/>
        </w:rPr>
      </w:pPr>
      <w:r w:rsidRPr="00740788">
        <w:rPr>
          <w:rFonts w:ascii="Arial" w:hAnsi="Arial" w:cs="Arial"/>
          <w:sz w:val="20"/>
          <w:szCs w:val="20"/>
        </w:rPr>
        <w:t>The charges suggest that</w:t>
      </w:r>
      <w:r w:rsidR="009E1D14" w:rsidRPr="00740788">
        <w:rPr>
          <w:rFonts w:ascii="Arial" w:hAnsi="Arial" w:cs="Arial"/>
          <w:sz w:val="20"/>
          <w:szCs w:val="20"/>
        </w:rPr>
        <w:t xml:space="preserve"> the</w:t>
      </w:r>
      <w:r w:rsidRPr="00740788">
        <w:rPr>
          <w:rFonts w:ascii="Arial" w:hAnsi="Arial" w:cs="Arial"/>
          <w:sz w:val="20"/>
          <w:szCs w:val="20"/>
        </w:rPr>
        <w:t xml:space="preserve"> h</w:t>
      </w:r>
      <w:r w:rsidR="009E1D14" w:rsidRPr="00740788">
        <w:rPr>
          <w:rFonts w:ascii="Arial" w:hAnsi="Arial" w:cs="Arial"/>
          <w:sz w:val="20"/>
          <w:szCs w:val="20"/>
        </w:rPr>
        <w:t>eavier end of the fleet will be</w:t>
      </w:r>
      <w:r w:rsidRPr="00740788">
        <w:rPr>
          <w:rFonts w:ascii="Arial" w:hAnsi="Arial" w:cs="Arial"/>
          <w:sz w:val="20"/>
          <w:szCs w:val="20"/>
        </w:rPr>
        <w:t xml:space="preserve"> charged less</w:t>
      </w:r>
      <w:r w:rsidR="009E1D14" w:rsidRPr="00740788">
        <w:rPr>
          <w:rFonts w:ascii="Arial" w:hAnsi="Arial" w:cs="Arial"/>
          <w:sz w:val="20"/>
          <w:szCs w:val="20"/>
        </w:rPr>
        <w:t>,</w:t>
      </w:r>
      <w:r w:rsidRPr="00740788">
        <w:rPr>
          <w:rFonts w:ascii="Arial" w:hAnsi="Arial" w:cs="Arial"/>
          <w:sz w:val="20"/>
          <w:szCs w:val="20"/>
        </w:rPr>
        <w:t xml:space="preserve"> but it is a s</w:t>
      </w:r>
      <w:r w:rsidR="009E1D14" w:rsidRPr="00740788">
        <w:rPr>
          <w:rFonts w:ascii="Arial" w:hAnsi="Arial" w:cs="Arial"/>
          <w:sz w:val="20"/>
          <w:szCs w:val="20"/>
        </w:rPr>
        <w:t>mall amount. We are at a loss</w:t>
      </w:r>
      <w:r w:rsidRPr="00740788">
        <w:rPr>
          <w:rFonts w:ascii="Arial" w:hAnsi="Arial" w:cs="Arial"/>
          <w:sz w:val="20"/>
          <w:szCs w:val="20"/>
        </w:rPr>
        <w:t xml:space="preserve"> to see why some charges have changed and other</w:t>
      </w:r>
      <w:r w:rsidR="009E1D14" w:rsidRPr="00740788">
        <w:rPr>
          <w:rFonts w:ascii="Arial" w:hAnsi="Arial" w:cs="Arial"/>
          <w:sz w:val="20"/>
          <w:szCs w:val="20"/>
        </w:rPr>
        <w:t>s haven’t;</w:t>
      </w:r>
      <w:r w:rsidRPr="00740788">
        <w:rPr>
          <w:rFonts w:ascii="Arial" w:hAnsi="Arial" w:cs="Arial"/>
          <w:sz w:val="20"/>
          <w:szCs w:val="20"/>
        </w:rPr>
        <w:t xml:space="preserve"> the sensitive nature of the input means that one would expect prices to change because of the new findings.</w:t>
      </w:r>
    </w:p>
    <w:p w:rsidR="000969DD" w:rsidRDefault="000969DD">
      <w:pPr>
        <w:spacing w:after="200" w:line="276" w:lineRule="auto"/>
        <w:rPr>
          <w:rFonts w:ascii="Arial" w:hAnsi="Arial" w:cs="Arial"/>
          <w:sz w:val="20"/>
          <w:szCs w:val="20"/>
        </w:rPr>
      </w:pPr>
    </w:p>
    <w:p w:rsidR="00E07DA9" w:rsidRDefault="00E07DA9">
      <w:pPr>
        <w:spacing w:after="200" w:line="276" w:lineRule="auto"/>
        <w:rPr>
          <w:rFonts w:ascii="Arial" w:hAnsi="Arial" w:cs="Arial"/>
          <w:sz w:val="20"/>
          <w:szCs w:val="20"/>
        </w:rPr>
      </w:pPr>
    </w:p>
    <w:p w:rsidR="00E07DA9" w:rsidRDefault="00E07DA9">
      <w:pPr>
        <w:spacing w:after="200" w:line="276" w:lineRule="auto"/>
        <w:rPr>
          <w:rFonts w:ascii="Arial" w:hAnsi="Arial" w:cs="Arial"/>
          <w:sz w:val="20"/>
          <w:szCs w:val="20"/>
        </w:rPr>
      </w:pPr>
    </w:p>
    <w:p w:rsidR="00E07DA9" w:rsidRDefault="00E07DA9">
      <w:pPr>
        <w:spacing w:after="200" w:line="276" w:lineRule="auto"/>
        <w:rPr>
          <w:rFonts w:ascii="Arial" w:hAnsi="Arial" w:cs="Arial"/>
          <w:sz w:val="20"/>
          <w:szCs w:val="20"/>
        </w:rPr>
      </w:pPr>
    </w:p>
    <w:p w:rsidR="00AC206F" w:rsidRDefault="009E1D14" w:rsidP="00300037">
      <w:pPr>
        <w:spacing w:line="269" w:lineRule="auto"/>
        <w:jc w:val="both"/>
        <w:rPr>
          <w:rFonts w:ascii="Arial" w:hAnsi="Arial" w:cs="Arial"/>
          <w:sz w:val="20"/>
          <w:szCs w:val="20"/>
        </w:rPr>
      </w:pPr>
      <w:r w:rsidRPr="00740788">
        <w:rPr>
          <w:rFonts w:ascii="Arial" w:hAnsi="Arial" w:cs="Arial"/>
          <w:sz w:val="20"/>
          <w:szCs w:val="20"/>
        </w:rPr>
        <w:lastRenderedPageBreak/>
        <w:t>The chart below shows</w:t>
      </w:r>
      <w:r w:rsidR="00AC206F" w:rsidRPr="00740788">
        <w:rPr>
          <w:rFonts w:ascii="Arial" w:hAnsi="Arial" w:cs="Arial"/>
          <w:sz w:val="20"/>
          <w:szCs w:val="20"/>
        </w:rPr>
        <w:t xml:space="preserve"> the changes in ESA from option 1 (new) and option 2 (old) are significant.</w:t>
      </w:r>
    </w:p>
    <w:p w:rsidR="00A60756" w:rsidRPr="00740788" w:rsidRDefault="00A60756" w:rsidP="00300037">
      <w:pPr>
        <w:spacing w:line="269" w:lineRule="auto"/>
        <w:jc w:val="both"/>
        <w:rPr>
          <w:rFonts w:ascii="Arial" w:hAnsi="Arial" w:cs="Arial"/>
          <w:sz w:val="20"/>
          <w:szCs w:val="20"/>
        </w:rPr>
      </w:pPr>
    </w:p>
    <w:p w:rsidR="00AC206F" w:rsidRPr="00740788" w:rsidRDefault="00AC206F" w:rsidP="00300037">
      <w:pPr>
        <w:spacing w:line="269" w:lineRule="auto"/>
        <w:jc w:val="both"/>
        <w:rPr>
          <w:rFonts w:ascii="Arial" w:hAnsi="Arial" w:cs="Arial"/>
          <w:sz w:val="20"/>
          <w:szCs w:val="20"/>
        </w:rPr>
      </w:pPr>
      <w:r w:rsidRPr="00740788">
        <w:rPr>
          <w:rFonts w:ascii="Arial" w:hAnsi="Arial" w:cs="Arial"/>
          <w:noProof/>
          <w:sz w:val="20"/>
          <w:szCs w:val="20"/>
          <w:lang w:eastAsia="en-AU"/>
        </w:rPr>
        <w:drawing>
          <wp:inline distT="0" distB="0" distL="0" distR="0">
            <wp:extent cx="5943600" cy="23145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206F" w:rsidRPr="00FE794C" w:rsidRDefault="00AC206F" w:rsidP="00300037">
      <w:pPr>
        <w:spacing w:line="269" w:lineRule="auto"/>
        <w:jc w:val="both"/>
        <w:rPr>
          <w:rFonts w:ascii="Arial" w:hAnsi="Arial" w:cs="Arial"/>
          <w:sz w:val="16"/>
          <w:szCs w:val="16"/>
        </w:rPr>
      </w:pPr>
      <w:r w:rsidRPr="00FE794C">
        <w:rPr>
          <w:rFonts w:ascii="Arial" w:hAnsi="Arial" w:cs="Arial"/>
          <w:sz w:val="16"/>
          <w:szCs w:val="16"/>
        </w:rPr>
        <w:t xml:space="preserve">Source: NTC ESA factors for each option. Email sent </w:t>
      </w:r>
      <w:r w:rsidRPr="00FE794C">
        <w:rPr>
          <w:rFonts w:ascii="Arial" w:hAnsi="Arial" w:cs="Arial"/>
          <w:sz w:val="16"/>
          <w:szCs w:val="16"/>
          <w:lang w:val="en-US"/>
        </w:rPr>
        <w:t xml:space="preserve">Tuesday, 17 January 2012 4:05 PM from </w:t>
      </w:r>
      <w:proofErr w:type="spellStart"/>
      <w:r w:rsidRPr="00FE794C">
        <w:rPr>
          <w:rFonts w:ascii="Arial" w:hAnsi="Arial" w:cs="Arial"/>
          <w:sz w:val="16"/>
          <w:szCs w:val="16"/>
          <w:lang w:val="en-US"/>
        </w:rPr>
        <w:t>Andradi</w:t>
      </w:r>
      <w:proofErr w:type="spellEnd"/>
      <w:r w:rsidRPr="00FE794C">
        <w:rPr>
          <w:rFonts w:ascii="Arial" w:hAnsi="Arial" w:cs="Arial"/>
          <w:sz w:val="16"/>
          <w:szCs w:val="16"/>
          <w:lang w:val="en-US"/>
        </w:rPr>
        <w:t xml:space="preserve"> </w:t>
      </w:r>
      <w:proofErr w:type="spellStart"/>
      <w:r w:rsidRPr="00FE794C">
        <w:rPr>
          <w:rFonts w:ascii="Arial" w:hAnsi="Arial" w:cs="Arial"/>
          <w:sz w:val="16"/>
          <w:szCs w:val="16"/>
          <w:lang w:val="en-US"/>
        </w:rPr>
        <w:t>Adhiputro</w:t>
      </w:r>
      <w:proofErr w:type="spellEnd"/>
      <w:r w:rsidRPr="00FE794C">
        <w:rPr>
          <w:rFonts w:ascii="Arial" w:hAnsi="Arial" w:cs="Arial"/>
          <w:sz w:val="16"/>
          <w:szCs w:val="16"/>
          <w:lang w:val="en-US"/>
        </w:rPr>
        <w:t xml:space="preserve"> to David Coonan.</w:t>
      </w:r>
    </w:p>
    <w:p w:rsidR="00AC206F" w:rsidRPr="00740788" w:rsidRDefault="00AC206F" w:rsidP="00300037">
      <w:pPr>
        <w:spacing w:line="269" w:lineRule="auto"/>
        <w:jc w:val="both"/>
        <w:rPr>
          <w:rFonts w:ascii="Arial" w:hAnsi="Arial" w:cs="Arial"/>
          <w:sz w:val="20"/>
          <w:szCs w:val="20"/>
        </w:rPr>
      </w:pPr>
    </w:p>
    <w:p w:rsidR="00AC206F" w:rsidRPr="00740788" w:rsidRDefault="009E1D14" w:rsidP="00300037">
      <w:pPr>
        <w:spacing w:line="269" w:lineRule="auto"/>
        <w:jc w:val="both"/>
        <w:rPr>
          <w:rFonts w:ascii="Arial" w:hAnsi="Arial" w:cs="Arial"/>
          <w:sz w:val="20"/>
          <w:szCs w:val="20"/>
        </w:rPr>
      </w:pPr>
      <w:r w:rsidRPr="00740788">
        <w:rPr>
          <w:rFonts w:ascii="Arial" w:hAnsi="Arial" w:cs="Arial"/>
          <w:sz w:val="20"/>
          <w:szCs w:val="20"/>
        </w:rPr>
        <w:t xml:space="preserve">Option </w:t>
      </w:r>
      <w:r w:rsidR="00AC206F" w:rsidRPr="00740788">
        <w:rPr>
          <w:rFonts w:ascii="Arial" w:hAnsi="Arial" w:cs="Arial"/>
          <w:sz w:val="20"/>
          <w:szCs w:val="20"/>
        </w:rPr>
        <w:t>1B</w:t>
      </w:r>
      <w:r w:rsidRPr="00740788">
        <w:rPr>
          <w:rFonts w:ascii="Arial" w:hAnsi="Arial" w:cs="Arial"/>
          <w:sz w:val="20"/>
          <w:szCs w:val="20"/>
        </w:rPr>
        <w:t xml:space="preserve"> shows a</w:t>
      </w:r>
      <w:r w:rsidR="00AC206F" w:rsidRPr="00740788">
        <w:rPr>
          <w:rFonts w:ascii="Arial" w:hAnsi="Arial" w:cs="Arial"/>
          <w:sz w:val="20"/>
          <w:szCs w:val="20"/>
        </w:rPr>
        <w:t xml:space="preserve"> higher increase in reg</w:t>
      </w:r>
      <w:r w:rsidRPr="00740788">
        <w:rPr>
          <w:rFonts w:ascii="Arial" w:hAnsi="Arial" w:cs="Arial"/>
          <w:sz w:val="20"/>
          <w:szCs w:val="20"/>
        </w:rPr>
        <w:t xml:space="preserve">istration to rigid trucks and </w:t>
      </w:r>
      <w:r w:rsidR="00AC206F" w:rsidRPr="00740788">
        <w:rPr>
          <w:rFonts w:ascii="Arial" w:hAnsi="Arial" w:cs="Arial"/>
          <w:sz w:val="20"/>
          <w:szCs w:val="20"/>
        </w:rPr>
        <w:t>also lead</w:t>
      </w:r>
      <w:r w:rsidRPr="00740788">
        <w:rPr>
          <w:rFonts w:ascii="Arial" w:hAnsi="Arial" w:cs="Arial"/>
          <w:sz w:val="20"/>
          <w:szCs w:val="20"/>
        </w:rPr>
        <w:t>s</w:t>
      </w:r>
      <w:r w:rsidR="00AC206F" w:rsidRPr="00740788">
        <w:rPr>
          <w:rFonts w:ascii="Arial" w:hAnsi="Arial" w:cs="Arial"/>
          <w:sz w:val="20"/>
          <w:szCs w:val="20"/>
        </w:rPr>
        <w:t xml:space="preserve"> to an increase in $259 in rigid trucks: 4 axle: with trailer &gt;25&lt;</w:t>
      </w:r>
      <w:r w:rsidRPr="00740788">
        <w:rPr>
          <w:rFonts w:ascii="Arial" w:hAnsi="Arial" w:cs="Arial"/>
          <w:sz w:val="20"/>
          <w:szCs w:val="20"/>
        </w:rPr>
        <w:t>42.5 tonne while under option 1A</w:t>
      </w:r>
      <w:r w:rsidR="00AC206F" w:rsidRPr="00740788">
        <w:rPr>
          <w:rFonts w:ascii="Arial" w:hAnsi="Arial" w:cs="Arial"/>
          <w:sz w:val="20"/>
          <w:szCs w:val="20"/>
        </w:rPr>
        <w:t xml:space="preserve"> they reduce payments by $2 – the considerable differences need to be explained. Registration charges are much higher than in 1A.</w:t>
      </w:r>
    </w:p>
    <w:p w:rsidR="00AC206F" w:rsidRPr="00740788" w:rsidRDefault="00AC206F" w:rsidP="00300037">
      <w:pPr>
        <w:spacing w:line="269" w:lineRule="auto"/>
        <w:jc w:val="both"/>
        <w:rPr>
          <w:rFonts w:ascii="Arial" w:hAnsi="Arial" w:cs="Arial"/>
          <w:sz w:val="20"/>
          <w:szCs w:val="20"/>
        </w:rPr>
      </w:pPr>
    </w:p>
    <w:p w:rsidR="00AC206F" w:rsidRPr="00740788" w:rsidRDefault="00AC206F" w:rsidP="00300037">
      <w:pPr>
        <w:spacing w:line="269" w:lineRule="auto"/>
        <w:jc w:val="both"/>
        <w:rPr>
          <w:rFonts w:ascii="Arial" w:hAnsi="Arial" w:cs="Arial"/>
          <w:sz w:val="20"/>
          <w:szCs w:val="20"/>
        </w:rPr>
      </w:pPr>
      <w:r w:rsidRPr="00740788">
        <w:rPr>
          <w:rFonts w:ascii="Arial" w:hAnsi="Arial" w:cs="Arial"/>
          <w:sz w:val="20"/>
          <w:szCs w:val="20"/>
        </w:rPr>
        <w:t xml:space="preserve">For the heavier end of the vehicles, the charges do lower </w:t>
      </w:r>
      <w:r w:rsidR="009E1D14" w:rsidRPr="00740788">
        <w:rPr>
          <w:rFonts w:ascii="Arial" w:hAnsi="Arial" w:cs="Arial"/>
          <w:sz w:val="20"/>
          <w:szCs w:val="20"/>
        </w:rPr>
        <w:t xml:space="preserve">for </w:t>
      </w:r>
      <w:r w:rsidRPr="00740788">
        <w:rPr>
          <w:rFonts w:ascii="Arial" w:hAnsi="Arial" w:cs="Arial"/>
          <w:sz w:val="20"/>
          <w:szCs w:val="20"/>
        </w:rPr>
        <w:t>B-double</w:t>
      </w:r>
      <w:r w:rsidR="009E1D14" w:rsidRPr="00740788">
        <w:rPr>
          <w:rFonts w:ascii="Arial" w:hAnsi="Arial" w:cs="Arial"/>
          <w:sz w:val="20"/>
          <w:szCs w:val="20"/>
        </w:rPr>
        <w:t>s</w:t>
      </w:r>
      <w:r w:rsidRPr="00740788">
        <w:rPr>
          <w:rFonts w:ascii="Arial" w:hAnsi="Arial" w:cs="Arial"/>
          <w:sz w:val="20"/>
          <w:szCs w:val="20"/>
        </w:rPr>
        <w:t>/triple</w:t>
      </w:r>
      <w:r w:rsidR="009E1D14" w:rsidRPr="00740788">
        <w:rPr>
          <w:rFonts w:ascii="Arial" w:hAnsi="Arial" w:cs="Arial"/>
          <w:sz w:val="20"/>
          <w:szCs w:val="20"/>
        </w:rPr>
        <w:t>s,</w:t>
      </w:r>
      <w:r w:rsidRPr="00740788">
        <w:rPr>
          <w:rFonts w:ascii="Arial" w:hAnsi="Arial" w:cs="Arial"/>
          <w:sz w:val="20"/>
          <w:szCs w:val="20"/>
        </w:rPr>
        <w:t xml:space="preserve"> but </w:t>
      </w:r>
      <w:r w:rsidR="009E1D14" w:rsidRPr="00740788">
        <w:rPr>
          <w:rFonts w:ascii="Arial" w:hAnsi="Arial" w:cs="Arial"/>
          <w:sz w:val="20"/>
          <w:szCs w:val="20"/>
        </w:rPr>
        <w:t xml:space="preserve">the balance of the charges </w:t>
      </w:r>
      <w:r w:rsidRPr="00740788">
        <w:rPr>
          <w:rFonts w:ascii="Arial" w:hAnsi="Arial" w:cs="Arial"/>
          <w:sz w:val="20"/>
          <w:szCs w:val="20"/>
        </w:rPr>
        <w:t>for all other a</w:t>
      </w:r>
      <w:r w:rsidR="009E1D14" w:rsidRPr="00740788">
        <w:rPr>
          <w:rFonts w:ascii="Arial" w:hAnsi="Arial" w:cs="Arial"/>
          <w:sz w:val="20"/>
          <w:szCs w:val="20"/>
        </w:rPr>
        <w:t>rticulated vehicles</w:t>
      </w:r>
      <w:r w:rsidR="00A60756">
        <w:rPr>
          <w:rFonts w:ascii="Arial" w:hAnsi="Arial" w:cs="Arial"/>
          <w:sz w:val="20"/>
          <w:szCs w:val="20"/>
        </w:rPr>
        <w:t xml:space="preserve"> has been significantly increased</w:t>
      </w:r>
      <w:r w:rsidR="009E1D14" w:rsidRPr="00740788">
        <w:rPr>
          <w:rFonts w:ascii="Arial" w:hAnsi="Arial" w:cs="Arial"/>
          <w:sz w:val="20"/>
          <w:szCs w:val="20"/>
        </w:rPr>
        <w:t>. Road train</w:t>
      </w:r>
      <w:r w:rsidRPr="00740788">
        <w:rPr>
          <w:rFonts w:ascii="Arial" w:hAnsi="Arial" w:cs="Arial"/>
          <w:sz w:val="20"/>
          <w:szCs w:val="20"/>
        </w:rPr>
        <w:t xml:space="preserve"> registration cost will increase </w:t>
      </w:r>
      <w:r w:rsidR="001F6150" w:rsidRPr="00740788">
        <w:rPr>
          <w:rFonts w:ascii="Arial" w:hAnsi="Arial" w:cs="Arial"/>
          <w:sz w:val="20"/>
          <w:szCs w:val="20"/>
        </w:rPr>
        <w:t>between $</w:t>
      </w:r>
      <w:r w:rsidRPr="00740788">
        <w:rPr>
          <w:rFonts w:ascii="Arial" w:hAnsi="Arial" w:cs="Arial"/>
          <w:sz w:val="20"/>
          <w:szCs w:val="20"/>
        </w:rPr>
        <w:t xml:space="preserve">663 and $1080 for type 1 and </w:t>
      </w:r>
      <w:r w:rsidR="0093312C" w:rsidRPr="00740788">
        <w:rPr>
          <w:rFonts w:ascii="Arial" w:hAnsi="Arial" w:cs="Arial"/>
          <w:sz w:val="20"/>
          <w:szCs w:val="20"/>
        </w:rPr>
        <w:t>2 road trains.</w:t>
      </w:r>
    </w:p>
    <w:p w:rsidR="00AC206F" w:rsidRPr="00740788" w:rsidRDefault="00AC206F" w:rsidP="00300037">
      <w:pPr>
        <w:spacing w:line="269" w:lineRule="auto"/>
        <w:jc w:val="both"/>
        <w:rPr>
          <w:rFonts w:ascii="Arial" w:hAnsi="Arial" w:cs="Arial"/>
          <w:sz w:val="20"/>
          <w:szCs w:val="20"/>
        </w:rPr>
      </w:pPr>
    </w:p>
    <w:p w:rsidR="00E73AE2" w:rsidRPr="00740788" w:rsidRDefault="009F38D5" w:rsidP="00300037">
      <w:pPr>
        <w:spacing w:line="269" w:lineRule="auto"/>
        <w:jc w:val="both"/>
        <w:rPr>
          <w:rFonts w:ascii="Arial" w:hAnsi="Arial" w:cs="Arial"/>
          <w:sz w:val="20"/>
          <w:szCs w:val="20"/>
          <w:u w:val="single"/>
        </w:rPr>
      </w:pPr>
      <w:r w:rsidRPr="00740788">
        <w:rPr>
          <w:rFonts w:ascii="Arial" w:hAnsi="Arial" w:cs="Arial"/>
          <w:sz w:val="20"/>
          <w:szCs w:val="20"/>
          <w:u w:val="single"/>
        </w:rPr>
        <w:t xml:space="preserve">Option </w:t>
      </w:r>
      <w:r w:rsidR="0093312C" w:rsidRPr="00740788">
        <w:rPr>
          <w:rFonts w:ascii="Arial" w:hAnsi="Arial" w:cs="Arial"/>
          <w:sz w:val="20"/>
          <w:szCs w:val="20"/>
          <w:u w:val="single"/>
        </w:rPr>
        <w:t>2</w:t>
      </w:r>
    </w:p>
    <w:p w:rsidR="00522BD4" w:rsidRDefault="00522BD4" w:rsidP="00300037">
      <w:pPr>
        <w:spacing w:line="269" w:lineRule="auto"/>
        <w:jc w:val="both"/>
        <w:rPr>
          <w:rFonts w:ascii="Arial" w:hAnsi="Arial" w:cs="Arial"/>
          <w:sz w:val="20"/>
          <w:szCs w:val="20"/>
        </w:rPr>
      </w:pPr>
      <w:r>
        <w:rPr>
          <w:rFonts w:ascii="Arial" w:hAnsi="Arial" w:cs="Arial"/>
          <w:sz w:val="20"/>
          <w:szCs w:val="20"/>
        </w:rPr>
        <w:t>This is</w:t>
      </w:r>
      <w:r w:rsidR="00AC206F" w:rsidRPr="00740788">
        <w:rPr>
          <w:rFonts w:ascii="Arial" w:hAnsi="Arial" w:cs="Arial"/>
          <w:sz w:val="20"/>
          <w:szCs w:val="20"/>
        </w:rPr>
        <w:t xml:space="preserve"> preferable for the rigid truck end of industry</w:t>
      </w:r>
      <w:r w:rsidR="001F6150">
        <w:rPr>
          <w:rFonts w:ascii="Arial" w:hAnsi="Arial" w:cs="Arial"/>
          <w:sz w:val="20"/>
          <w:szCs w:val="20"/>
        </w:rPr>
        <w:t>,</w:t>
      </w:r>
      <w:r w:rsidR="00AC206F" w:rsidRPr="00740788">
        <w:rPr>
          <w:rFonts w:ascii="Arial" w:hAnsi="Arial" w:cs="Arial"/>
          <w:sz w:val="20"/>
          <w:szCs w:val="20"/>
        </w:rPr>
        <w:t xml:space="preserve"> as option 2 is the only option where</w:t>
      </w:r>
      <w:r w:rsidR="00507824" w:rsidRPr="00740788">
        <w:rPr>
          <w:rFonts w:ascii="Arial" w:hAnsi="Arial" w:cs="Arial"/>
          <w:sz w:val="20"/>
          <w:szCs w:val="20"/>
        </w:rPr>
        <w:t xml:space="preserve"> the rigid trucks will not be burdened</w:t>
      </w:r>
      <w:r w:rsidR="00AC206F" w:rsidRPr="00740788">
        <w:rPr>
          <w:rFonts w:ascii="Arial" w:hAnsi="Arial" w:cs="Arial"/>
          <w:sz w:val="20"/>
          <w:szCs w:val="20"/>
        </w:rPr>
        <w:t xml:space="preserve"> with higher coverage registration charges. For articulated vehicles with trail</w:t>
      </w:r>
      <w:r w:rsidR="00507824" w:rsidRPr="00740788">
        <w:rPr>
          <w:rFonts w:ascii="Arial" w:hAnsi="Arial" w:cs="Arial"/>
          <w:sz w:val="20"/>
          <w:szCs w:val="20"/>
        </w:rPr>
        <w:t>ers there is an increase due to A-trailers bring charged the same per axle charge</w:t>
      </w:r>
      <w:r w:rsidR="00AC206F" w:rsidRPr="00740788">
        <w:rPr>
          <w:rFonts w:ascii="Arial" w:hAnsi="Arial" w:cs="Arial"/>
          <w:sz w:val="20"/>
          <w:szCs w:val="20"/>
        </w:rPr>
        <w:t xml:space="preserve"> as semi-trailers. Th</w:t>
      </w:r>
      <w:r w:rsidR="00507824" w:rsidRPr="00740788">
        <w:rPr>
          <w:rFonts w:ascii="Arial" w:hAnsi="Arial" w:cs="Arial"/>
          <w:sz w:val="20"/>
          <w:szCs w:val="20"/>
        </w:rPr>
        <w:t>is is the only option that attempts to set A-trailer charges to equal semi-trailer charges. However, w</w:t>
      </w:r>
      <w:r w:rsidR="00AC206F" w:rsidRPr="00740788">
        <w:rPr>
          <w:rFonts w:ascii="Arial" w:hAnsi="Arial" w:cs="Arial"/>
          <w:sz w:val="20"/>
          <w:szCs w:val="20"/>
        </w:rPr>
        <w:t xml:space="preserve">e </w:t>
      </w:r>
      <w:r w:rsidR="00507824" w:rsidRPr="00740788">
        <w:rPr>
          <w:rFonts w:ascii="Arial" w:hAnsi="Arial" w:cs="Arial"/>
          <w:sz w:val="20"/>
          <w:szCs w:val="20"/>
        </w:rPr>
        <w:t xml:space="preserve">disagree with the per axle charge </w:t>
      </w:r>
      <w:r>
        <w:rPr>
          <w:rFonts w:ascii="Arial" w:hAnsi="Arial" w:cs="Arial"/>
          <w:sz w:val="20"/>
          <w:szCs w:val="20"/>
        </w:rPr>
        <w:t>that is recommended</w:t>
      </w:r>
      <w:r w:rsidR="006165C7">
        <w:rPr>
          <w:rFonts w:ascii="Arial" w:hAnsi="Arial" w:cs="Arial"/>
          <w:sz w:val="20"/>
          <w:szCs w:val="20"/>
        </w:rPr>
        <w:t>.</w:t>
      </w:r>
      <w:r w:rsidR="00AC206F" w:rsidRPr="00740788">
        <w:rPr>
          <w:rFonts w:ascii="Arial" w:hAnsi="Arial" w:cs="Arial"/>
          <w:sz w:val="20"/>
          <w:szCs w:val="20"/>
        </w:rPr>
        <w:t xml:space="preserve"> </w:t>
      </w:r>
    </w:p>
    <w:p w:rsidR="00522BD4" w:rsidRDefault="00522BD4" w:rsidP="00300037">
      <w:pPr>
        <w:spacing w:line="269" w:lineRule="auto"/>
        <w:jc w:val="both"/>
        <w:rPr>
          <w:rFonts w:ascii="Arial" w:hAnsi="Arial" w:cs="Arial"/>
          <w:sz w:val="20"/>
          <w:szCs w:val="20"/>
        </w:rPr>
      </w:pPr>
    </w:p>
    <w:p w:rsidR="0093312C" w:rsidRPr="00740788" w:rsidRDefault="00AC206F" w:rsidP="00300037">
      <w:pPr>
        <w:spacing w:line="269" w:lineRule="auto"/>
        <w:jc w:val="both"/>
        <w:rPr>
          <w:rFonts w:ascii="Arial" w:hAnsi="Arial" w:cs="Arial"/>
          <w:sz w:val="20"/>
          <w:szCs w:val="20"/>
        </w:rPr>
      </w:pPr>
      <w:r w:rsidRPr="00740788">
        <w:rPr>
          <w:rFonts w:ascii="Arial" w:hAnsi="Arial" w:cs="Arial"/>
          <w:sz w:val="20"/>
          <w:szCs w:val="20"/>
        </w:rPr>
        <w:t xml:space="preserve">The $166 increase in </w:t>
      </w:r>
      <w:proofErr w:type="gramStart"/>
      <w:r w:rsidRPr="00740788">
        <w:rPr>
          <w:rFonts w:ascii="Arial" w:hAnsi="Arial" w:cs="Arial"/>
          <w:sz w:val="20"/>
          <w:szCs w:val="20"/>
        </w:rPr>
        <w:t>a per</w:t>
      </w:r>
      <w:proofErr w:type="gramEnd"/>
      <w:r w:rsidRPr="00740788">
        <w:rPr>
          <w:rFonts w:ascii="Arial" w:hAnsi="Arial" w:cs="Arial"/>
          <w:sz w:val="20"/>
          <w:szCs w:val="20"/>
        </w:rPr>
        <w:t xml:space="preserve"> axle charge (</w:t>
      </w:r>
      <w:r w:rsidR="0093312C" w:rsidRPr="00740788">
        <w:rPr>
          <w:rFonts w:ascii="Arial" w:hAnsi="Arial" w:cs="Arial"/>
          <w:sz w:val="20"/>
          <w:szCs w:val="20"/>
        </w:rPr>
        <w:t>$</w:t>
      </w:r>
      <w:r w:rsidRPr="00740788">
        <w:rPr>
          <w:rFonts w:ascii="Arial" w:hAnsi="Arial" w:cs="Arial"/>
          <w:sz w:val="20"/>
          <w:szCs w:val="20"/>
        </w:rPr>
        <w:t>584-</w:t>
      </w:r>
      <w:r w:rsidR="0093312C" w:rsidRPr="00740788">
        <w:rPr>
          <w:rFonts w:ascii="Arial" w:hAnsi="Arial" w:cs="Arial"/>
          <w:sz w:val="20"/>
          <w:szCs w:val="20"/>
        </w:rPr>
        <w:t>$</w:t>
      </w:r>
      <w:r w:rsidRPr="00740788">
        <w:rPr>
          <w:rFonts w:ascii="Arial" w:hAnsi="Arial" w:cs="Arial"/>
          <w:sz w:val="20"/>
          <w:szCs w:val="20"/>
        </w:rPr>
        <w:t>418) is a huge increase and is not a number that industry has been presented with before</w:t>
      </w:r>
      <w:r w:rsidR="001971A3">
        <w:rPr>
          <w:rFonts w:ascii="Arial" w:hAnsi="Arial" w:cs="Arial"/>
          <w:sz w:val="20"/>
          <w:szCs w:val="20"/>
        </w:rPr>
        <w:t>. On the 30</w:t>
      </w:r>
      <w:r w:rsidR="001971A3" w:rsidRPr="001971A3">
        <w:rPr>
          <w:rFonts w:ascii="Arial" w:hAnsi="Arial" w:cs="Arial"/>
          <w:sz w:val="20"/>
          <w:szCs w:val="20"/>
          <w:vertAlign w:val="superscript"/>
        </w:rPr>
        <w:t>th</w:t>
      </w:r>
      <w:r w:rsidR="001971A3">
        <w:rPr>
          <w:rFonts w:ascii="Arial" w:hAnsi="Arial" w:cs="Arial"/>
          <w:sz w:val="20"/>
          <w:szCs w:val="20"/>
        </w:rPr>
        <w:t xml:space="preserve"> January this increased further to $785, this disparity is not explained</w:t>
      </w:r>
      <w:r w:rsidRPr="001F6150">
        <w:rPr>
          <w:rFonts w:ascii="Arial" w:hAnsi="Arial" w:cs="Arial"/>
          <w:sz w:val="20"/>
          <w:szCs w:val="20"/>
        </w:rPr>
        <w:t>. We wrote to ministers before the SCOTI meet</w:t>
      </w:r>
      <w:r w:rsidR="0093312C" w:rsidRPr="001F6150">
        <w:rPr>
          <w:rFonts w:ascii="Arial" w:hAnsi="Arial" w:cs="Arial"/>
          <w:sz w:val="20"/>
          <w:szCs w:val="20"/>
        </w:rPr>
        <w:t xml:space="preserve">ing in October to warn </w:t>
      </w:r>
      <w:r w:rsidRPr="001F6150">
        <w:rPr>
          <w:rFonts w:ascii="Arial" w:hAnsi="Arial" w:cs="Arial"/>
          <w:sz w:val="20"/>
          <w:szCs w:val="20"/>
        </w:rPr>
        <w:t>the</w:t>
      </w:r>
      <w:r w:rsidR="00A14B4A">
        <w:rPr>
          <w:rFonts w:ascii="Arial" w:hAnsi="Arial" w:cs="Arial"/>
          <w:sz w:val="20"/>
          <w:szCs w:val="20"/>
        </w:rPr>
        <w:t>m that charges have</w:t>
      </w:r>
      <w:r w:rsidRPr="001F6150">
        <w:rPr>
          <w:rFonts w:ascii="Arial" w:hAnsi="Arial" w:cs="Arial"/>
          <w:sz w:val="20"/>
          <w:szCs w:val="20"/>
        </w:rPr>
        <w:t xml:space="preserve"> been </w:t>
      </w:r>
      <w:r w:rsidR="00A14B4A">
        <w:rPr>
          <w:rFonts w:ascii="Arial" w:hAnsi="Arial" w:cs="Arial"/>
          <w:sz w:val="20"/>
          <w:szCs w:val="20"/>
        </w:rPr>
        <w:t>changed several times</w:t>
      </w:r>
      <w:r w:rsidRPr="001F6150">
        <w:rPr>
          <w:rFonts w:ascii="Arial" w:hAnsi="Arial" w:cs="Arial"/>
          <w:i/>
          <w:sz w:val="20"/>
          <w:szCs w:val="20"/>
        </w:rPr>
        <w:t>.</w:t>
      </w:r>
      <w:r w:rsidRPr="00740788">
        <w:rPr>
          <w:rFonts w:ascii="Arial" w:hAnsi="Arial" w:cs="Arial"/>
          <w:sz w:val="20"/>
          <w:szCs w:val="20"/>
        </w:rPr>
        <w:t xml:space="preserve"> We still have not had a concrete number after 6 months of what sh</w:t>
      </w:r>
      <w:r w:rsidR="00522BD4">
        <w:rPr>
          <w:rFonts w:ascii="Arial" w:hAnsi="Arial" w:cs="Arial"/>
          <w:sz w:val="20"/>
          <w:szCs w:val="20"/>
        </w:rPr>
        <w:t>ould be a simple calculation.</w:t>
      </w:r>
    </w:p>
    <w:p w:rsidR="0093312C" w:rsidRPr="00740788" w:rsidRDefault="0093312C" w:rsidP="00300037">
      <w:pPr>
        <w:spacing w:line="269" w:lineRule="auto"/>
        <w:jc w:val="both"/>
        <w:rPr>
          <w:rFonts w:ascii="Arial" w:hAnsi="Arial" w:cs="Arial"/>
          <w:sz w:val="20"/>
          <w:szCs w:val="20"/>
        </w:rPr>
      </w:pPr>
    </w:p>
    <w:p w:rsidR="002E0FF1" w:rsidRPr="00740788" w:rsidRDefault="009F38D5" w:rsidP="00300037">
      <w:pPr>
        <w:spacing w:line="269" w:lineRule="auto"/>
        <w:jc w:val="both"/>
        <w:rPr>
          <w:rFonts w:ascii="Arial" w:hAnsi="Arial" w:cs="Arial"/>
          <w:sz w:val="20"/>
          <w:szCs w:val="20"/>
          <w:u w:val="single"/>
        </w:rPr>
      </w:pPr>
      <w:r w:rsidRPr="00740788">
        <w:rPr>
          <w:rFonts w:ascii="Arial" w:hAnsi="Arial" w:cs="Arial"/>
          <w:sz w:val="20"/>
          <w:szCs w:val="20"/>
          <w:u w:val="single"/>
        </w:rPr>
        <w:t xml:space="preserve">Option </w:t>
      </w:r>
      <w:r w:rsidR="00E73AE2" w:rsidRPr="00740788">
        <w:rPr>
          <w:rFonts w:ascii="Arial" w:hAnsi="Arial" w:cs="Arial"/>
          <w:sz w:val="20"/>
          <w:szCs w:val="20"/>
          <w:u w:val="single"/>
        </w:rPr>
        <w:t>3</w:t>
      </w:r>
    </w:p>
    <w:p w:rsidR="002C40B7" w:rsidRDefault="00E73AE2" w:rsidP="00300037">
      <w:pPr>
        <w:spacing w:line="269" w:lineRule="auto"/>
        <w:jc w:val="both"/>
        <w:rPr>
          <w:rFonts w:ascii="Arial" w:hAnsi="Arial" w:cs="Arial"/>
          <w:sz w:val="20"/>
          <w:szCs w:val="20"/>
          <w:u w:val="single"/>
        </w:rPr>
      </w:pPr>
      <w:r w:rsidRPr="00740788">
        <w:rPr>
          <w:rFonts w:ascii="Arial" w:hAnsi="Arial" w:cs="Arial"/>
          <w:sz w:val="20"/>
          <w:szCs w:val="20"/>
        </w:rPr>
        <w:t xml:space="preserve">The effects of option 3 </w:t>
      </w:r>
      <w:r w:rsidR="00D87D81" w:rsidRPr="00740788">
        <w:rPr>
          <w:rFonts w:ascii="Arial" w:hAnsi="Arial" w:cs="Arial"/>
          <w:sz w:val="20"/>
          <w:szCs w:val="20"/>
        </w:rPr>
        <w:t>appear</w:t>
      </w:r>
      <w:r w:rsidRPr="00740788">
        <w:rPr>
          <w:rFonts w:ascii="Arial" w:hAnsi="Arial" w:cs="Arial"/>
          <w:sz w:val="20"/>
          <w:szCs w:val="20"/>
        </w:rPr>
        <w:t xml:space="preserve"> preferable</w:t>
      </w:r>
      <w:r w:rsidR="00D87D81" w:rsidRPr="00740788">
        <w:rPr>
          <w:rFonts w:ascii="Arial" w:hAnsi="Arial" w:cs="Arial"/>
          <w:sz w:val="20"/>
          <w:szCs w:val="20"/>
        </w:rPr>
        <w:t xml:space="preserve"> as</w:t>
      </w:r>
      <w:r w:rsidRPr="00740788">
        <w:rPr>
          <w:rFonts w:ascii="Arial" w:hAnsi="Arial" w:cs="Arial"/>
          <w:sz w:val="20"/>
          <w:szCs w:val="20"/>
        </w:rPr>
        <w:t xml:space="preserve"> there is no increase in registration; in fact, all vehicle configurations have a lower registration than the status quo. However, there is a considerable increase in the road user charge</w:t>
      </w:r>
      <w:r w:rsidR="00EB65BE" w:rsidRPr="00740788">
        <w:rPr>
          <w:rFonts w:ascii="Arial" w:hAnsi="Arial" w:cs="Arial"/>
          <w:sz w:val="20"/>
          <w:szCs w:val="20"/>
        </w:rPr>
        <w:t>, as this is the fuel option</w:t>
      </w:r>
      <w:r w:rsidRPr="00740788">
        <w:rPr>
          <w:rFonts w:ascii="Arial" w:hAnsi="Arial" w:cs="Arial"/>
          <w:sz w:val="20"/>
          <w:szCs w:val="20"/>
        </w:rPr>
        <w:t xml:space="preserve">. It does not lower </w:t>
      </w:r>
      <w:r w:rsidR="00D87D81" w:rsidRPr="00740788">
        <w:rPr>
          <w:rFonts w:ascii="Arial" w:hAnsi="Arial" w:cs="Arial"/>
          <w:sz w:val="20"/>
          <w:szCs w:val="20"/>
        </w:rPr>
        <w:t>the A-trailer to the same level</w:t>
      </w:r>
      <w:r w:rsidRPr="00740788">
        <w:rPr>
          <w:rFonts w:ascii="Arial" w:hAnsi="Arial" w:cs="Arial"/>
          <w:sz w:val="20"/>
          <w:szCs w:val="20"/>
        </w:rPr>
        <w:t xml:space="preserve"> as a semi-trailer</w:t>
      </w:r>
      <w:r w:rsidR="00D87D81" w:rsidRPr="00740788">
        <w:rPr>
          <w:rFonts w:ascii="Arial" w:hAnsi="Arial" w:cs="Arial"/>
          <w:sz w:val="20"/>
          <w:szCs w:val="20"/>
        </w:rPr>
        <w:t xml:space="preserve">, and therefore it will </w:t>
      </w:r>
      <w:r w:rsidR="0026305F">
        <w:rPr>
          <w:rFonts w:ascii="Arial" w:hAnsi="Arial" w:cs="Arial"/>
          <w:sz w:val="20"/>
          <w:szCs w:val="20"/>
        </w:rPr>
        <w:t xml:space="preserve">not </w:t>
      </w:r>
      <w:r w:rsidR="00D87D81" w:rsidRPr="00740788">
        <w:rPr>
          <w:rFonts w:ascii="Arial" w:hAnsi="Arial" w:cs="Arial"/>
          <w:sz w:val="20"/>
          <w:szCs w:val="20"/>
        </w:rPr>
        <w:t>be the best option for industry to reverse the decline in A-trailer use.</w:t>
      </w:r>
    </w:p>
    <w:p w:rsidR="002C40B7" w:rsidRDefault="002C40B7" w:rsidP="00300037">
      <w:pPr>
        <w:spacing w:line="269" w:lineRule="auto"/>
        <w:jc w:val="both"/>
        <w:rPr>
          <w:rFonts w:ascii="Arial" w:hAnsi="Arial" w:cs="Arial"/>
          <w:sz w:val="20"/>
          <w:szCs w:val="20"/>
          <w:u w:val="single"/>
        </w:rPr>
      </w:pPr>
    </w:p>
    <w:p w:rsidR="00EB65BE" w:rsidRPr="002C40B7" w:rsidRDefault="009F38D5" w:rsidP="00300037">
      <w:pPr>
        <w:spacing w:line="269" w:lineRule="auto"/>
        <w:jc w:val="both"/>
        <w:rPr>
          <w:rFonts w:ascii="Arial" w:hAnsi="Arial" w:cs="Arial"/>
          <w:sz w:val="20"/>
          <w:szCs w:val="20"/>
        </w:rPr>
      </w:pPr>
      <w:r w:rsidRPr="00740788">
        <w:rPr>
          <w:rFonts w:ascii="Arial" w:hAnsi="Arial" w:cs="Arial"/>
          <w:sz w:val="20"/>
          <w:szCs w:val="20"/>
          <w:u w:val="single"/>
        </w:rPr>
        <w:t xml:space="preserve">Option </w:t>
      </w:r>
      <w:r w:rsidR="00EB65BE" w:rsidRPr="00740788">
        <w:rPr>
          <w:rFonts w:ascii="Arial" w:hAnsi="Arial" w:cs="Arial"/>
          <w:sz w:val="20"/>
          <w:szCs w:val="20"/>
          <w:u w:val="single"/>
        </w:rPr>
        <w:t>4</w:t>
      </w:r>
    </w:p>
    <w:p w:rsidR="000969DD" w:rsidRDefault="00EB65BE" w:rsidP="00FE794C">
      <w:pPr>
        <w:spacing w:line="269" w:lineRule="auto"/>
        <w:jc w:val="both"/>
        <w:rPr>
          <w:rFonts w:ascii="Arial" w:hAnsi="Arial" w:cs="Arial"/>
          <w:sz w:val="20"/>
          <w:szCs w:val="20"/>
        </w:rPr>
      </w:pPr>
      <w:r w:rsidRPr="00740788">
        <w:rPr>
          <w:rFonts w:ascii="Arial" w:hAnsi="Arial" w:cs="Arial"/>
          <w:sz w:val="20"/>
          <w:szCs w:val="20"/>
        </w:rPr>
        <w:t>The effects of option 4 are similar to option 1 given the effects of the n</w:t>
      </w:r>
      <w:r w:rsidR="006479DF" w:rsidRPr="00740788">
        <w:rPr>
          <w:rFonts w:ascii="Arial" w:hAnsi="Arial" w:cs="Arial"/>
          <w:sz w:val="20"/>
          <w:szCs w:val="20"/>
        </w:rPr>
        <w:t>ew ESA calibra</w:t>
      </w:r>
      <w:r w:rsidR="005A1D4C" w:rsidRPr="00740788">
        <w:rPr>
          <w:rFonts w:ascii="Arial" w:hAnsi="Arial" w:cs="Arial"/>
          <w:sz w:val="20"/>
          <w:szCs w:val="20"/>
        </w:rPr>
        <w:t>tions.</w:t>
      </w:r>
      <w:r w:rsidR="006479DF" w:rsidRPr="00740788">
        <w:rPr>
          <w:rFonts w:ascii="Arial" w:hAnsi="Arial" w:cs="Arial"/>
          <w:sz w:val="20"/>
          <w:szCs w:val="20"/>
        </w:rPr>
        <w:t xml:space="preserve"> </w:t>
      </w:r>
      <w:r w:rsidR="00255170" w:rsidRPr="00740788">
        <w:rPr>
          <w:rFonts w:ascii="Arial" w:hAnsi="Arial" w:cs="Arial"/>
          <w:sz w:val="20"/>
          <w:szCs w:val="20"/>
        </w:rPr>
        <w:t>The reduction in B-triples</w:t>
      </w:r>
      <w:r w:rsidR="0042757E" w:rsidRPr="00740788">
        <w:rPr>
          <w:rFonts w:ascii="Arial" w:hAnsi="Arial" w:cs="Arial"/>
          <w:sz w:val="20"/>
          <w:szCs w:val="20"/>
        </w:rPr>
        <w:t xml:space="preserve"> travelling</w:t>
      </w:r>
      <w:r w:rsidR="00255170" w:rsidRPr="00740788">
        <w:rPr>
          <w:rFonts w:ascii="Arial" w:hAnsi="Arial" w:cs="Arial"/>
          <w:sz w:val="20"/>
          <w:szCs w:val="20"/>
        </w:rPr>
        <w:t xml:space="preserve"> on unsealed roads currently</w:t>
      </w:r>
      <w:r w:rsidR="0042757E" w:rsidRPr="00740788">
        <w:rPr>
          <w:rFonts w:ascii="Arial" w:hAnsi="Arial" w:cs="Arial"/>
          <w:sz w:val="20"/>
          <w:szCs w:val="20"/>
        </w:rPr>
        <w:t xml:space="preserve"> occurs</w:t>
      </w:r>
      <w:r w:rsidR="006479DF" w:rsidRPr="00740788">
        <w:rPr>
          <w:rFonts w:ascii="Arial" w:hAnsi="Arial" w:cs="Arial"/>
          <w:sz w:val="20"/>
          <w:szCs w:val="20"/>
        </w:rPr>
        <w:t xml:space="preserve"> in Queensland</w:t>
      </w:r>
      <w:r w:rsidR="00255170" w:rsidRPr="00740788">
        <w:rPr>
          <w:rFonts w:ascii="Arial" w:hAnsi="Arial" w:cs="Arial"/>
          <w:sz w:val="20"/>
          <w:szCs w:val="20"/>
        </w:rPr>
        <w:t xml:space="preserve">, </w:t>
      </w:r>
      <w:r w:rsidR="0042757E" w:rsidRPr="00740788">
        <w:rPr>
          <w:rFonts w:ascii="Arial" w:hAnsi="Arial" w:cs="Arial"/>
          <w:sz w:val="20"/>
          <w:szCs w:val="20"/>
        </w:rPr>
        <w:t xml:space="preserve">with this jurisdiction </w:t>
      </w:r>
      <w:r w:rsidR="00255170" w:rsidRPr="00740788">
        <w:rPr>
          <w:rFonts w:ascii="Arial" w:hAnsi="Arial" w:cs="Arial"/>
          <w:sz w:val="20"/>
          <w:szCs w:val="20"/>
        </w:rPr>
        <w:t xml:space="preserve">recognising this </w:t>
      </w:r>
      <w:r w:rsidR="0042757E" w:rsidRPr="00740788">
        <w:rPr>
          <w:rFonts w:ascii="Arial" w:hAnsi="Arial" w:cs="Arial"/>
          <w:sz w:val="20"/>
          <w:szCs w:val="20"/>
        </w:rPr>
        <w:t xml:space="preserve">is </w:t>
      </w:r>
      <w:r w:rsidR="00255170" w:rsidRPr="00740788">
        <w:rPr>
          <w:rFonts w:ascii="Arial" w:hAnsi="Arial" w:cs="Arial"/>
          <w:sz w:val="20"/>
          <w:szCs w:val="20"/>
        </w:rPr>
        <w:t xml:space="preserve">a benefit. However, the cost of this will </w:t>
      </w:r>
      <w:r w:rsidR="0042757E" w:rsidRPr="00740788">
        <w:rPr>
          <w:rFonts w:ascii="Arial" w:hAnsi="Arial" w:cs="Arial"/>
          <w:sz w:val="20"/>
          <w:szCs w:val="20"/>
        </w:rPr>
        <w:t>need</w:t>
      </w:r>
      <w:r w:rsidR="00255170" w:rsidRPr="00740788">
        <w:rPr>
          <w:rFonts w:ascii="Arial" w:hAnsi="Arial" w:cs="Arial"/>
          <w:sz w:val="20"/>
          <w:szCs w:val="20"/>
        </w:rPr>
        <w:t xml:space="preserve"> to be recovered somewhere in the revenue</w:t>
      </w:r>
      <w:r w:rsidR="0042757E" w:rsidRPr="00740788">
        <w:rPr>
          <w:rFonts w:ascii="Arial" w:hAnsi="Arial" w:cs="Arial"/>
          <w:sz w:val="20"/>
          <w:szCs w:val="20"/>
        </w:rPr>
        <w:t>, and this</w:t>
      </w:r>
      <w:r w:rsidR="00255170" w:rsidRPr="00740788">
        <w:rPr>
          <w:rFonts w:ascii="Arial" w:hAnsi="Arial" w:cs="Arial"/>
          <w:sz w:val="20"/>
          <w:szCs w:val="20"/>
        </w:rPr>
        <w:t xml:space="preserve"> needs to be explicitly presented </w:t>
      </w:r>
      <w:r w:rsidR="0042757E" w:rsidRPr="00740788">
        <w:rPr>
          <w:rFonts w:ascii="Arial" w:hAnsi="Arial" w:cs="Arial"/>
          <w:sz w:val="20"/>
          <w:szCs w:val="20"/>
        </w:rPr>
        <w:t xml:space="preserve">by the NTC </w:t>
      </w:r>
      <w:r w:rsidR="00255170" w:rsidRPr="00740788">
        <w:rPr>
          <w:rFonts w:ascii="Arial" w:hAnsi="Arial" w:cs="Arial"/>
          <w:sz w:val="20"/>
          <w:szCs w:val="20"/>
        </w:rPr>
        <w:t>how that cost is</w:t>
      </w:r>
      <w:r w:rsidR="0042757E" w:rsidRPr="00740788">
        <w:rPr>
          <w:rFonts w:ascii="Arial" w:hAnsi="Arial" w:cs="Arial"/>
          <w:sz w:val="20"/>
          <w:szCs w:val="20"/>
        </w:rPr>
        <w:t xml:space="preserve"> expected to be</w:t>
      </w:r>
      <w:r w:rsidR="00255170" w:rsidRPr="00740788">
        <w:rPr>
          <w:rFonts w:ascii="Arial" w:hAnsi="Arial" w:cs="Arial"/>
          <w:sz w:val="20"/>
          <w:szCs w:val="20"/>
        </w:rPr>
        <w:t xml:space="preserve"> recovered.</w:t>
      </w:r>
    </w:p>
    <w:p w:rsidR="00FE794C" w:rsidRDefault="00FE794C" w:rsidP="00FE794C">
      <w:pPr>
        <w:spacing w:line="269" w:lineRule="auto"/>
        <w:jc w:val="both"/>
        <w:rPr>
          <w:rFonts w:ascii="Arial" w:hAnsi="Arial" w:cs="Arial"/>
          <w:sz w:val="20"/>
          <w:szCs w:val="20"/>
        </w:rPr>
      </w:pPr>
    </w:p>
    <w:p w:rsidR="00FE794C" w:rsidRPr="00FE794C" w:rsidRDefault="00FE794C" w:rsidP="00FE794C">
      <w:pPr>
        <w:spacing w:line="269" w:lineRule="auto"/>
        <w:jc w:val="both"/>
        <w:rPr>
          <w:rFonts w:ascii="Arial" w:hAnsi="Arial" w:cs="Arial"/>
          <w:sz w:val="20"/>
          <w:szCs w:val="20"/>
        </w:rPr>
      </w:pPr>
    </w:p>
    <w:p w:rsidR="002E0FF1" w:rsidRPr="00F50321" w:rsidRDefault="004A02D7" w:rsidP="00300037">
      <w:pPr>
        <w:pStyle w:val="Heading1"/>
        <w:spacing w:line="269" w:lineRule="auto"/>
        <w:jc w:val="both"/>
      </w:pPr>
      <w:bookmarkStart w:id="15" w:name="_Toc316396812"/>
      <w:r w:rsidRPr="00F50321">
        <w:lastRenderedPageBreak/>
        <w:t>Conclusion</w:t>
      </w:r>
      <w:bookmarkEnd w:id="15"/>
    </w:p>
    <w:p w:rsidR="00C42187" w:rsidRPr="00740788" w:rsidRDefault="00C42187" w:rsidP="00300037">
      <w:pPr>
        <w:spacing w:line="269" w:lineRule="auto"/>
        <w:jc w:val="both"/>
        <w:rPr>
          <w:rFonts w:ascii="Arial" w:hAnsi="Arial" w:cs="Arial"/>
          <w:sz w:val="20"/>
          <w:szCs w:val="20"/>
        </w:rPr>
      </w:pPr>
    </w:p>
    <w:p w:rsidR="00355C9F" w:rsidRPr="00740788" w:rsidRDefault="006C640C" w:rsidP="00300037">
      <w:pPr>
        <w:spacing w:line="269" w:lineRule="auto"/>
        <w:jc w:val="both"/>
        <w:rPr>
          <w:rFonts w:ascii="Arial" w:hAnsi="Arial" w:cs="Arial"/>
          <w:sz w:val="20"/>
          <w:szCs w:val="20"/>
        </w:rPr>
      </w:pPr>
      <w:r w:rsidRPr="00740788">
        <w:rPr>
          <w:rFonts w:ascii="Arial" w:hAnsi="Arial" w:cs="Arial"/>
          <w:sz w:val="20"/>
          <w:szCs w:val="20"/>
        </w:rPr>
        <w:t xml:space="preserve">The ATA’s greatest </w:t>
      </w:r>
      <w:r w:rsidR="0015383D" w:rsidRPr="00740788">
        <w:rPr>
          <w:rFonts w:ascii="Arial" w:hAnsi="Arial" w:cs="Arial"/>
          <w:sz w:val="20"/>
          <w:szCs w:val="20"/>
        </w:rPr>
        <w:t>concerns are</w:t>
      </w:r>
      <w:r w:rsidRPr="00740788">
        <w:rPr>
          <w:rFonts w:ascii="Arial" w:hAnsi="Arial" w:cs="Arial"/>
          <w:sz w:val="20"/>
          <w:szCs w:val="20"/>
        </w:rPr>
        <w:t xml:space="preserve"> that Australia’s road safety and the broader economy </w:t>
      </w:r>
      <w:r w:rsidR="0015383D" w:rsidRPr="00740788">
        <w:rPr>
          <w:rFonts w:ascii="Arial" w:hAnsi="Arial" w:cs="Arial"/>
          <w:sz w:val="20"/>
          <w:szCs w:val="20"/>
        </w:rPr>
        <w:t>are</w:t>
      </w:r>
      <w:r w:rsidRPr="00740788">
        <w:rPr>
          <w:rFonts w:ascii="Arial" w:hAnsi="Arial" w:cs="Arial"/>
          <w:sz w:val="20"/>
          <w:szCs w:val="20"/>
        </w:rPr>
        <w:t xml:space="preserve"> being p</w:t>
      </w:r>
      <w:r w:rsidR="00E75FCA" w:rsidRPr="00740788">
        <w:rPr>
          <w:rFonts w:ascii="Arial" w:hAnsi="Arial" w:cs="Arial"/>
          <w:sz w:val="20"/>
          <w:szCs w:val="20"/>
        </w:rPr>
        <w:t>laced</w:t>
      </w:r>
      <w:r w:rsidRPr="00740788">
        <w:rPr>
          <w:rFonts w:ascii="Arial" w:hAnsi="Arial" w:cs="Arial"/>
          <w:sz w:val="20"/>
          <w:szCs w:val="20"/>
        </w:rPr>
        <w:t xml:space="preserve"> in jeopardy by the NTC’s failure to act</w:t>
      </w:r>
      <w:r w:rsidR="00E75FCA" w:rsidRPr="00740788">
        <w:rPr>
          <w:rFonts w:ascii="Arial" w:hAnsi="Arial" w:cs="Arial"/>
          <w:sz w:val="20"/>
          <w:szCs w:val="20"/>
        </w:rPr>
        <w:t xml:space="preserve"> in a timely and correct manner</w:t>
      </w:r>
      <w:r w:rsidRPr="00740788">
        <w:rPr>
          <w:rFonts w:ascii="Arial" w:hAnsi="Arial" w:cs="Arial"/>
          <w:sz w:val="20"/>
          <w:szCs w:val="20"/>
        </w:rPr>
        <w:t xml:space="preserve"> over the A-trailer issue.</w:t>
      </w:r>
    </w:p>
    <w:p w:rsidR="006C640C" w:rsidRPr="00740788" w:rsidRDefault="006C640C" w:rsidP="00300037">
      <w:pPr>
        <w:spacing w:line="269" w:lineRule="auto"/>
        <w:jc w:val="both"/>
        <w:rPr>
          <w:rFonts w:ascii="Arial" w:hAnsi="Arial" w:cs="Arial"/>
          <w:sz w:val="20"/>
          <w:szCs w:val="20"/>
        </w:rPr>
      </w:pPr>
    </w:p>
    <w:p w:rsidR="0015383D" w:rsidRDefault="006C640C" w:rsidP="00300037">
      <w:pPr>
        <w:spacing w:line="269" w:lineRule="auto"/>
        <w:jc w:val="both"/>
        <w:rPr>
          <w:rFonts w:ascii="Arial" w:hAnsi="Arial" w:cs="Arial"/>
          <w:sz w:val="20"/>
          <w:szCs w:val="20"/>
        </w:rPr>
      </w:pPr>
      <w:r w:rsidRPr="00740788">
        <w:rPr>
          <w:rFonts w:ascii="Arial" w:hAnsi="Arial" w:cs="Arial"/>
          <w:sz w:val="20"/>
          <w:szCs w:val="20"/>
        </w:rPr>
        <w:t xml:space="preserve">Industry has made it clear what it </w:t>
      </w:r>
      <w:r w:rsidR="002C40B7">
        <w:rPr>
          <w:rFonts w:ascii="Arial" w:hAnsi="Arial" w:cs="Arial"/>
          <w:sz w:val="20"/>
          <w:szCs w:val="20"/>
        </w:rPr>
        <w:t>believes will solve the problem; l</w:t>
      </w:r>
      <w:r w:rsidRPr="00740788">
        <w:rPr>
          <w:rFonts w:ascii="Arial" w:hAnsi="Arial" w:cs="Arial"/>
          <w:sz w:val="20"/>
          <w:szCs w:val="20"/>
        </w:rPr>
        <w:t>owering A-trailers</w:t>
      </w:r>
      <w:r w:rsidR="00E75FCA" w:rsidRPr="00740788">
        <w:rPr>
          <w:rFonts w:ascii="Arial" w:hAnsi="Arial" w:cs="Arial"/>
          <w:sz w:val="20"/>
          <w:szCs w:val="20"/>
        </w:rPr>
        <w:t xml:space="preserve"> to equal </w:t>
      </w:r>
      <w:r w:rsidRPr="00740788">
        <w:rPr>
          <w:rFonts w:ascii="Arial" w:hAnsi="Arial" w:cs="Arial"/>
          <w:sz w:val="20"/>
          <w:szCs w:val="20"/>
        </w:rPr>
        <w:t>semi-trailers</w:t>
      </w:r>
      <w:r w:rsidR="00E07DA9">
        <w:rPr>
          <w:rFonts w:ascii="Arial" w:hAnsi="Arial" w:cs="Arial"/>
          <w:sz w:val="20"/>
          <w:szCs w:val="20"/>
        </w:rPr>
        <w:t>. This</w:t>
      </w:r>
      <w:r w:rsidRPr="00740788">
        <w:rPr>
          <w:rFonts w:ascii="Arial" w:hAnsi="Arial" w:cs="Arial"/>
          <w:sz w:val="20"/>
          <w:szCs w:val="20"/>
        </w:rPr>
        <w:t xml:space="preserve"> is the o</w:t>
      </w:r>
      <w:r w:rsidR="00E75FCA" w:rsidRPr="00740788">
        <w:rPr>
          <w:rFonts w:ascii="Arial" w:hAnsi="Arial" w:cs="Arial"/>
          <w:sz w:val="20"/>
          <w:szCs w:val="20"/>
        </w:rPr>
        <w:t>nly way to halt</w:t>
      </w:r>
      <w:r w:rsidRPr="00740788">
        <w:rPr>
          <w:rFonts w:ascii="Arial" w:hAnsi="Arial" w:cs="Arial"/>
          <w:sz w:val="20"/>
          <w:szCs w:val="20"/>
        </w:rPr>
        <w:t xml:space="preserve"> the deterioration in safety, productivity and environmental credentials of the fleet</w:t>
      </w:r>
      <w:r w:rsidR="00E75FCA" w:rsidRPr="00740788">
        <w:rPr>
          <w:rFonts w:ascii="Arial" w:hAnsi="Arial" w:cs="Arial"/>
          <w:sz w:val="20"/>
          <w:szCs w:val="20"/>
        </w:rPr>
        <w:t xml:space="preserve"> caused by the move away from safer combinations that incorporate A-trailers</w:t>
      </w:r>
      <w:r w:rsidRPr="00740788">
        <w:rPr>
          <w:rFonts w:ascii="Arial" w:hAnsi="Arial" w:cs="Arial"/>
          <w:sz w:val="20"/>
          <w:szCs w:val="20"/>
        </w:rPr>
        <w:t>.</w:t>
      </w:r>
      <w:r w:rsidR="007147A9" w:rsidRPr="00740788">
        <w:rPr>
          <w:rFonts w:ascii="Arial" w:hAnsi="Arial" w:cs="Arial"/>
          <w:sz w:val="20"/>
          <w:szCs w:val="20"/>
        </w:rPr>
        <w:t xml:space="preserve"> The ATA suggested a simple and</w:t>
      </w:r>
      <w:r w:rsidR="0015383D" w:rsidRPr="00740788">
        <w:rPr>
          <w:rFonts w:ascii="Arial" w:hAnsi="Arial" w:cs="Arial"/>
          <w:sz w:val="20"/>
          <w:szCs w:val="20"/>
        </w:rPr>
        <w:t xml:space="preserve"> revenue neutral solution to the NTC but they have di</w:t>
      </w:r>
      <w:r w:rsidR="007147A9" w:rsidRPr="00740788">
        <w:rPr>
          <w:rFonts w:ascii="Arial" w:hAnsi="Arial" w:cs="Arial"/>
          <w:sz w:val="20"/>
          <w:szCs w:val="20"/>
        </w:rPr>
        <w:t>storted it</w:t>
      </w:r>
      <w:r w:rsidR="00E75FCA" w:rsidRPr="00740788">
        <w:rPr>
          <w:rFonts w:ascii="Arial" w:hAnsi="Arial" w:cs="Arial"/>
          <w:sz w:val="20"/>
          <w:szCs w:val="20"/>
        </w:rPr>
        <w:t xml:space="preserve"> and dismissed it. Therefore, we are unable to </w:t>
      </w:r>
      <w:r w:rsidR="007147A9" w:rsidRPr="00740788">
        <w:rPr>
          <w:rFonts w:ascii="Arial" w:hAnsi="Arial" w:cs="Arial"/>
          <w:sz w:val="20"/>
          <w:szCs w:val="20"/>
        </w:rPr>
        <w:t>lend any support to the NTC presenting</w:t>
      </w:r>
      <w:r w:rsidR="00E75FCA" w:rsidRPr="00740788">
        <w:rPr>
          <w:rFonts w:ascii="Arial" w:hAnsi="Arial" w:cs="Arial"/>
          <w:sz w:val="20"/>
          <w:szCs w:val="20"/>
        </w:rPr>
        <w:t xml:space="preserve"> such an option</w:t>
      </w:r>
      <w:r w:rsidR="002C40B7">
        <w:rPr>
          <w:rFonts w:ascii="Arial" w:hAnsi="Arial" w:cs="Arial"/>
          <w:sz w:val="20"/>
          <w:szCs w:val="20"/>
        </w:rPr>
        <w:t xml:space="preserve"> to m</w:t>
      </w:r>
      <w:r w:rsidR="007147A9" w:rsidRPr="00740788">
        <w:rPr>
          <w:rFonts w:ascii="Arial" w:hAnsi="Arial" w:cs="Arial"/>
          <w:sz w:val="20"/>
          <w:szCs w:val="20"/>
        </w:rPr>
        <w:t>inisters</w:t>
      </w:r>
      <w:r w:rsidR="00E75FCA" w:rsidRPr="00740788">
        <w:rPr>
          <w:rFonts w:ascii="Arial" w:hAnsi="Arial" w:cs="Arial"/>
          <w:sz w:val="20"/>
          <w:szCs w:val="20"/>
        </w:rPr>
        <w:t xml:space="preserve">, especially if they claim it is </w:t>
      </w:r>
      <w:r w:rsidR="005A1D4C" w:rsidRPr="00740788">
        <w:rPr>
          <w:rFonts w:ascii="Arial" w:hAnsi="Arial" w:cs="Arial"/>
          <w:sz w:val="20"/>
          <w:szCs w:val="20"/>
        </w:rPr>
        <w:t>‘</w:t>
      </w:r>
      <w:r w:rsidR="00E75FCA" w:rsidRPr="00740788">
        <w:rPr>
          <w:rFonts w:ascii="Arial" w:hAnsi="Arial" w:cs="Arial"/>
          <w:sz w:val="20"/>
          <w:szCs w:val="20"/>
        </w:rPr>
        <w:t>based on the ATA’s model</w:t>
      </w:r>
      <w:r w:rsidR="005A1D4C" w:rsidRPr="00740788">
        <w:rPr>
          <w:rFonts w:ascii="Arial" w:hAnsi="Arial" w:cs="Arial"/>
          <w:sz w:val="20"/>
          <w:szCs w:val="20"/>
        </w:rPr>
        <w:t>’</w:t>
      </w:r>
      <w:r w:rsidR="007147A9" w:rsidRPr="00740788">
        <w:rPr>
          <w:rFonts w:ascii="Arial" w:hAnsi="Arial" w:cs="Arial"/>
          <w:sz w:val="20"/>
          <w:szCs w:val="20"/>
        </w:rPr>
        <w:t>.</w:t>
      </w:r>
    </w:p>
    <w:p w:rsidR="001971A3" w:rsidRDefault="001971A3" w:rsidP="00300037">
      <w:pPr>
        <w:spacing w:line="269" w:lineRule="auto"/>
        <w:jc w:val="both"/>
        <w:rPr>
          <w:rFonts w:ascii="Arial" w:hAnsi="Arial" w:cs="Arial"/>
          <w:sz w:val="20"/>
          <w:szCs w:val="20"/>
        </w:rPr>
      </w:pPr>
    </w:p>
    <w:p w:rsidR="001971A3" w:rsidRPr="00740788" w:rsidRDefault="001971A3" w:rsidP="00300037">
      <w:pPr>
        <w:spacing w:line="269" w:lineRule="auto"/>
        <w:jc w:val="both"/>
        <w:rPr>
          <w:rFonts w:ascii="Arial" w:hAnsi="Arial" w:cs="Arial"/>
          <w:sz w:val="20"/>
          <w:szCs w:val="20"/>
        </w:rPr>
      </w:pPr>
      <w:r>
        <w:rPr>
          <w:rFonts w:ascii="Arial" w:hAnsi="Arial" w:cs="Arial"/>
          <w:sz w:val="20"/>
          <w:szCs w:val="20"/>
        </w:rPr>
        <w:t xml:space="preserve">The NTC workings are </w:t>
      </w:r>
      <w:r w:rsidR="006950E9">
        <w:rPr>
          <w:rFonts w:ascii="Arial" w:hAnsi="Arial" w:cs="Arial"/>
          <w:sz w:val="20"/>
          <w:szCs w:val="20"/>
        </w:rPr>
        <w:t>unsubstantiated</w:t>
      </w:r>
      <w:r>
        <w:rPr>
          <w:rFonts w:ascii="Arial" w:hAnsi="Arial" w:cs="Arial"/>
          <w:sz w:val="20"/>
          <w:szCs w:val="20"/>
        </w:rPr>
        <w:t>.</w:t>
      </w:r>
      <w:r w:rsidR="006950E9">
        <w:rPr>
          <w:rFonts w:ascii="Arial" w:hAnsi="Arial" w:cs="Arial"/>
          <w:sz w:val="20"/>
          <w:szCs w:val="20"/>
        </w:rPr>
        <w:t xml:space="preserve"> </w:t>
      </w:r>
      <w:r>
        <w:rPr>
          <w:rFonts w:ascii="Arial" w:hAnsi="Arial" w:cs="Arial"/>
          <w:sz w:val="20"/>
          <w:szCs w:val="20"/>
        </w:rPr>
        <w:t>The ATA therefore call upon minister</w:t>
      </w:r>
      <w:r w:rsidR="00505984">
        <w:rPr>
          <w:rFonts w:ascii="Arial" w:hAnsi="Arial" w:cs="Arial"/>
          <w:sz w:val="20"/>
          <w:szCs w:val="20"/>
        </w:rPr>
        <w:t>s</w:t>
      </w:r>
      <w:r>
        <w:rPr>
          <w:rFonts w:ascii="Arial" w:hAnsi="Arial" w:cs="Arial"/>
          <w:sz w:val="20"/>
          <w:szCs w:val="20"/>
        </w:rPr>
        <w:t xml:space="preserve"> to</w:t>
      </w:r>
      <w:r w:rsidR="00505984">
        <w:rPr>
          <w:rFonts w:ascii="Arial" w:hAnsi="Arial" w:cs="Arial"/>
          <w:sz w:val="20"/>
          <w:szCs w:val="20"/>
        </w:rPr>
        <w:t xml:space="preserve"> make an</w:t>
      </w:r>
      <w:r>
        <w:rPr>
          <w:rFonts w:ascii="Arial" w:hAnsi="Arial" w:cs="Arial"/>
          <w:sz w:val="20"/>
          <w:szCs w:val="20"/>
        </w:rPr>
        <w:t xml:space="preserve"> </w:t>
      </w:r>
      <w:r w:rsidR="006950E9" w:rsidRPr="006950E9">
        <w:rPr>
          <w:rFonts w:ascii="Arial" w:hAnsi="Arial" w:cs="Arial"/>
          <w:sz w:val="20"/>
          <w:szCs w:val="20"/>
        </w:rPr>
        <w:t>immediate stop-gap decision to reduce the registration charge for A-trailers to equal the same registration charge as semi-trailers, with no other adjustments</w:t>
      </w:r>
    </w:p>
    <w:p w:rsidR="0015383D" w:rsidRPr="00740788" w:rsidRDefault="0015383D" w:rsidP="00300037">
      <w:pPr>
        <w:spacing w:line="269" w:lineRule="auto"/>
        <w:jc w:val="both"/>
        <w:rPr>
          <w:rFonts w:ascii="Arial" w:hAnsi="Arial" w:cs="Arial"/>
          <w:sz w:val="20"/>
          <w:szCs w:val="20"/>
        </w:rPr>
      </w:pPr>
    </w:p>
    <w:p w:rsidR="00EF6739" w:rsidRPr="00740788" w:rsidRDefault="00EF6739" w:rsidP="00300037">
      <w:pPr>
        <w:spacing w:line="269" w:lineRule="auto"/>
        <w:jc w:val="both"/>
        <w:rPr>
          <w:rFonts w:ascii="Arial" w:hAnsi="Arial" w:cs="Arial"/>
          <w:sz w:val="20"/>
          <w:szCs w:val="20"/>
        </w:rPr>
      </w:pPr>
      <w:bookmarkStart w:id="16" w:name="_Toc304288024"/>
      <w:bookmarkStart w:id="17" w:name="_Toc304288091"/>
      <w:bookmarkStart w:id="18" w:name="_Toc304291930"/>
      <w:bookmarkStart w:id="19" w:name="_Toc304537433"/>
      <w:bookmarkStart w:id="20" w:name="_Toc304544533"/>
      <w:bookmarkStart w:id="21" w:name="_Toc304544827"/>
      <w:bookmarkStart w:id="22" w:name="_Toc304964414"/>
      <w:bookmarkStart w:id="23" w:name="_Toc304970575"/>
      <w:bookmarkStart w:id="24" w:name="_Toc304973337"/>
      <w:bookmarkStart w:id="25" w:name="_Toc304973517"/>
      <w:bookmarkStart w:id="26" w:name="_Toc305670398"/>
      <w:bookmarkStart w:id="27" w:name="_Toc306713561"/>
      <w:bookmarkStart w:id="28" w:name="_Toc306954582"/>
      <w:bookmarkStart w:id="29" w:name="_Toc306957367"/>
      <w:bookmarkStart w:id="30" w:name="_Toc306957478"/>
      <w:bookmarkStart w:id="31" w:name="_Toc306957803"/>
      <w:bookmarkStart w:id="32" w:name="_Toc308170498"/>
      <w:bookmarkStart w:id="33" w:name="_Toc3090405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R="00EF6739" w:rsidRPr="00740788" w:rsidSect="0048333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A3" w:rsidRDefault="001971A3" w:rsidP="005D45D9">
      <w:r>
        <w:separator/>
      </w:r>
    </w:p>
  </w:endnote>
  <w:endnote w:type="continuationSeparator" w:id="0">
    <w:p w:rsidR="001971A3" w:rsidRDefault="001971A3" w:rsidP="005D4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E9" w:rsidRDefault="006950E9" w:rsidP="006950E9">
    <w:pPr>
      <w:pStyle w:val="Footer"/>
      <w:jc w:val="right"/>
      <w:rPr>
        <w:rFonts w:ascii="Arial" w:hAnsi="Arial" w:cs="Arial"/>
        <w:sz w:val="16"/>
        <w:szCs w:val="16"/>
      </w:rPr>
    </w:pPr>
    <w:r w:rsidRPr="006950E9">
      <w:rPr>
        <w:rFonts w:ascii="Arial" w:hAnsi="Arial" w:cs="Arial"/>
        <w:smallCaps/>
        <w:noProof/>
        <w:szCs w:val="23"/>
        <w:lang w:eastAsia="en-AU"/>
      </w:rPr>
      <w:drawing>
        <wp:inline distT="0" distB="0" distL="0" distR="0">
          <wp:extent cx="1951355" cy="846455"/>
          <wp:effectExtent l="19050" t="0" r="0" b="0"/>
          <wp:docPr id="2"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6950E9" w:rsidRPr="00E8056B" w:rsidRDefault="006950E9" w:rsidP="006950E9">
    <w:pPr>
      <w:pStyle w:val="Footer"/>
      <w:jc w:val="right"/>
      <w:rPr>
        <w:rFonts w:ascii="Arial" w:hAnsi="Arial" w:cs="Arial"/>
        <w:sz w:val="16"/>
        <w:szCs w:val="16"/>
      </w:rPr>
    </w:pPr>
    <w:r w:rsidRPr="006950E9">
      <w:rPr>
        <w:rFonts w:ascii="Arial" w:hAnsi="Arial" w:cs="Arial"/>
        <w:sz w:val="16"/>
        <w:szCs w:val="16"/>
      </w:rPr>
      <w:t xml:space="preserve"> </w:t>
    </w:r>
    <w:r w:rsidRPr="00E8056B">
      <w:rPr>
        <w:rFonts w:ascii="Arial" w:hAnsi="Arial" w:cs="Arial"/>
        <w:sz w:val="16"/>
        <w:szCs w:val="16"/>
      </w:rPr>
      <w:t>Minter Ellison Building, 25 National Circuit, Forrest ACT 2603</w:t>
    </w:r>
  </w:p>
  <w:p w:rsidR="006950E9" w:rsidRPr="00E8056B" w:rsidRDefault="006950E9" w:rsidP="006950E9">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Pr="00E8056B">
      <w:rPr>
        <w:rFonts w:ascii="Arial" w:hAnsi="Arial" w:cs="Arial"/>
        <w:bCs/>
        <w:sz w:val="16"/>
        <w:szCs w:val="16"/>
      </w:rPr>
      <w:t>ata@atatruck.net.au</w:t>
    </w:r>
    <w:r w:rsidRPr="00E8056B">
      <w:rPr>
        <w:rFonts w:ascii="Arial" w:hAnsi="Arial" w:cs="Arial"/>
        <w:b/>
        <w:sz w:val="16"/>
        <w:szCs w:val="16"/>
      </w:rPr>
      <w:t xml:space="preserve"> W</w:t>
    </w:r>
    <w:r w:rsidRPr="00E8056B">
      <w:rPr>
        <w:rFonts w:ascii="Arial" w:hAnsi="Arial" w:cs="Arial"/>
        <w:sz w:val="16"/>
        <w:szCs w:val="16"/>
      </w:rPr>
      <w:t xml:space="preserve"> </w:t>
    </w:r>
    <w:r w:rsidRPr="00E8056B">
      <w:rPr>
        <w:rFonts w:ascii="Arial" w:hAnsi="Arial" w:cs="Arial"/>
        <w:bCs/>
        <w:sz w:val="16"/>
        <w:szCs w:val="16"/>
      </w:rPr>
      <w:t>www.atatruck.net.au</w:t>
    </w:r>
  </w:p>
  <w:p w:rsidR="001971A3" w:rsidRDefault="001971A3" w:rsidP="00483337">
    <w:pPr>
      <w:ind w:right="-426"/>
      <w:jc w:val="right"/>
      <w:rPr>
        <w:rFonts w:ascii="Arial" w:hAnsi="Arial" w:cs="Arial"/>
        <w:smallCaps/>
        <w:noProof/>
        <w:szCs w:val="23"/>
        <w:lang w:eastAsia="en-AU"/>
      </w:rPr>
    </w:pPr>
  </w:p>
  <w:p w:rsidR="001971A3" w:rsidRPr="00E8056B" w:rsidRDefault="001971A3" w:rsidP="00483337">
    <w:pPr>
      <w:pStyle w:val="Footer"/>
      <w:jc w:val="righ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A3" w:rsidRDefault="001971A3">
    <w:pPr>
      <w:pStyle w:val="Footer"/>
      <w:jc w:val="right"/>
    </w:pPr>
    <w:fldSimple w:instr=" PAGE   \* MERGEFORMAT ">
      <w:r>
        <w:rPr>
          <w:noProof/>
        </w:rPr>
        <w:t>7</w:t>
      </w:r>
    </w:fldSimple>
  </w:p>
  <w:p w:rsidR="001971A3" w:rsidRDefault="00197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A3" w:rsidRDefault="001971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1971A3" w:rsidRPr="00A91411" w:rsidTr="00483337">
      <w:trPr>
        <w:trHeight w:val="278"/>
      </w:trPr>
      <w:tc>
        <w:tcPr>
          <w:tcW w:w="4927" w:type="dxa"/>
          <w:vAlign w:val="center"/>
        </w:tcPr>
        <w:p w:rsidR="001971A3" w:rsidRPr="00A91411" w:rsidRDefault="001971A3" w:rsidP="00402094">
          <w:pPr>
            <w:pStyle w:val="Footer"/>
            <w:rPr>
              <w:rFonts w:ascii="Arial" w:hAnsi="Arial" w:cs="Arial"/>
              <w:sz w:val="14"/>
              <w:szCs w:val="14"/>
            </w:rPr>
          </w:pPr>
          <w:r w:rsidRPr="00A91411">
            <w:rPr>
              <w:rFonts w:ascii="Arial" w:hAnsi="Arial" w:cs="Arial"/>
              <w:sz w:val="14"/>
              <w:szCs w:val="14"/>
            </w:rPr>
            <w:t>Submission –</w:t>
          </w:r>
          <w:r>
            <w:rPr>
              <w:rFonts w:ascii="Arial" w:hAnsi="Arial" w:cs="Arial"/>
              <w:sz w:val="14"/>
              <w:szCs w:val="14"/>
            </w:rPr>
            <w:t>NTC: A-trailer discussion paper</w:t>
          </w:r>
        </w:p>
      </w:tc>
      <w:tc>
        <w:tcPr>
          <w:tcW w:w="4927" w:type="dxa"/>
          <w:vAlign w:val="center"/>
        </w:tcPr>
        <w:p w:rsidR="001971A3" w:rsidRPr="00A91411" w:rsidRDefault="001971A3" w:rsidP="00483337">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695EFA">
            <w:rPr>
              <w:rFonts w:ascii="Arial" w:hAnsi="Arial" w:cs="Arial"/>
              <w:noProof/>
              <w:sz w:val="14"/>
              <w:szCs w:val="14"/>
            </w:rPr>
            <w:t>9</w:t>
          </w:r>
          <w:r w:rsidRPr="00A91411">
            <w:rPr>
              <w:rFonts w:ascii="Arial" w:hAnsi="Arial" w:cs="Arial"/>
              <w:sz w:val="14"/>
              <w:szCs w:val="14"/>
            </w:rPr>
            <w:fldChar w:fldCharType="end"/>
          </w:r>
        </w:p>
      </w:tc>
    </w:tr>
  </w:tbl>
  <w:p w:rsidR="001971A3" w:rsidRPr="00A91411" w:rsidRDefault="001971A3">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A3" w:rsidRDefault="00197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A3" w:rsidRDefault="001971A3" w:rsidP="005D45D9">
      <w:r>
        <w:separator/>
      </w:r>
    </w:p>
  </w:footnote>
  <w:footnote w:type="continuationSeparator" w:id="0">
    <w:p w:rsidR="001971A3" w:rsidRDefault="001971A3" w:rsidP="005D45D9">
      <w:r>
        <w:continuationSeparator/>
      </w:r>
    </w:p>
  </w:footnote>
  <w:footnote w:id="1">
    <w:p w:rsidR="001971A3" w:rsidRPr="00371241" w:rsidRDefault="001971A3" w:rsidP="002E0FF1">
      <w:pPr>
        <w:ind w:left="142" w:hanging="142"/>
        <w:rPr>
          <w:rFonts w:ascii="Arial" w:eastAsia="Times New Roman" w:hAnsi="Arial" w:cs="Arial"/>
          <w:sz w:val="16"/>
          <w:szCs w:val="16"/>
        </w:rPr>
      </w:pPr>
      <w:r w:rsidRPr="00371241">
        <w:rPr>
          <w:rStyle w:val="FootnoteReference"/>
          <w:rFonts w:ascii="Arial" w:hAnsi="Arial" w:cs="Arial"/>
          <w:sz w:val="16"/>
          <w:szCs w:val="16"/>
        </w:rPr>
        <w:footnoteRef/>
      </w:r>
      <w:r>
        <w:rPr>
          <w:rFonts w:ascii="Arial" w:hAnsi="Arial" w:cs="Arial"/>
          <w:sz w:val="16"/>
          <w:szCs w:val="16"/>
        </w:rPr>
        <w:t xml:space="preserve">  </w:t>
      </w:r>
      <w:r w:rsidRPr="00371241">
        <w:rPr>
          <w:rFonts w:ascii="Arial" w:hAnsi="Arial" w:cs="Arial"/>
          <w:sz w:val="16"/>
          <w:szCs w:val="16"/>
        </w:rPr>
        <w:t xml:space="preserve">Page 7  - </w:t>
      </w:r>
      <w:hyperlink r:id="rId1" w:history="1">
        <w:r w:rsidRPr="00371241">
          <w:rPr>
            <w:rFonts w:ascii="Arial" w:eastAsia="Times New Roman" w:hAnsi="Arial" w:cs="Arial"/>
            <w:sz w:val="16"/>
            <w:szCs w:val="16"/>
          </w:rPr>
          <w:t xml:space="preserve">Trucks to Meet the Future Road Freight Task </w:t>
        </w:r>
      </w:hyperlink>
      <w:r w:rsidRPr="00371241">
        <w:rPr>
          <w:rFonts w:ascii="Arial" w:hAnsi="Arial" w:cs="Arial"/>
          <w:sz w:val="16"/>
          <w:szCs w:val="16"/>
        </w:rPr>
        <w:t xml:space="preserve">– Industry Issue paper presented by the Truck Industry Council and Commercial Vehicle Industry Association of Queensland – November 2004 </w:t>
      </w:r>
    </w:p>
  </w:footnote>
  <w:footnote w:id="2">
    <w:p w:rsidR="001971A3" w:rsidRPr="00371241" w:rsidRDefault="001971A3" w:rsidP="002E0FF1">
      <w:pPr>
        <w:ind w:left="142" w:hanging="142"/>
        <w:rPr>
          <w:rFonts w:ascii="Arial" w:hAnsi="Arial" w:cs="Arial"/>
          <w:sz w:val="16"/>
          <w:szCs w:val="16"/>
        </w:rPr>
      </w:pPr>
      <w:r w:rsidRPr="00371241">
        <w:rPr>
          <w:rStyle w:val="FootnoteReference"/>
          <w:bCs/>
        </w:rPr>
        <w:footnoteRef/>
      </w:r>
      <w:r w:rsidRPr="00371241">
        <w:rPr>
          <w:rFonts w:ascii="Arial" w:hAnsi="Arial" w:cs="Arial"/>
          <w:sz w:val="16"/>
          <w:szCs w:val="16"/>
        </w:rPr>
        <w:t xml:space="preserve"> </w:t>
      </w:r>
      <w:r>
        <w:rPr>
          <w:rFonts w:ascii="Arial" w:hAnsi="Arial" w:cs="Arial"/>
          <w:sz w:val="16"/>
          <w:szCs w:val="16"/>
        </w:rPr>
        <w:t xml:space="preserve"> </w:t>
      </w:r>
      <w:r w:rsidRPr="00371241">
        <w:rPr>
          <w:rFonts w:ascii="Arial" w:hAnsi="Arial" w:cs="Arial"/>
          <w:sz w:val="16"/>
          <w:szCs w:val="16"/>
        </w:rPr>
        <w:t xml:space="preserve">Page 18 - </w:t>
      </w:r>
      <w:hyperlink r:id="rId2" w:history="1">
        <w:r w:rsidRPr="00371241">
          <w:rPr>
            <w:rFonts w:ascii="Arial" w:hAnsi="Arial" w:cs="Arial"/>
            <w:sz w:val="16"/>
            <w:szCs w:val="16"/>
          </w:rPr>
          <w:t xml:space="preserve">Trucks to Meet the Future Road Freight Task </w:t>
        </w:r>
      </w:hyperlink>
      <w:r w:rsidRPr="00371241">
        <w:rPr>
          <w:rFonts w:ascii="Arial" w:hAnsi="Arial" w:cs="Arial"/>
          <w:sz w:val="16"/>
          <w:szCs w:val="16"/>
        </w:rPr>
        <w:t>– Industry Issue paper presented by the Truck Industry Council and Commercial Vehicle Industry Association of Queensland – November 2004</w:t>
      </w:r>
    </w:p>
  </w:footnote>
  <w:footnote w:id="3">
    <w:p w:rsidR="001971A3" w:rsidRPr="007711DB" w:rsidRDefault="001971A3" w:rsidP="002E0FF1">
      <w:pPr>
        <w:pStyle w:val="FootnoteText"/>
        <w:rPr>
          <w:rFonts w:ascii="Arial" w:hAnsi="Arial" w:cs="Arial"/>
          <w:sz w:val="16"/>
          <w:szCs w:val="16"/>
        </w:rPr>
      </w:pPr>
      <w:r w:rsidRPr="007711DB">
        <w:rPr>
          <w:rStyle w:val="FootnoteReference"/>
          <w:sz w:val="16"/>
          <w:szCs w:val="16"/>
        </w:rPr>
        <w:footnoteRef/>
      </w:r>
      <w:r w:rsidRPr="007711DB">
        <w:rPr>
          <w:rFonts w:ascii="Arial" w:hAnsi="Arial" w:cs="Arial"/>
          <w:sz w:val="16"/>
          <w:szCs w:val="16"/>
        </w:rPr>
        <w:t>Page 7 – Bob Pearson - A case study of B-Doubles in Australia</w:t>
      </w:r>
    </w:p>
  </w:footnote>
  <w:footnote w:id="4">
    <w:p w:rsidR="001971A3" w:rsidRPr="007711DB" w:rsidRDefault="001971A3" w:rsidP="002E0FF1">
      <w:pPr>
        <w:pStyle w:val="FootnoteText"/>
        <w:rPr>
          <w:rFonts w:ascii="Arial" w:hAnsi="Arial" w:cs="Arial"/>
          <w:sz w:val="16"/>
          <w:szCs w:val="16"/>
        </w:rPr>
      </w:pPr>
      <w:r w:rsidRPr="007711DB">
        <w:rPr>
          <w:rStyle w:val="FootnoteReference"/>
          <w:sz w:val="16"/>
          <w:szCs w:val="16"/>
        </w:rPr>
        <w:footnoteRef/>
      </w:r>
      <w:r w:rsidRPr="007711DB">
        <w:rPr>
          <w:rFonts w:ascii="Arial" w:hAnsi="Arial" w:cs="Arial"/>
          <w:sz w:val="16"/>
          <w:szCs w:val="16"/>
        </w:rPr>
        <w:t xml:space="preserve"> Page 8 – Bob Pearson - A case study of B-Doubles in Australia</w:t>
      </w:r>
    </w:p>
  </w:footnote>
  <w:footnote w:id="5">
    <w:p w:rsidR="001971A3" w:rsidRPr="007711DB" w:rsidRDefault="001971A3" w:rsidP="002E0FF1">
      <w:pPr>
        <w:pStyle w:val="FootnoteText"/>
        <w:rPr>
          <w:rFonts w:ascii="Arial" w:hAnsi="Arial" w:cs="Arial"/>
          <w:sz w:val="16"/>
          <w:szCs w:val="16"/>
        </w:rPr>
      </w:pPr>
      <w:r w:rsidRPr="007711DB">
        <w:rPr>
          <w:rStyle w:val="FootnoteReference"/>
          <w:sz w:val="16"/>
          <w:szCs w:val="16"/>
        </w:rPr>
        <w:footnoteRef/>
      </w:r>
      <w:r w:rsidRPr="007711DB">
        <w:rPr>
          <w:rFonts w:ascii="Arial" w:hAnsi="Arial" w:cs="Arial"/>
          <w:sz w:val="16"/>
          <w:szCs w:val="16"/>
        </w:rPr>
        <w:t xml:space="preserve">Red tape derailing freight investors – June 27 2011 – the Australian – Annabel Hepworth </w:t>
      </w:r>
    </w:p>
  </w:footnote>
  <w:footnote w:id="6">
    <w:p w:rsidR="001971A3" w:rsidRPr="007711DB" w:rsidRDefault="001971A3" w:rsidP="002E0FF1">
      <w:pPr>
        <w:pStyle w:val="FootnoteText"/>
        <w:rPr>
          <w:rFonts w:ascii="Arial" w:hAnsi="Arial" w:cs="Arial"/>
          <w:sz w:val="16"/>
          <w:szCs w:val="16"/>
        </w:rPr>
      </w:pPr>
      <w:r w:rsidRPr="007711DB">
        <w:rPr>
          <w:rStyle w:val="FootnoteReference"/>
          <w:rFonts w:ascii="Arial" w:hAnsi="Arial" w:cs="Arial"/>
          <w:sz w:val="16"/>
          <w:szCs w:val="16"/>
        </w:rPr>
        <w:footnoteRef/>
      </w:r>
      <w:r w:rsidRPr="007711DB">
        <w:rPr>
          <w:rFonts w:ascii="Arial" w:hAnsi="Arial" w:cs="Arial"/>
          <w:sz w:val="16"/>
          <w:szCs w:val="16"/>
        </w:rPr>
        <w:t xml:space="preserve"> Page 10 - Bob Pearson - A case study of B-Doubles in Australia</w:t>
      </w:r>
    </w:p>
  </w:footnote>
  <w:footnote w:id="7">
    <w:p w:rsidR="001971A3" w:rsidRPr="007711DB" w:rsidRDefault="001971A3" w:rsidP="002E0FF1">
      <w:pPr>
        <w:pStyle w:val="FootnoteText"/>
        <w:rPr>
          <w:rFonts w:ascii="Arial" w:hAnsi="Arial" w:cs="Arial"/>
          <w:sz w:val="16"/>
          <w:szCs w:val="16"/>
        </w:rPr>
      </w:pPr>
      <w:r w:rsidRPr="007711DB">
        <w:rPr>
          <w:rStyle w:val="FootnoteReference"/>
          <w:rFonts w:ascii="Arial" w:hAnsi="Arial" w:cs="Arial"/>
          <w:sz w:val="16"/>
          <w:szCs w:val="16"/>
        </w:rPr>
        <w:footnoteRef/>
      </w:r>
      <w:r w:rsidRPr="007711DB">
        <w:rPr>
          <w:rFonts w:ascii="Arial" w:hAnsi="Arial" w:cs="Arial"/>
          <w:sz w:val="16"/>
          <w:szCs w:val="16"/>
        </w:rPr>
        <w:t xml:space="preserve"> 17-18 Trucking – driving Australia’s growth and prosperity – prepared by the Australian Trucking Association – August 2004</w:t>
      </w:r>
    </w:p>
  </w:footnote>
  <w:footnote w:id="8">
    <w:p w:rsidR="001971A3" w:rsidRPr="007711DB" w:rsidRDefault="001971A3" w:rsidP="002E0FF1">
      <w:pPr>
        <w:pStyle w:val="FootnoteText"/>
        <w:rPr>
          <w:rFonts w:ascii="Arial" w:hAnsi="Arial" w:cs="Arial"/>
          <w:sz w:val="16"/>
          <w:szCs w:val="16"/>
        </w:rPr>
      </w:pPr>
      <w:r w:rsidRPr="007711DB">
        <w:rPr>
          <w:rStyle w:val="FootnoteReference"/>
          <w:rFonts w:ascii="Arial" w:hAnsi="Arial" w:cs="Arial"/>
          <w:sz w:val="16"/>
          <w:szCs w:val="16"/>
        </w:rPr>
        <w:footnoteRef/>
      </w:r>
      <w:r w:rsidRPr="007711DB">
        <w:rPr>
          <w:rFonts w:ascii="Arial" w:hAnsi="Arial" w:cs="Arial"/>
          <w:sz w:val="16"/>
          <w:szCs w:val="16"/>
        </w:rPr>
        <w:t xml:space="preserve"> </w:t>
      </w:r>
      <w:proofErr w:type="gramStart"/>
      <w:r w:rsidRPr="007711DB">
        <w:rPr>
          <w:rFonts w:ascii="Arial" w:hAnsi="Arial" w:cs="Arial"/>
          <w:sz w:val="16"/>
          <w:szCs w:val="16"/>
        </w:rPr>
        <w:t>Truck Week 21-2</w:t>
      </w:r>
      <w:r>
        <w:rPr>
          <w:rFonts w:ascii="Arial" w:hAnsi="Arial" w:cs="Arial"/>
          <w:sz w:val="16"/>
          <w:szCs w:val="16"/>
        </w:rPr>
        <w:t xml:space="preserve">7 February 2010 – environmental </w:t>
      </w:r>
      <w:r w:rsidRPr="007711DB">
        <w:rPr>
          <w:rFonts w:ascii="Arial" w:hAnsi="Arial" w:cs="Arial"/>
          <w:sz w:val="16"/>
          <w:szCs w:val="16"/>
        </w:rPr>
        <w:t>performance.</w:t>
      </w:r>
      <w:proofErr w:type="gramEnd"/>
      <w:r w:rsidRPr="007711DB">
        <w:rPr>
          <w:rFonts w:ascii="Arial" w:hAnsi="Arial" w:cs="Arial"/>
          <w:sz w:val="16"/>
          <w:szCs w:val="16"/>
        </w:rPr>
        <w:t xml:space="preserve"> </w:t>
      </w:r>
    </w:p>
  </w:footnote>
  <w:footnote w:id="9">
    <w:p w:rsidR="001971A3" w:rsidRPr="000969DD" w:rsidRDefault="001971A3">
      <w:pPr>
        <w:pStyle w:val="FootnoteText"/>
        <w:rPr>
          <w:sz w:val="16"/>
          <w:szCs w:val="16"/>
        </w:rPr>
      </w:pPr>
      <w:r w:rsidRPr="000969DD">
        <w:rPr>
          <w:rStyle w:val="FootnoteReference"/>
          <w:sz w:val="16"/>
          <w:szCs w:val="16"/>
        </w:rPr>
        <w:footnoteRef/>
      </w:r>
      <w:r w:rsidRPr="000969DD">
        <w:rPr>
          <w:sz w:val="16"/>
          <w:szCs w:val="16"/>
        </w:rPr>
        <w:t xml:space="preserve"> Table 12 page 27 of the third heavy vehicle road pricing determination: technical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A3" w:rsidRPr="00E8056B" w:rsidRDefault="001971A3" w:rsidP="00483337">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1971A3" w:rsidRDefault="00197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A3" w:rsidRDefault="001971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A3" w:rsidRPr="0019542E" w:rsidRDefault="001971A3" w:rsidP="00483337">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A3" w:rsidRDefault="00197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E9"/>
    <w:multiLevelType w:val="hybridMultilevel"/>
    <w:tmpl w:val="04860B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1FB236A"/>
    <w:multiLevelType w:val="hybridMultilevel"/>
    <w:tmpl w:val="BA36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2F23BB"/>
    <w:multiLevelType w:val="hybridMultilevel"/>
    <w:tmpl w:val="EBFCE3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2E7B16"/>
    <w:multiLevelType w:val="hybridMultilevel"/>
    <w:tmpl w:val="799E25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8F7EFD"/>
    <w:multiLevelType w:val="hybridMultilevel"/>
    <w:tmpl w:val="F538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5057C4"/>
    <w:multiLevelType w:val="hybridMultilevel"/>
    <w:tmpl w:val="9FBC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0A09D0"/>
    <w:multiLevelType w:val="hybridMultilevel"/>
    <w:tmpl w:val="26FA8D2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7">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54B616A6"/>
    <w:multiLevelType w:val="hybridMultilevel"/>
    <w:tmpl w:val="1802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BB3274"/>
    <w:multiLevelType w:val="hybridMultilevel"/>
    <w:tmpl w:val="D1C28D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95124"/>
    <w:multiLevelType w:val="hybridMultilevel"/>
    <w:tmpl w:val="7B4482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638061DF"/>
    <w:multiLevelType w:val="hybridMultilevel"/>
    <w:tmpl w:val="C2420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E17822"/>
    <w:multiLevelType w:val="hybridMultilevel"/>
    <w:tmpl w:val="883022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2C0B23"/>
    <w:multiLevelType w:val="hybridMultilevel"/>
    <w:tmpl w:val="F49CABB4"/>
    <w:lvl w:ilvl="0" w:tplc="BDAE637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1"/>
  </w:num>
  <w:num w:numId="5">
    <w:abstractNumId w:val="5"/>
  </w:num>
  <w:num w:numId="6">
    <w:abstractNumId w:val="7"/>
  </w:num>
  <w:num w:numId="7">
    <w:abstractNumId w:val="7"/>
  </w:num>
  <w:num w:numId="8">
    <w:abstractNumId w:val="4"/>
  </w:num>
  <w:num w:numId="9">
    <w:abstractNumId w:val="0"/>
  </w:num>
  <w:num w:numId="10">
    <w:abstractNumId w:val="11"/>
  </w:num>
  <w:num w:numId="11">
    <w:abstractNumId w:val="11"/>
  </w:num>
  <w:num w:numId="12">
    <w:abstractNumId w:val="11"/>
  </w:num>
  <w:num w:numId="13">
    <w:abstractNumId w:val="10"/>
  </w:num>
  <w:num w:numId="14">
    <w:abstractNumId w:val="11"/>
  </w:num>
  <w:num w:numId="15">
    <w:abstractNumId w:val="9"/>
  </w:num>
  <w:num w:numId="16">
    <w:abstractNumId w:val="11"/>
  </w:num>
  <w:num w:numId="17">
    <w:abstractNumId w:val="11"/>
  </w:num>
  <w:num w:numId="18">
    <w:abstractNumId w:val="11"/>
  </w:num>
  <w:num w:numId="19">
    <w:abstractNumId w:val="6"/>
  </w:num>
  <w:num w:numId="20">
    <w:abstractNumId w:val="1"/>
  </w:num>
  <w:num w:numId="21">
    <w:abstractNumId w:val="11"/>
  </w:num>
  <w:num w:numId="22">
    <w:abstractNumId w:val="11"/>
  </w:num>
  <w:num w:numId="23">
    <w:abstractNumId w:val="11"/>
  </w:num>
  <w:num w:numId="24">
    <w:abstractNumId w:val="3"/>
  </w:num>
  <w:num w:numId="25">
    <w:abstractNumId w:val="2"/>
  </w:num>
  <w:num w:numId="26">
    <w:abstractNumId w:val="11"/>
  </w:num>
  <w:num w:numId="27">
    <w:abstractNumId w:val="11"/>
  </w:num>
  <w:num w:numId="28">
    <w:abstractNumId w:val="11"/>
  </w:num>
  <w:num w:numId="29">
    <w:abstractNumId w:val="11"/>
  </w:num>
  <w:num w:numId="30">
    <w:abstractNumId w:val="12"/>
  </w:num>
  <w:num w:numId="31">
    <w:abstractNumId w:val="11"/>
  </w:num>
  <w:num w:numId="32">
    <w:abstractNumId w:val="11"/>
  </w:num>
  <w:num w:numId="33">
    <w:abstractNumId w:val="11"/>
  </w:num>
  <w:num w:numId="34">
    <w:abstractNumId w:val="11"/>
  </w:num>
  <w:num w:numId="35">
    <w:abstractNumId w:val="11"/>
  </w:num>
  <w:num w:numId="36">
    <w:abstractNumId w:val="14"/>
  </w:num>
  <w:num w:numId="37">
    <w:abstractNumId w:val="11"/>
  </w:num>
  <w:num w:numId="38">
    <w:abstractNumId w:val="13"/>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111F71"/>
    <w:rsid w:val="0000155F"/>
    <w:rsid w:val="00020687"/>
    <w:rsid w:val="00024514"/>
    <w:rsid w:val="00033C9B"/>
    <w:rsid w:val="000377D0"/>
    <w:rsid w:val="0004764C"/>
    <w:rsid w:val="00047768"/>
    <w:rsid w:val="00051BA5"/>
    <w:rsid w:val="000544F8"/>
    <w:rsid w:val="00056BF3"/>
    <w:rsid w:val="00057C98"/>
    <w:rsid w:val="00062408"/>
    <w:rsid w:val="00062FCC"/>
    <w:rsid w:val="00063B9F"/>
    <w:rsid w:val="00064175"/>
    <w:rsid w:val="00066D55"/>
    <w:rsid w:val="00072D57"/>
    <w:rsid w:val="000739D5"/>
    <w:rsid w:val="00077DBF"/>
    <w:rsid w:val="00080FA5"/>
    <w:rsid w:val="000811F0"/>
    <w:rsid w:val="00081BA6"/>
    <w:rsid w:val="00095A48"/>
    <w:rsid w:val="000969DD"/>
    <w:rsid w:val="000A0F9B"/>
    <w:rsid w:val="000B7362"/>
    <w:rsid w:val="000C3F44"/>
    <w:rsid w:val="000D0EEF"/>
    <w:rsid w:val="000D5CD9"/>
    <w:rsid w:val="000E0C8A"/>
    <w:rsid w:val="000E2913"/>
    <w:rsid w:val="000E5890"/>
    <w:rsid w:val="000E6154"/>
    <w:rsid w:val="000E626F"/>
    <w:rsid w:val="000F7500"/>
    <w:rsid w:val="00105059"/>
    <w:rsid w:val="00107B06"/>
    <w:rsid w:val="00110A05"/>
    <w:rsid w:val="00111F71"/>
    <w:rsid w:val="00117A56"/>
    <w:rsid w:val="00122CC6"/>
    <w:rsid w:val="0013140F"/>
    <w:rsid w:val="00132F46"/>
    <w:rsid w:val="0015383D"/>
    <w:rsid w:val="00160FB0"/>
    <w:rsid w:val="0016163A"/>
    <w:rsid w:val="001653C5"/>
    <w:rsid w:val="001677E0"/>
    <w:rsid w:val="00173D43"/>
    <w:rsid w:val="001751C5"/>
    <w:rsid w:val="00183AA0"/>
    <w:rsid w:val="001844D2"/>
    <w:rsid w:val="001971A3"/>
    <w:rsid w:val="001A2121"/>
    <w:rsid w:val="001B05CE"/>
    <w:rsid w:val="001B6E68"/>
    <w:rsid w:val="001B709D"/>
    <w:rsid w:val="001C3DB6"/>
    <w:rsid w:val="001D4814"/>
    <w:rsid w:val="001D4ADF"/>
    <w:rsid w:val="001E0B31"/>
    <w:rsid w:val="001E603D"/>
    <w:rsid w:val="001F0CFF"/>
    <w:rsid w:val="001F35A4"/>
    <w:rsid w:val="001F6150"/>
    <w:rsid w:val="00203FCD"/>
    <w:rsid w:val="00204CD4"/>
    <w:rsid w:val="002101AF"/>
    <w:rsid w:val="00213A8A"/>
    <w:rsid w:val="002361E2"/>
    <w:rsid w:val="00237333"/>
    <w:rsid w:val="00241591"/>
    <w:rsid w:val="0024266E"/>
    <w:rsid w:val="0025073F"/>
    <w:rsid w:val="002547EF"/>
    <w:rsid w:val="00255170"/>
    <w:rsid w:val="002553C7"/>
    <w:rsid w:val="002606F7"/>
    <w:rsid w:val="0026305F"/>
    <w:rsid w:val="0026582A"/>
    <w:rsid w:val="002812CB"/>
    <w:rsid w:val="0028369E"/>
    <w:rsid w:val="002861FD"/>
    <w:rsid w:val="002A0F54"/>
    <w:rsid w:val="002A4C0D"/>
    <w:rsid w:val="002A631B"/>
    <w:rsid w:val="002B2DD2"/>
    <w:rsid w:val="002B359F"/>
    <w:rsid w:val="002B55C7"/>
    <w:rsid w:val="002B64F9"/>
    <w:rsid w:val="002C0C31"/>
    <w:rsid w:val="002C2A10"/>
    <w:rsid w:val="002C40B7"/>
    <w:rsid w:val="002D768E"/>
    <w:rsid w:val="002E0FF1"/>
    <w:rsid w:val="002E17C5"/>
    <w:rsid w:val="002E3EE6"/>
    <w:rsid w:val="002F1387"/>
    <w:rsid w:val="002F29F2"/>
    <w:rsid w:val="00300037"/>
    <w:rsid w:val="00302C49"/>
    <w:rsid w:val="00305F3D"/>
    <w:rsid w:val="00311F46"/>
    <w:rsid w:val="00312A0B"/>
    <w:rsid w:val="00326D80"/>
    <w:rsid w:val="00327881"/>
    <w:rsid w:val="003427C5"/>
    <w:rsid w:val="00343101"/>
    <w:rsid w:val="00345DBF"/>
    <w:rsid w:val="003530AF"/>
    <w:rsid w:val="00355C07"/>
    <w:rsid w:val="00355C9F"/>
    <w:rsid w:val="00367239"/>
    <w:rsid w:val="0036725E"/>
    <w:rsid w:val="003674D2"/>
    <w:rsid w:val="00371E24"/>
    <w:rsid w:val="00375879"/>
    <w:rsid w:val="00386449"/>
    <w:rsid w:val="00392129"/>
    <w:rsid w:val="003A001F"/>
    <w:rsid w:val="003A22F1"/>
    <w:rsid w:val="003A2B82"/>
    <w:rsid w:val="003A3FB6"/>
    <w:rsid w:val="003A43B4"/>
    <w:rsid w:val="003B79FE"/>
    <w:rsid w:val="003D018C"/>
    <w:rsid w:val="003D2137"/>
    <w:rsid w:val="003D3506"/>
    <w:rsid w:val="003E0DDD"/>
    <w:rsid w:val="003E403D"/>
    <w:rsid w:val="003E6AA1"/>
    <w:rsid w:val="003F0BD2"/>
    <w:rsid w:val="003F0F4F"/>
    <w:rsid w:val="003F2DC6"/>
    <w:rsid w:val="00400EF5"/>
    <w:rsid w:val="00401440"/>
    <w:rsid w:val="00402094"/>
    <w:rsid w:val="00406197"/>
    <w:rsid w:val="00406FCB"/>
    <w:rsid w:val="00415330"/>
    <w:rsid w:val="00415EC1"/>
    <w:rsid w:val="00422220"/>
    <w:rsid w:val="00423135"/>
    <w:rsid w:val="0042757E"/>
    <w:rsid w:val="00435AB7"/>
    <w:rsid w:val="00441919"/>
    <w:rsid w:val="00443877"/>
    <w:rsid w:val="004476EE"/>
    <w:rsid w:val="00450069"/>
    <w:rsid w:val="004507C6"/>
    <w:rsid w:val="0045082E"/>
    <w:rsid w:val="00450C74"/>
    <w:rsid w:val="00453001"/>
    <w:rsid w:val="004572DF"/>
    <w:rsid w:val="00466557"/>
    <w:rsid w:val="004721BE"/>
    <w:rsid w:val="0048037F"/>
    <w:rsid w:val="00483337"/>
    <w:rsid w:val="00483B90"/>
    <w:rsid w:val="00492778"/>
    <w:rsid w:val="00493DB5"/>
    <w:rsid w:val="004A02D7"/>
    <w:rsid w:val="004A189D"/>
    <w:rsid w:val="004B161C"/>
    <w:rsid w:val="004B2137"/>
    <w:rsid w:val="004C1697"/>
    <w:rsid w:val="004D1A89"/>
    <w:rsid w:val="004D6850"/>
    <w:rsid w:val="004E5C52"/>
    <w:rsid w:val="004F3A96"/>
    <w:rsid w:val="00501297"/>
    <w:rsid w:val="00505984"/>
    <w:rsid w:val="00506A5B"/>
    <w:rsid w:val="00507824"/>
    <w:rsid w:val="00515682"/>
    <w:rsid w:val="0051761C"/>
    <w:rsid w:val="005217C1"/>
    <w:rsid w:val="00522BD4"/>
    <w:rsid w:val="00524341"/>
    <w:rsid w:val="00536CAD"/>
    <w:rsid w:val="005379C6"/>
    <w:rsid w:val="00543789"/>
    <w:rsid w:val="00544647"/>
    <w:rsid w:val="005456D4"/>
    <w:rsid w:val="00545FAE"/>
    <w:rsid w:val="00550BBC"/>
    <w:rsid w:val="00550EBF"/>
    <w:rsid w:val="00560C8A"/>
    <w:rsid w:val="00570F35"/>
    <w:rsid w:val="005713D9"/>
    <w:rsid w:val="00572C7D"/>
    <w:rsid w:val="00574472"/>
    <w:rsid w:val="00581A84"/>
    <w:rsid w:val="0058224B"/>
    <w:rsid w:val="00583417"/>
    <w:rsid w:val="0059006C"/>
    <w:rsid w:val="005905DA"/>
    <w:rsid w:val="0059083F"/>
    <w:rsid w:val="005A1D4C"/>
    <w:rsid w:val="005A31D7"/>
    <w:rsid w:val="005B3A20"/>
    <w:rsid w:val="005B5A60"/>
    <w:rsid w:val="005C18A8"/>
    <w:rsid w:val="005C42A3"/>
    <w:rsid w:val="005C650B"/>
    <w:rsid w:val="005C6CE6"/>
    <w:rsid w:val="005D45D9"/>
    <w:rsid w:val="005D5636"/>
    <w:rsid w:val="005D5CDE"/>
    <w:rsid w:val="005E2085"/>
    <w:rsid w:val="005E5B9E"/>
    <w:rsid w:val="005E7AEA"/>
    <w:rsid w:val="005F4C40"/>
    <w:rsid w:val="00600AFF"/>
    <w:rsid w:val="00601C83"/>
    <w:rsid w:val="00605318"/>
    <w:rsid w:val="00606C69"/>
    <w:rsid w:val="006142BF"/>
    <w:rsid w:val="0061611C"/>
    <w:rsid w:val="006165C7"/>
    <w:rsid w:val="00617771"/>
    <w:rsid w:val="00633020"/>
    <w:rsid w:val="0064016D"/>
    <w:rsid w:val="00640874"/>
    <w:rsid w:val="00643A2A"/>
    <w:rsid w:val="006479DF"/>
    <w:rsid w:val="006521A6"/>
    <w:rsid w:val="00655F5C"/>
    <w:rsid w:val="0067024E"/>
    <w:rsid w:val="00672157"/>
    <w:rsid w:val="006723C3"/>
    <w:rsid w:val="00675EF2"/>
    <w:rsid w:val="006834EF"/>
    <w:rsid w:val="00686346"/>
    <w:rsid w:val="00686CAE"/>
    <w:rsid w:val="0068724D"/>
    <w:rsid w:val="00693ED9"/>
    <w:rsid w:val="006950E9"/>
    <w:rsid w:val="00695EFA"/>
    <w:rsid w:val="0069771A"/>
    <w:rsid w:val="006A0104"/>
    <w:rsid w:val="006A0811"/>
    <w:rsid w:val="006B6AB8"/>
    <w:rsid w:val="006C640C"/>
    <w:rsid w:val="006F1EF0"/>
    <w:rsid w:val="006F2857"/>
    <w:rsid w:val="00700A01"/>
    <w:rsid w:val="00711753"/>
    <w:rsid w:val="0071455E"/>
    <w:rsid w:val="007147A9"/>
    <w:rsid w:val="007149E5"/>
    <w:rsid w:val="00717F06"/>
    <w:rsid w:val="00717F19"/>
    <w:rsid w:val="007215D4"/>
    <w:rsid w:val="00740788"/>
    <w:rsid w:val="0074238A"/>
    <w:rsid w:val="00753CB7"/>
    <w:rsid w:val="00755176"/>
    <w:rsid w:val="007566F7"/>
    <w:rsid w:val="0075786E"/>
    <w:rsid w:val="0076260A"/>
    <w:rsid w:val="007634A3"/>
    <w:rsid w:val="007663F5"/>
    <w:rsid w:val="0077180E"/>
    <w:rsid w:val="00776376"/>
    <w:rsid w:val="007773F1"/>
    <w:rsid w:val="007825D0"/>
    <w:rsid w:val="0078506E"/>
    <w:rsid w:val="00786FA1"/>
    <w:rsid w:val="00791D34"/>
    <w:rsid w:val="00793840"/>
    <w:rsid w:val="00794E9F"/>
    <w:rsid w:val="007970BD"/>
    <w:rsid w:val="007A5FE7"/>
    <w:rsid w:val="007B0B77"/>
    <w:rsid w:val="007C4363"/>
    <w:rsid w:val="007D1B42"/>
    <w:rsid w:val="007D5525"/>
    <w:rsid w:val="007E4F2E"/>
    <w:rsid w:val="007E5F0D"/>
    <w:rsid w:val="00800AD5"/>
    <w:rsid w:val="00811D33"/>
    <w:rsid w:val="00813B72"/>
    <w:rsid w:val="0081523C"/>
    <w:rsid w:val="00820A80"/>
    <w:rsid w:val="008225DC"/>
    <w:rsid w:val="00822EBD"/>
    <w:rsid w:val="00823CCF"/>
    <w:rsid w:val="0083700B"/>
    <w:rsid w:val="00840706"/>
    <w:rsid w:val="00842788"/>
    <w:rsid w:val="008468F3"/>
    <w:rsid w:val="008518B9"/>
    <w:rsid w:val="00857351"/>
    <w:rsid w:val="0086160F"/>
    <w:rsid w:val="0086208D"/>
    <w:rsid w:val="00863369"/>
    <w:rsid w:val="0086596A"/>
    <w:rsid w:val="008659C8"/>
    <w:rsid w:val="00875045"/>
    <w:rsid w:val="00887309"/>
    <w:rsid w:val="00892D6B"/>
    <w:rsid w:val="008A28C3"/>
    <w:rsid w:val="008B3E26"/>
    <w:rsid w:val="008D30DA"/>
    <w:rsid w:val="008D5056"/>
    <w:rsid w:val="008E4BBA"/>
    <w:rsid w:val="008E538B"/>
    <w:rsid w:val="008E65FE"/>
    <w:rsid w:val="008F0569"/>
    <w:rsid w:val="008F7203"/>
    <w:rsid w:val="009017FD"/>
    <w:rsid w:val="009165C9"/>
    <w:rsid w:val="00916C46"/>
    <w:rsid w:val="00925249"/>
    <w:rsid w:val="00927633"/>
    <w:rsid w:val="009277AF"/>
    <w:rsid w:val="00930894"/>
    <w:rsid w:val="00932BC4"/>
    <w:rsid w:val="0093312C"/>
    <w:rsid w:val="00961C02"/>
    <w:rsid w:val="00972476"/>
    <w:rsid w:val="00987CB8"/>
    <w:rsid w:val="00991058"/>
    <w:rsid w:val="009A55D8"/>
    <w:rsid w:val="009A566F"/>
    <w:rsid w:val="009B3C8C"/>
    <w:rsid w:val="009B5235"/>
    <w:rsid w:val="009C3C96"/>
    <w:rsid w:val="009C4775"/>
    <w:rsid w:val="009E1D14"/>
    <w:rsid w:val="009F0AA8"/>
    <w:rsid w:val="009F38D5"/>
    <w:rsid w:val="00A01B5D"/>
    <w:rsid w:val="00A14B4A"/>
    <w:rsid w:val="00A250BB"/>
    <w:rsid w:val="00A27294"/>
    <w:rsid w:val="00A46AC2"/>
    <w:rsid w:val="00A5394E"/>
    <w:rsid w:val="00A5651B"/>
    <w:rsid w:val="00A57E95"/>
    <w:rsid w:val="00A60756"/>
    <w:rsid w:val="00A642C3"/>
    <w:rsid w:val="00A66068"/>
    <w:rsid w:val="00A66A70"/>
    <w:rsid w:val="00A82605"/>
    <w:rsid w:val="00A8482D"/>
    <w:rsid w:val="00A91243"/>
    <w:rsid w:val="00A9298E"/>
    <w:rsid w:val="00A93EBE"/>
    <w:rsid w:val="00A96823"/>
    <w:rsid w:val="00AA325F"/>
    <w:rsid w:val="00AA3E5F"/>
    <w:rsid w:val="00AB2538"/>
    <w:rsid w:val="00AB57B1"/>
    <w:rsid w:val="00AC10B1"/>
    <w:rsid w:val="00AC206F"/>
    <w:rsid w:val="00AC3495"/>
    <w:rsid w:val="00AE0280"/>
    <w:rsid w:val="00AE0CFC"/>
    <w:rsid w:val="00AF4269"/>
    <w:rsid w:val="00AF654B"/>
    <w:rsid w:val="00B01E98"/>
    <w:rsid w:val="00B0254A"/>
    <w:rsid w:val="00B02B6D"/>
    <w:rsid w:val="00B03C58"/>
    <w:rsid w:val="00B041F2"/>
    <w:rsid w:val="00B06847"/>
    <w:rsid w:val="00B14CE6"/>
    <w:rsid w:val="00B47015"/>
    <w:rsid w:val="00B57B52"/>
    <w:rsid w:val="00B614BD"/>
    <w:rsid w:val="00B6376A"/>
    <w:rsid w:val="00B65A5E"/>
    <w:rsid w:val="00B6641E"/>
    <w:rsid w:val="00B668DE"/>
    <w:rsid w:val="00B73FCD"/>
    <w:rsid w:val="00B742B1"/>
    <w:rsid w:val="00B8286E"/>
    <w:rsid w:val="00B83647"/>
    <w:rsid w:val="00B83653"/>
    <w:rsid w:val="00B858D9"/>
    <w:rsid w:val="00B97C38"/>
    <w:rsid w:val="00BB21DC"/>
    <w:rsid w:val="00BC16DB"/>
    <w:rsid w:val="00BC1F1E"/>
    <w:rsid w:val="00BC6217"/>
    <w:rsid w:val="00BC73C8"/>
    <w:rsid w:val="00BD46E7"/>
    <w:rsid w:val="00BE3A93"/>
    <w:rsid w:val="00BE481F"/>
    <w:rsid w:val="00BE763F"/>
    <w:rsid w:val="00BF0906"/>
    <w:rsid w:val="00C00ACB"/>
    <w:rsid w:val="00C0679A"/>
    <w:rsid w:val="00C07BA2"/>
    <w:rsid w:val="00C11E50"/>
    <w:rsid w:val="00C24BB1"/>
    <w:rsid w:val="00C309A9"/>
    <w:rsid w:val="00C33F34"/>
    <w:rsid w:val="00C340B9"/>
    <w:rsid w:val="00C349C1"/>
    <w:rsid w:val="00C37FF3"/>
    <w:rsid w:val="00C42187"/>
    <w:rsid w:val="00C4602C"/>
    <w:rsid w:val="00C579E6"/>
    <w:rsid w:val="00C62274"/>
    <w:rsid w:val="00C630B7"/>
    <w:rsid w:val="00C916DB"/>
    <w:rsid w:val="00CA6395"/>
    <w:rsid w:val="00CB4F20"/>
    <w:rsid w:val="00CB5126"/>
    <w:rsid w:val="00CB6823"/>
    <w:rsid w:val="00CC54C6"/>
    <w:rsid w:val="00CC7635"/>
    <w:rsid w:val="00CD361B"/>
    <w:rsid w:val="00CD3EE7"/>
    <w:rsid w:val="00CD424E"/>
    <w:rsid w:val="00CD5459"/>
    <w:rsid w:val="00CD6715"/>
    <w:rsid w:val="00CE7F3A"/>
    <w:rsid w:val="00CF3AED"/>
    <w:rsid w:val="00CF3CF6"/>
    <w:rsid w:val="00CF5501"/>
    <w:rsid w:val="00D049EE"/>
    <w:rsid w:val="00D07E61"/>
    <w:rsid w:val="00D12FE3"/>
    <w:rsid w:val="00D164E5"/>
    <w:rsid w:val="00D17C52"/>
    <w:rsid w:val="00D17CF4"/>
    <w:rsid w:val="00D2072C"/>
    <w:rsid w:val="00D23CD7"/>
    <w:rsid w:val="00D25755"/>
    <w:rsid w:val="00D31E18"/>
    <w:rsid w:val="00D33954"/>
    <w:rsid w:val="00D34BAB"/>
    <w:rsid w:val="00D43D44"/>
    <w:rsid w:val="00D448C2"/>
    <w:rsid w:val="00D63F81"/>
    <w:rsid w:val="00D673F3"/>
    <w:rsid w:val="00D819AF"/>
    <w:rsid w:val="00D85D02"/>
    <w:rsid w:val="00D85FB1"/>
    <w:rsid w:val="00D87D81"/>
    <w:rsid w:val="00D91752"/>
    <w:rsid w:val="00D91B8D"/>
    <w:rsid w:val="00D92FB5"/>
    <w:rsid w:val="00D963F2"/>
    <w:rsid w:val="00DA60B6"/>
    <w:rsid w:val="00DB0BBA"/>
    <w:rsid w:val="00DB56E6"/>
    <w:rsid w:val="00DB63C5"/>
    <w:rsid w:val="00DC3269"/>
    <w:rsid w:val="00DC7F91"/>
    <w:rsid w:val="00DD3C62"/>
    <w:rsid w:val="00DD4A90"/>
    <w:rsid w:val="00DD5A4F"/>
    <w:rsid w:val="00DE19B1"/>
    <w:rsid w:val="00DE279A"/>
    <w:rsid w:val="00DE3554"/>
    <w:rsid w:val="00DF5667"/>
    <w:rsid w:val="00DF7A80"/>
    <w:rsid w:val="00E03B9B"/>
    <w:rsid w:val="00E07DA9"/>
    <w:rsid w:val="00E25413"/>
    <w:rsid w:val="00E323A1"/>
    <w:rsid w:val="00E4590A"/>
    <w:rsid w:val="00E520A6"/>
    <w:rsid w:val="00E54FFF"/>
    <w:rsid w:val="00E55CC1"/>
    <w:rsid w:val="00E62037"/>
    <w:rsid w:val="00E71A8F"/>
    <w:rsid w:val="00E71B31"/>
    <w:rsid w:val="00E73AE2"/>
    <w:rsid w:val="00E75FCA"/>
    <w:rsid w:val="00E95BFF"/>
    <w:rsid w:val="00EA1F41"/>
    <w:rsid w:val="00EB4854"/>
    <w:rsid w:val="00EB65BE"/>
    <w:rsid w:val="00EC7924"/>
    <w:rsid w:val="00ED3977"/>
    <w:rsid w:val="00ED6E9F"/>
    <w:rsid w:val="00EF0BF2"/>
    <w:rsid w:val="00EF5AFB"/>
    <w:rsid w:val="00EF6739"/>
    <w:rsid w:val="00F036C9"/>
    <w:rsid w:val="00F10761"/>
    <w:rsid w:val="00F134AF"/>
    <w:rsid w:val="00F13906"/>
    <w:rsid w:val="00F16A21"/>
    <w:rsid w:val="00F252B0"/>
    <w:rsid w:val="00F25CC5"/>
    <w:rsid w:val="00F274CC"/>
    <w:rsid w:val="00F40D11"/>
    <w:rsid w:val="00F437EF"/>
    <w:rsid w:val="00F50321"/>
    <w:rsid w:val="00F668E6"/>
    <w:rsid w:val="00F74038"/>
    <w:rsid w:val="00F75886"/>
    <w:rsid w:val="00F80721"/>
    <w:rsid w:val="00F810FA"/>
    <w:rsid w:val="00F82117"/>
    <w:rsid w:val="00F829D4"/>
    <w:rsid w:val="00F83170"/>
    <w:rsid w:val="00F973C2"/>
    <w:rsid w:val="00FA255F"/>
    <w:rsid w:val="00FA55FA"/>
    <w:rsid w:val="00FA5B69"/>
    <w:rsid w:val="00FB07BE"/>
    <w:rsid w:val="00FB2002"/>
    <w:rsid w:val="00FB5658"/>
    <w:rsid w:val="00FD3B16"/>
    <w:rsid w:val="00FE066E"/>
    <w:rsid w:val="00FE26DD"/>
    <w:rsid w:val="00FE432B"/>
    <w:rsid w:val="00FE794C"/>
    <w:rsid w:val="00FF3920"/>
    <w:rsid w:val="00FF7A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71"/>
    <w:pPr>
      <w:spacing w:after="0" w:line="240" w:lineRule="auto"/>
    </w:pPr>
    <w:rPr>
      <w:rFonts w:ascii="Calibri" w:eastAsia="Calibri" w:hAnsi="Calibri" w:cs="Times New Roman"/>
    </w:rPr>
  </w:style>
  <w:style w:type="paragraph" w:styleId="Heading1">
    <w:name w:val="heading 1"/>
    <w:aliases w:val="ATA Submission Heading 1"/>
    <w:basedOn w:val="Normal"/>
    <w:next w:val="Normal"/>
    <w:link w:val="Heading1Char"/>
    <w:uiPriority w:val="99"/>
    <w:qFormat/>
    <w:rsid w:val="00111F71"/>
    <w:pPr>
      <w:numPr>
        <w:numId w:val="1"/>
      </w:numPr>
      <w:outlineLvl w:val="0"/>
    </w:pPr>
    <w:rPr>
      <w:rFonts w:ascii="Arial" w:hAnsi="Arial" w:cs="Arial"/>
      <w:b/>
      <w:color w:val="00006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rsid w:val="00111F71"/>
    <w:rPr>
      <w:rFonts w:ascii="Arial" w:eastAsia="Calibri" w:hAnsi="Arial" w:cs="Arial"/>
      <w:b/>
      <w:color w:val="000064"/>
      <w:sz w:val="28"/>
      <w:szCs w:val="28"/>
    </w:rPr>
  </w:style>
  <w:style w:type="table" w:styleId="TableGrid">
    <w:name w:val="Table Grid"/>
    <w:basedOn w:val="TableNormal"/>
    <w:uiPriority w:val="59"/>
    <w:rsid w:val="00111F71"/>
    <w:pPr>
      <w:spacing w:after="0" w:line="240" w:lineRule="auto"/>
    </w:pPr>
    <w:rPr>
      <w:rFonts w:ascii="Calibri" w:eastAsia="Calibri" w:hAnsi="Calibri"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111F71"/>
    <w:rPr>
      <w:rFonts w:ascii="Arial" w:eastAsia="Times New Roman" w:hAnsi="Arial" w:cs="Arial"/>
      <w:b/>
      <w:bCs/>
      <w:szCs w:val="20"/>
    </w:rPr>
  </w:style>
  <w:style w:type="character" w:customStyle="1" w:styleId="BodyText2Char">
    <w:name w:val="Body Text 2 Char"/>
    <w:basedOn w:val="DefaultParagraphFont"/>
    <w:link w:val="BodyText2"/>
    <w:uiPriority w:val="99"/>
    <w:semiHidden/>
    <w:rsid w:val="00111F71"/>
    <w:rPr>
      <w:rFonts w:ascii="Arial" w:eastAsia="Times New Roman" w:hAnsi="Arial" w:cs="Arial"/>
      <w:b/>
      <w:bCs/>
      <w:szCs w:val="20"/>
    </w:rPr>
  </w:style>
  <w:style w:type="paragraph" w:styleId="Header">
    <w:name w:val="header"/>
    <w:basedOn w:val="Normal"/>
    <w:link w:val="HeaderChar"/>
    <w:uiPriority w:val="99"/>
    <w:rsid w:val="00111F71"/>
    <w:pPr>
      <w:tabs>
        <w:tab w:val="center" w:pos="4513"/>
        <w:tab w:val="right" w:pos="9026"/>
      </w:tabs>
    </w:pPr>
  </w:style>
  <w:style w:type="character" w:customStyle="1" w:styleId="HeaderChar">
    <w:name w:val="Header Char"/>
    <w:basedOn w:val="DefaultParagraphFont"/>
    <w:link w:val="Header"/>
    <w:uiPriority w:val="99"/>
    <w:rsid w:val="00111F71"/>
    <w:rPr>
      <w:rFonts w:ascii="Calibri" w:eastAsia="Calibri" w:hAnsi="Calibri" w:cs="Times New Roman"/>
    </w:rPr>
  </w:style>
  <w:style w:type="paragraph" w:styleId="Footer">
    <w:name w:val="footer"/>
    <w:basedOn w:val="Normal"/>
    <w:link w:val="FooterChar"/>
    <w:uiPriority w:val="99"/>
    <w:rsid w:val="00111F71"/>
    <w:pPr>
      <w:tabs>
        <w:tab w:val="center" w:pos="4513"/>
        <w:tab w:val="right" w:pos="9026"/>
      </w:tabs>
    </w:pPr>
  </w:style>
  <w:style w:type="character" w:customStyle="1" w:styleId="FooterChar">
    <w:name w:val="Footer Char"/>
    <w:basedOn w:val="DefaultParagraphFont"/>
    <w:link w:val="Footer"/>
    <w:uiPriority w:val="99"/>
    <w:rsid w:val="00111F71"/>
    <w:rPr>
      <w:rFonts w:ascii="Calibri" w:eastAsia="Calibri" w:hAnsi="Calibri" w:cs="Times New Roman"/>
    </w:rPr>
  </w:style>
  <w:style w:type="paragraph" w:styleId="ListParagraph">
    <w:name w:val="List Paragraph"/>
    <w:basedOn w:val="Normal"/>
    <w:uiPriority w:val="34"/>
    <w:qFormat/>
    <w:rsid w:val="00111F71"/>
    <w:pPr>
      <w:spacing w:after="200" w:line="276" w:lineRule="auto"/>
      <w:ind w:left="720"/>
      <w:contextualSpacing/>
    </w:pPr>
  </w:style>
  <w:style w:type="paragraph" w:customStyle="1" w:styleId="ATAHeading2">
    <w:name w:val="ATA Heading 2"/>
    <w:basedOn w:val="Normal"/>
    <w:uiPriority w:val="99"/>
    <w:rsid w:val="00111F71"/>
    <w:pPr>
      <w:numPr>
        <w:ilvl w:val="1"/>
        <w:numId w:val="1"/>
      </w:numPr>
      <w:spacing w:before="120" w:after="120" w:line="276" w:lineRule="auto"/>
    </w:pPr>
    <w:rPr>
      <w:rFonts w:ascii="Arial" w:hAnsi="Arial" w:cs="Arial"/>
      <w:b/>
      <w:color w:val="000064"/>
      <w:sz w:val="26"/>
      <w:szCs w:val="26"/>
    </w:rPr>
  </w:style>
  <w:style w:type="paragraph" w:customStyle="1" w:styleId="ATAHeading3">
    <w:name w:val="ATA Heading 3"/>
    <w:basedOn w:val="ATAHeading2"/>
    <w:uiPriority w:val="99"/>
    <w:rsid w:val="00111F71"/>
    <w:pPr>
      <w:numPr>
        <w:ilvl w:val="2"/>
      </w:numPr>
      <w:tabs>
        <w:tab w:val="left" w:pos="992"/>
      </w:tabs>
    </w:pPr>
    <w:rPr>
      <w:i/>
      <w:color w:val="0D0D0D" w:themeColor="text1" w:themeTint="F2"/>
      <w:sz w:val="22"/>
      <w:szCs w:val="22"/>
    </w:rPr>
  </w:style>
  <w:style w:type="paragraph" w:styleId="TOC1">
    <w:name w:val="toc 1"/>
    <w:basedOn w:val="Normal"/>
    <w:next w:val="Normal"/>
    <w:autoRedefine/>
    <w:uiPriority w:val="39"/>
    <w:rsid w:val="00111F71"/>
    <w:pPr>
      <w:tabs>
        <w:tab w:val="right" w:leader="dot" w:pos="9628"/>
      </w:tabs>
      <w:spacing w:before="360" w:after="100"/>
    </w:pPr>
    <w:rPr>
      <w:rFonts w:ascii="Arial" w:hAnsi="Arial" w:cs="Arial"/>
      <w:b/>
      <w:noProof/>
      <w:sz w:val="20"/>
      <w:szCs w:val="20"/>
    </w:rPr>
  </w:style>
  <w:style w:type="paragraph" w:customStyle="1" w:styleId="RecommendationStyle">
    <w:name w:val="Recommendation Style"/>
    <w:basedOn w:val="Normal"/>
    <w:link w:val="RecommendationStyleChar"/>
    <w:qFormat/>
    <w:rsid w:val="00111F71"/>
    <w:pPr>
      <w:numPr>
        <w:numId w:val="2"/>
      </w:numPr>
      <w:tabs>
        <w:tab w:val="left" w:pos="2098"/>
      </w:tabs>
      <w:spacing w:before="240" w:after="120"/>
    </w:pPr>
    <w:rPr>
      <w:rFonts w:ascii="Arial" w:hAnsi="Arial" w:cs="Arial"/>
      <w:b/>
      <w:i/>
      <w:sz w:val="20"/>
      <w:szCs w:val="20"/>
    </w:rPr>
  </w:style>
  <w:style w:type="character" w:customStyle="1" w:styleId="RecommendationStyleChar">
    <w:name w:val="Recommendation Style Char"/>
    <w:basedOn w:val="DefaultParagraphFont"/>
    <w:link w:val="RecommendationStyle"/>
    <w:rsid w:val="00111F71"/>
    <w:rPr>
      <w:rFonts w:ascii="Arial" w:eastAsia="Calibri" w:hAnsi="Arial" w:cs="Arial"/>
      <w:b/>
      <w:i/>
      <w:sz w:val="20"/>
      <w:szCs w:val="20"/>
    </w:rPr>
  </w:style>
  <w:style w:type="paragraph" w:styleId="BalloonText">
    <w:name w:val="Balloon Text"/>
    <w:basedOn w:val="Normal"/>
    <w:link w:val="BalloonTextChar"/>
    <w:uiPriority w:val="99"/>
    <w:semiHidden/>
    <w:unhideWhenUsed/>
    <w:rsid w:val="00111F71"/>
    <w:rPr>
      <w:rFonts w:ascii="Tahoma" w:hAnsi="Tahoma" w:cs="Tahoma"/>
      <w:sz w:val="16"/>
      <w:szCs w:val="16"/>
    </w:rPr>
  </w:style>
  <w:style w:type="character" w:customStyle="1" w:styleId="BalloonTextChar">
    <w:name w:val="Balloon Text Char"/>
    <w:basedOn w:val="DefaultParagraphFont"/>
    <w:link w:val="BalloonText"/>
    <w:uiPriority w:val="99"/>
    <w:semiHidden/>
    <w:rsid w:val="00111F71"/>
    <w:rPr>
      <w:rFonts w:ascii="Tahoma" w:eastAsia="Calibri" w:hAnsi="Tahoma" w:cs="Tahoma"/>
      <w:sz w:val="16"/>
      <w:szCs w:val="16"/>
    </w:rPr>
  </w:style>
  <w:style w:type="paragraph" w:styleId="FootnoteText">
    <w:name w:val="footnote text"/>
    <w:basedOn w:val="Normal"/>
    <w:link w:val="FootnoteTextChar"/>
    <w:uiPriority w:val="99"/>
    <w:semiHidden/>
    <w:rsid w:val="00063B9F"/>
    <w:rPr>
      <w:sz w:val="20"/>
      <w:szCs w:val="20"/>
    </w:rPr>
  </w:style>
  <w:style w:type="character" w:customStyle="1" w:styleId="FootnoteTextChar">
    <w:name w:val="Footnote Text Char"/>
    <w:basedOn w:val="DefaultParagraphFont"/>
    <w:link w:val="FootnoteText"/>
    <w:uiPriority w:val="99"/>
    <w:semiHidden/>
    <w:rsid w:val="00063B9F"/>
    <w:rPr>
      <w:rFonts w:ascii="Calibri" w:eastAsia="Calibri" w:hAnsi="Calibri" w:cs="Times New Roman"/>
      <w:sz w:val="20"/>
      <w:szCs w:val="20"/>
    </w:rPr>
  </w:style>
  <w:style w:type="character" w:styleId="FootnoteReference">
    <w:name w:val="footnote reference"/>
    <w:basedOn w:val="DefaultParagraphFont"/>
    <w:uiPriority w:val="99"/>
    <w:semiHidden/>
    <w:rsid w:val="00063B9F"/>
    <w:rPr>
      <w:rFonts w:cs="Times New Roman"/>
      <w:vertAlign w:val="superscript"/>
    </w:rPr>
  </w:style>
  <w:style w:type="paragraph" w:customStyle="1" w:styleId="ATASubHead1">
    <w:name w:val="ATASubHead1"/>
    <w:basedOn w:val="Normal"/>
    <w:link w:val="ATASubHead1Char"/>
    <w:qFormat/>
    <w:rsid w:val="00063B9F"/>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063B9F"/>
    <w:rPr>
      <w:rFonts w:ascii="Arial" w:eastAsia="Calibri" w:hAnsi="Arial" w:cs="Arial"/>
      <w:b/>
      <w:color w:val="000064"/>
      <w:sz w:val="28"/>
      <w:szCs w:val="28"/>
    </w:rPr>
  </w:style>
  <w:style w:type="table" w:customStyle="1" w:styleId="LightList-Accent11">
    <w:name w:val="Light List - Accent 11"/>
    <w:basedOn w:val="TableNormal"/>
    <w:uiPriority w:val="61"/>
    <w:rsid w:val="002E0F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w1">
    <w:name w:val="hw1"/>
    <w:basedOn w:val="DefaultParagraphFont"/>
    <w:rsid w:val="00FA55FA"/>
    <w:rPr>
      <w:b/>
      <w:bCs/>
      <w:sz w:val="24"/>
      <w:szCs w:val="24"/>
    </w:rPr>
  </w:style>
  <w:style w:type="paragraph" w:styleId="NormalWeb">
    <w:name w:val="Normal (Web)"/>
    <w:basedOn w:val="Normal"/>
    <w:uiPriority w:val="99"/>
    <w:semiHidden/>
    <w:unhideWhenUsed/>
    <w:rsid w:val="00DD3C62"/>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793840"/>
    <w:rPr>
      <w:sz w:val="16"/>
      <w:szCs w:val="16"/>
    </w:rPr>
  </w:style>
  <w:style w:type="paragraph" w:styleId="CommentText">
    <w:name w:val="annotation text"/>
    <w:basedOn w:val="Normal"/>
    <w:link w:val="CommentTextChar"/>
    <w:uiPriority w:val="99"/>
    <w:semiHidden/>
    <w:unhideWhenUsed/>
    <w:rsid w:val="00793840"/>
    <w:rPr>
      <w:sz w:val="20"/>
      <w:szCs w:val="20"/>
    </w:rPr>
  </w:style>
  <w:style w:type="character" w:customStyle="1" w:styleId="CommentTextChar">
    <w:name w:val="Comment Text Char"/>
    <w:basedOn w:val="DefaultParagraphFont"/>
    <w:link w:val="CommentText"/>
    <w:uiPriority w:val="99"/>
    <w:semiHidden/>
    <w:rsid w:val="007938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3840"/>
    <w:rPr>
      <w:b/>
      <w:bCs/>
    </w:rPr>
  </w:style>
  <w:style w:type="character" w:customStyle="1" w:styleId="CommentSubjectChar">
    <w:name w:val="Comment Subject Char"/>
    <w:basedOn w:val="CommentTextChar"/>
    <w:link w:val="CommentSubject"/>
    <w:uiPriority w:val="99"/>
    <w:semiHidden/>
    <w:rsid w:val="00793840"/>
    <w:rPr>
      <w:b/>
      <w:bCs/>
    </w:rPr>
  </w:style>
</w:styles>
</file>

<file path=word/webSettings.xml><?xml version="1.0" encoding="utf-8"?>
<w:webSettings xmlns:r="http://schemas.openxmlformats.org/officeDocument/2006/relationships" xmlns:w="http://schemas.openxmlformats.org/wordprocessingml/2006/main">
  <w:divs>
    <w:div w:id="302539595">
      <w:bodyDiv w:val="1"/>
      <w:marLeft w:val="0"/>
      <w:marRight w:val="0"/>
      <w:marTop w:val="0"/>
      <w:marBottom w:val="0"/>
      <w:divBdr>
        <w:top w:val="none" w:sz="0" w:space="0" w:color="auto"/>
        <w:left w:val="none" w:sz="0" w:space="0" w:color="auto"/>
        <w:bottom w:val="none" w:sz="0" w:space="0" w:color="auto"/>
        <w:right w:val="none" w:sz="0" w:space="0" w:color="auto"/>
      </w:divBdr>
    </w:div>
    <w:div w:id="925765663">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722746969">
      <w:bodyDiv w:val="1"/>
      <w:marLeft w:val="0"/>
      <w:marRight w:val="0"/>
      <w:marTop w:val="0"/>
      <w:marBottom w:val="0"/>
      <w:divBdr>
        <w:top w:val="none" w:sz="0" w:space="0" w:color="auto"/>
        <w:left w:val="none" w:sz="0" w:space="0" w:color="auto"/>
        <w:bottom w:val="none" w:sz="0" w:space="0" w:color="auto"/>
        <w:right w:val="none" w:sz="0" w:space="0" w:color="auto"/>
      </w:divBdr>
    </w:div>
    <w:div w:id="19765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google.com.au/url?sa=t&amp;source=web&amp;cd=1&amp;ved=0CBgQFjAA&amp;url=http%3A%2F%2Fwww.cviaq.com.au%2FPDFs%2FTrucks%2520to%2520Meet%2520the%2520Future%2520Road%2520Freight%2520Task%2520Nov%25202004.pdf&amp;ei=sHEKTtHZFdHqmAXXqZCqAQ&amp;usg=AFQjCNH1Qsnnpxq9PL8R7g9fI3TtCbRTlA" TargetMode="External"/><Relationship Id="rId1" Type="http://schemas.openxmlformats.org/officeDocument/2006/relationships/hyperlink" Target="http://www.google.com.au/url?sa=t&amp;source=web&amp;cd=1&amp;ved=0CBgQFjAA&amp;url=http%3A%2F%2Fwww.cviaq.com.au%2FPDFs%2FTrucks%2520to%2520Meet%2520the%2520Future%2520Road%2520Freight%2520Task%2520Nov%25202004.pdf&amp;ei=sHEKTtHZFdHqmAXXqZCqAQ&amp;usg=AFQjCNH1Qsnnpxq9PL8R7g9fI3TtCbRTl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bers\AppData\Local\Microsoft\Windows\Temporary%20Internet%20Files\Content.Outlook\ACH1TAXK\ESA%20factors%20for%20each%20op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sz="1000"/>
              <a:t>New</a:t>
            </a:r>
            <a:r>
              <a:rPr lang="en-AU" sz="1000" baseline="0"/>
              <a:t> ESA v Old ESA</a:t>
            </a:r>
            <a:endParaRPr lang="en-AU" sz="1000"/>
          </a:p>
        </c:rich>
      </c:tx>
      <c:layout/>
    </c:title>
    <c:plotArea>
      <c:layout/>
      <c:lineChart>
        <c:grouping val="standard"/>
        <c:ser>
          <c:idx val="0"/>
          <c:order val="0"/>
          <c:tx>
            <c:strRef>
              <c:f>'ESA Factors'!$S$4</c:f>
              <c:strCache>
                <c:ptCount val="1"/>
                <c:pt idx="0">
                  <c:v>1a</c:v>
                </c:pt>
              </c:strCache>
            </c:strRef>
          </c:tx>
          <c:marker>
            <c:symbol val="none"/>
          </c:marker>
          <c:cat>
            <c:strRef>
              <c:f>'ESA Factors'!$R$5:$R$28</c:f>
              <c:strCache>
                <c:ptCount val="24"/>
                <c:pt idx="0">
                  <c:v>Light rigid trucks</c:v>
                </c:pt>
                <c:pt idx="1">
                  <c:v>Rigid trucks: 2 axle: no trailer: GVM 4.5 to 7.0 t</c:v>
                </c:pt>
                <c:pt idx="2">
                  <c:v>Rigid trucks: 2 axle: no trailer: GVM 7.0 to 12.0 t</c:v>
                </c:pt>
                <c:pt idx="3">
                  <c:v>Rigid trucks: 2 axle: no trailer: GVM over 12.0 t</c:v>
                </c:pt>
                <c:pt idx="4">
                  <c:v>Rigid trucks: 2 axle: with trailer &lt; 42.5t</c:v>
                </c:pt>
                <c:pt idx="5">
                  <c:v>Rigid trucks: 3 axle: no trailer: GVM 4.5-18.0t</c:v>
                </c:pt>
                <c:pt idx="6">
                  <c:v>Rigid trucks: 3 axle: no trailer: GVM over 18.0t</c:v>
                </c:pt>
                <c:pt idx="7">
                  <c:v>Rigid trucks: 3 axle: with trailer: GCM over 18.0 t &lt; 42.5t</c:v>
                </c:pt>
                <c:pt idx="8">
                  <c:v>Rigid trucks: 4 axle: no trailer: GVM 4.5-25.0t</c:v>
                </c:pt>
                <c:pt idx="9">
                  <c:v>Rigid trucks: 4 axle: no trailer: GVM over 25.0t</c:v>
                </c:pt>
                <c:pt idx="10">
                  <c:v>Rigid trucks: 4 axle: with trailer &gt;25t &lt; 42.5t</c:v>
                </c:pt>
                <c:pt idx="11">
                  <c:v>Rigid trucks: Heavy Truck/Trailer Combination &gt; 42.5t</c:v>
                </c:pt>
                <c:pt idx="12">
                  <c:v>Articulated trucks: single trailer: 3 axle rig</c:v>
                </c:pt>
                <c:pt idx="13">
                  <c:v>Articulated trucks: single trailer: 4 axle rig</c:v>
                </c:pt>
                <c:pt idx="14">
                  <c:v>Articulated trucks: single 3 axle trailer: 5 axle rig</c:v>
                </c:pt>
                <c:pt idx="15">
                  <c:v>Articulated trucks: single 2 axle trailer: 5 axle rig</c:v>
                </c:pt>
                <c:pt idx="16">
                  <c:v>Articulated trucks: single trailer: 6 axle rig</c:v>
                </c:pt>
                <c:pt idx="17">
                  <c:v>Articulated trucks: B-double: &lt;9 axle rig</c:v>
                </c:pt>
                <c:pt idx="18">
                  <c:v>Articulated trucks: B-double 9 axle and above</c:v>
                </c:pt>
                <c:pt idx="19">
                  <c:v>Articulated trucks: B-triple</c:v>
                </c:pt>
                <c:pt idx="20">
                  <c:v>Articulated trucks: Road train: 2 trailers</c:v>
                </c:pt>
                <c:pt idx="21">
                  <c:v>Articulated trucks: Road train: 3 trailers</c:v>
                </c:pt>
                <c:pt idx="22">
                  <c:v>Articulated trucks: &gt; 6 axle rig (not elsewhere classified)</c:v>
                </c:pt>
                <c:pt idx="23">
                  <c:v>Other trucks</c:v>
                </c:pt>
              </c:strCache>
            </c:strRef>
          </c:cat>
          <c:val>
            <c:numRef>
              <c:f>'ESA Factors'!$S$5:$S$28</c:f>
              <c:numCache>
                <c:formatCode>_-* #,##0.000_-;\-* #,##0.000_-;_-* "-"???_-;_-@_-</c:formatCode>
                <c:ptCount val="24"/>
                <c:pt idx="0">
                  <c:v>4.7127912722248914E-2</c:v>
                </c:pt>
                <c:pt idx="1">
                  <c:v>0.11660432210252977</c:v>
                </c:pt>
                <c:pt idx="2">
                  <c:v>0.50929688190815159</c:v>
                </c:pt>
                <c:pt idx="3">
                  <c:v>2.2386291637160389</c:v>
                </c:pt>
                <c:pt idx="4">
                  <c:v>0.51471426360005268</c:v>
                </c:pt>
                <c:pt idx="5">
                  <c:v>0.83881130881378263</c:v>
                </c:pt>
                <c:pt idx="6">
                  <c:v>2.771538682854795</c:v>
                </c:pt>
                <c:pt idx="7">
                  <c:v>1.5264574874805761</c:v>
                </c:pt>
                <c:pt idx="8">
                  <c:v>1.0049673144592075</c:v>
                </c:pt>
                <c:pt idx="9">
                  <c:v>3.8380216694371443</c:v>
                </c:pt>
                <c:pt idx="10">
                  <c:v>1.6948456459855081</c:v>
                </c:pt>
                <c:pt idx="11">
                  <c:v>5.1521290334355045</c:v>
                </c:pt>
                <c:pt idx="12">
                  <c:v>0.9025234521696256</c:v>
                </c:pt>
                <c:pt idx="13">
                  <c:v>1.470710751488574</c:v>
                </c:pt>
                <c:pt idx="14">
                  <c:v>1.3828225445038009</c:v>
                </c:pt>
                <c:pt idx="15">
                  <c:v>1.6214684691621328</c:v>
                </c:pt>
                <c:pt idx="16">
                  <c:v>2.2527879083956242</c:v>
                </c:pt>
                <c:pt idx="17">
                  <c:v>2.9553270548867445</c:v>
                </c:pt>
                <c:pt idx="18">
                  <c:v>3.209502570807433</c:v>
                </c:pt>
                <c:pt idx="19">
                  <c:v>3.7273006446255184</c:v>
                </c:pt>
                <c:pt idx="20">
                  <c:v>3.4017055193862777</c:v>
                </c:pt>
                <c:pt idx="21">
                  <c:v>4.9855170213221891</c:v>
                </c:pt>
                <c:pt idx="22">
                  <c:v>2.1582225545854952</c:v>
                </c:pt>
                <c:pt idx="23">
                  <c:v>1.5458274999999928</c:v>
                </c:pt>
              </c:numCache>
            </c:numRef>
          </c:val>
        </c:ser>
        <c:ser>
          <c:idx val="1"/>
          <c:order val="1"/>
          <c:tx>
            <c:strRef>
              <c:f>'ESA Factors'!$T$4</c:f>
              <c:strCache>
                <c:ptCount val="1"/>
                <c:pt idx="0">
                  <c:v>2a</c:v>
                </c:pt>
              </c:strCache>
            </c:strRef>
          </c:tx>
          <c:marker>
            <c:symbol val="none"/>
          </c:marker>
          <c:cat>
            <c:strRef>
              <c:f>'ESA Factors'!$R$5:$R$28</c:f>
              <c:strCache>
                <c:ptCount val="24"/>
                <c:pt idx="0">
                  <c:v>Light rigid trucks</c:v>
                </c:pt>
                <c:pt idx="1">
                  <c:v>Rigid trucks: 2 axle: no trailer: GVM 4.5 to 7.0 t</c:v>
                </c:pt>
                <c:pt idx="2">
                  <c:v>Rigid trucks: 2 axle: no trailer: GVM 7.0 to 12.0 t</c:v>
                </c:pt>
                <c:pt idx="3">
                  <c:v>Rigid trucks: 2 axle: no trailer: GVM over 12.0 t</c:v>
                </c:pt>
                <c:pt idx="4">
                  <c:v>Rigid trucks: 2 axle: with trailer &lt; 42.5t</c:v>
                </c:pt>
                <c:pt idx="5">
                  <c:v>Rigid trucks: 3 axle: no trailer: GVM 4.5-18.0t</c:v>
                </c:pt>
                <c:pt idx="6">
                  <c:v>Rigid trucks: 3 axle: no trailer: GVM over 18.0t</c:v>
                </c:pt>
                <c:pt idx="7">
                  <c:v>Rigid trucks: 3 axle: with trailer: GCM over 18.0 t &lt; 42.5t</c:v>
                </c:pt>
                <c:pt idx="8">
                  <c:v>Rigid trucks: 4 axle: no trailer: GVM 4.5-25.0t</c:v>
                </c:pt>
                <c:pt idx="9">
                  <c:v>Rigid trucks: 4 axle: no trailer: GVM over 25.0t</c:v>
                </c:pt>
                <c:pt idx="10">
                  <c:v>Rigid trucks: 4 axle: with trailer &gt;25t &lt; 42.5t</c:v>
                </c:pt>
                <c:pt idx="11">
                  <c:v>Rigid trucks: Heavy Truck/Trailer Combination &gt; 42.5t</c:v>
                </c:pt>
                <c:pt idx="12">
                  <c:v>Articulated trucks: single trailer: 3 axle rig</c:v>
                </c:pt>
                <c:pt idx="13">
                  <c:v>Articulated trucks: single trailer: 4 axle rig</c:v>
                </c:pt>
                <c:pt idx="14">
                  <c:v>Articulated trucks: single 3 axle trailer: 5 axle rig</c:v>
                </c:pt>
                <c:pt idx="15">
                  <c:v>Articulated trucks: single 2 axle trailer: 5 axle rig</c:v>
                </c:pt>
                <c:pt idx="16">
                  <c:v>Articulated trucks: single trailer: 6 axle rig</c:v>
                </c:pt>
                <c:pt idx="17">
                  <c:v>Articulated trucks: B-double: &lt;9 axle rig</c:v>
                </c:pt>
                <c:pt idx="18">
                  <c:v>Articulated trucks: B-double 9 axle and above</c:v>
                </c:pt>
                <c:pt idx="19">
                  <c:v>Articulated trucks: B-triple</c:v>
                </c:pt>
                <c:pt idx="20">
                  <c:v>Articulated trucks: Road train: 2 trailers</c:v>
                </c:pt>
                <c:pt idx="21">
                  <c:v>Articulated trucks: Road train: 3 trailers</c:v>
                </c:pt>
                <c:pt idx="22">
                  <c:v>Articulated trucks: &gt; 6 axle rig (not elsewhere classified)</c:v>
                </c:pt>
                <c:pt idx="23">
                  <c:v>Other trucks</c:v>
                </c:pt>
              </c:strCache>
            </c:strRef>
          </c:cat>
          <c:val>
            <c:numRef>
              <c:f>'ESA Factors'!$T$5:$T$28</c:f>
              <c:numCache>
                <c:formatCode>_-* #,##0.000_-;\-* #,##0.000_-;_-* "-"???_-;_-@_-</c:formatCode>
                <c:ptCount val="24"/>
                <c:pt idx="0">
                  <c:v>4.7127912722248914E-2</c:v>
                </c:pt>
                <c:pt idx="1">
                  <c:v>5.2183805055423929E-2</c:v>
                </c:pt>
                <c:pt idx="2">
                  <c:v>0.17062211310457687</c:v>
                </c:pt>
                <c:pt idx="3">
                  <c:v>0.9369967866666653</c:v>
                </c:pt>
                <c:pt idx="4">
                  <c:v>1.2947459664122538</c:v>
                </c:pt>
                <c:pt idx="5">
                  <c:v>0.58120225767182954</c:v>
                </c:pt>
                <c:pt idx="6">
                  <c:v>1.5057849221185737</c:v>
                </c:pt>
                <c:pt idx="7">
                  <c:v>0.97761500224624864</c:v>
                </c:pt>
                <c:pt idx="8">
                  <c:v>0.9538851802777244</c:v>
                </c:pt>
                <c:pt idx="9">
                  <c:v>1.2987705467798749</c:v>
                </c:pt>
                <c:pt idx="10">
                  <c:v>1.6363718833619942</c:v>
                </c:pt>
                <c:pt idx="11">
                  <c:v>3.1941466042730977</c:v>
                </c:pt>
                <c:pt idx="12">
                  <c:v>0.66308009246177912</c:v>
                </c:pt>
                <c:pt idx="13">
                  <c:v>1.0765356120568719</c:v>
                </c:pt>
                <c:pt idx="14">
                  <c:v>2.3392313954766237</c:v>
                </c:pt>
                <c:pt idx="15">
                  <c:v>1.8405683142359406</c:v>
                </c:pt>
                <c:pt idx="16">
                  <c:v>2.1971774789347291</c:v>
                </c:pt>
                <c:pt idx="17">
                  <c:v>3.0920244902984027</c:v>
                </c:pt>
                <c:pt idx="18">
                  <c:v>3.5867291127349152</c:v>
                </c:pt>
                <c:pt idx="19">
                  <c:v>4.4300000000000024</c:v>
                </c:pt>
                <c:pt idx="20">
                  <c:v>4.7191996819354012</c:v>
                </c:pt>
                <c:pt idx="21">
                  <c:v>6.755960998430897</c:v>
                </c:pt>
                <c:pt idx="22">
                  <c:v>2.2436610337511675</c:v>
                </c:pt>
                <c:pt idx="23">
                  <c:v>1.5458274999999928</c:v>
                </c:pt>
              </c:numCache>
            </c:numRef>
          </c:val>
        </c:ser>
        <c:marker val="1"/>
        <c:axId val="38378880"/>
        <c:axId val="40364672"/>
      </c:lineChart>
      <c:catAx>
        <c:axId val="38378880"/>
        <c:scaling>
          <c:orientation val="minMax"/>
        </c:scaling>
        <c:axPos val="b"/>
        <c:majorTickMark val="none"/>
        <c:tickLblPos val="nextTo"/>
        <c:txPr>
          <a:bodyPr/>
          <a:lstStyle/>
          <a:p>
            <a:pPr>
              <a:defRPr sz="600"/>
            </a:pPr>
            <a:endParaRPr lang="en-US"/>
          </a:p>
        </c:txPr>
        <c:crossAx val="40364672"/>
        <c:crosses val="autoZero"/>
        <c:auto val="1"/>
        <c:lblAlgn val="ctr"/>
        <c:lblOffset val="100"/>
      </c:catAx>
      <c:valAx>
        <c:axId val="40364672"/>
        <c:scaling>
          <c:orientation val="minMax"/>
        </c:scaling>
        <c:axPos val="l"/>
        <c:majorGridlines/>
        <c:title>
          <c:tx>
            <c:rich>
              <a:bodyPr/>
              <a:lstStyle/>
              <a:p>
                <a:pPr>
                  <a:defRPr sz="1000"/>
                </a:pPr>
                <a:r>
                  <a:rPr lang="en-AU" sz="1000"/>
                  <a:t>ESA</a:t>
                </a:r>
              </a:p>
            </c:rich>
          </c:tx>
          <c:layout/>
        </c:title>
        <c:numFmt formatCode="_-* #,##0.000_-;\-* #,##0.000_-;_-* &quot;-&quot;???_-;_-@_-" sourceLinked="1"/>
        <c:majorTickMark val="none"/>
        <c:tickLblPos val="nextTo"/>
        <c:crossAx val="383788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35C9-3237-4A61-9672-3E7E60C0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harbers</dc:creator>
  <cp:lastModifiedBy>harbers</cp:lastModifiedBy>
  <cp:revision>26</cp:revision>
  <cp:lastPrinted>2012-02-07T05:02:00Z</cp:lastPrinted>
  <dcterms:created xsi:type="dcterms:W3CDTF">2012-02-07T05:33:00Z</dcterms:created>
  <dcterms:modified xsi:type="dcterms:W3CDTF">2012-02-07T06:25:00Z</dcterms:modified>
</cp:coreProperties>
</file>