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268"/>
        <w:gridCol w:w="7230"/>
      </w:tblGrid>
      <w:tr w:rsidR="00D735FF" w:rsidRPr="003740CB" w:rsidTr="00BD4B01">
        <w:trPr>
          <w:trHeight w:val="756"/>
        </w:trPr>
        <w:tc>
          <w:tcPr>
            <w:tcW w:w="2268" w:type="dxa"/>
            <w:vAlign w:val="center"/>
          </w:tcPr>
          <w:p w:rsidR="00D735FF" w:rsidRPr="003740CB" w:rsidRDefault="00D735FF" w:rsidP="001025C9">
            <w:pPr>
              <w:pStyle w:val="Header"/>
              <w:jc w:val="both"/>
              <w:rPr>
                <w:rFonts w:ascii="Arial" w:hAnsi="Arial" w:cs="Arial"/>
                <w:b/>
                <w:sz w:val="27"/>
                <w:szCs w:val="27"/>
              </w:rPr>
            </w:pPr>
            <w:bookmarkStart w:id="0" w:name="_GoBack"/>
            <w:bookmarkEnd w:id="0"/>
            <w:r w:rsidRPr="003740CB">
              <w:rPr>
                <w:rFonts w:ascii="Arial" w:hAnsi="Arial" w:cs="Arial"/>
                <w:b/>
                <w:sz w:val="27"/>
                <w:szCs w:val="27"/>
              </w:rPr>
              <w:t>Submission to:</w:t>
            </w:r>
          </w:p>
          <w:p w:rsidR="00BD4B01" w:rsidRPr="003740CB" w:rsidRDefault="00BD4B01" w:rsidP="001025C9">
            <w:pPr>
              <w:pStyle w:val="Header"/>
              <w:jc w:val="both"/>
              <w:rPr>
                <w:rFonts w:ascii="Arial" w:hAnsi="Arial" w:cs="Arial"/>
                <w:b/>
                <w:sz w:val="27"/>
                <w:szCs w:val="27"/>
              </w:rPr>
            </w:pPr>
          </w:p>
        </w:tc>
        <w:tc>
          <w:tcPr>
            <w:tcW w:w="7230" w:type="dxa"/>
            <w:vAlign w:val="center"/>
          </w:tcPr>
          <w:p w:rsidR="00D735FF" w:rsidRPr="003740CB" w:rsidRDefault="00BD4B01" w:rsidP="003168CE">
            <w:pPr>
              <w:pStyle w:val="Header"/>
              <w:rPr>
                <w:rFonts w:ascii="Arial" w:hAnsi="Arial" w:cs="Arial"/>
                <w:sz w:val="27"/>
                <w:szCs w:val="27"/>
              </w:rPr>
            </w:pPr>
            <w:r w:rsidRPr="003740CB">
              <w:rPr>
                <w:rFonts w:ascii="Arial" w:hAnsi="Arial" w:cs="Arial"/>
                <w:sz w:val="27"/>
                <w:szCs w:val="27"/>
              </w:rPr>
              <w:t xml:space="preserve">Department of Infrastructure and </w:t>
            </w:r>
            <w:r w:rsidR="003740CB" w:rsidRPr="003740CB">
              <w:rPr>
                <w:rFonts w:ascii="Arial" w:hAnsi="Arial" w:cs="Arial"/>
                <w:sz w:val="27"/>
                <w:szCs w:val="27"/>
              </w:rPr>
              <w:t>Regional Development</w:t>
            </w:r>
          </w:p>
          <w:p w:rsidR="00BD4B01" w:rsidRPr="003740CB" w:rsidRDefault="00BD4B01" w:rsidP="003168CE">
            <w:pPr>
              <w:pStyle w:val="Header"/>
              <w:rPr>
                <w:rFonts w:ascii="Arial" w:hAnsi="Arial" w:cs="Arial"/>
                <w:sz w:val="27"/>
                <w:szCs w:val="27"/>
              </w:rPr>
            </w:pPr>
          </w:p>
        </w:tc>
      </w:tr>
      <w:tr w:rsidR="00D735FF" w:rsidRPr="003740CB" w:rsidTr="00BD4B01">
        <w:trPr>
          <w:trHeight w:val="756"/>
        </w:trPr>
        <w:tc>
          <w:tcPr>
            <w:tcW w:w="2268" w:type="dxa"/>
          </w:tcPr>
          <w:p w:rsidR="00D735FF" w:rsidRPr="003740CB" w:rsidRDefault="00D735FF" w:rsidP="00FA5275">
            <w:pPr>
              <w:pStyle w:val="Header"/>
              <w:rPr>
                <w:rFonts w:ascii="Arial" w:hAnsi="Arial" w:cs="Arial"/>
                <w:b/>
                <w:sz w:val="27"/>
                <w:szCs w:val="27"/>
              </w:rPr>
            </w:pPr>
            <w:r w:rsidRPr="003740CB">
              <w:rPr>
                <w:rFonts w:ascii="Arial" w:hAnsi="Arial" w:cs="Arial"/>
                <w:b/>
                <w:sz w:val="27"/>
                <w:szCs w:val="27"/>
              </w:rPr>
              <w:t>Title:</w:t>
            </w:r>
          </w:p>
        </w:tc>
        <w:tc>
          <w:tcPr>
            <w:tcW w:w="7230" w:type="dxa"/>
          </w:tcPr>
          <w:p w:rsidR="00D735FF" w:rsidRPr="003740CB" w:rsidRDefault="00BD4B01" w:rsidP="00FA5275">
            <w:pPr>
              <w:pStyle w:val="Header"/>
              <w:rPr>
                <w:rFonts w:ascii="Arial" w:hAnsi="Arial" w:cs="Arial"/>
                <w:sz w:val="27"/>
                <w:szCs w:val="27"/>
              </w:rPr>
            </w:pPr>
            <w:r w:rsidRPr="003740CB">
              <w:rPr>
                <w:rFonts w:ascii="Arial" w:hAnsi="Arial" w:cs="Arial"/>
                <w:sz w:val="27"/>
                <w:szCs w:val="27"/>
              </w:rPr>
              <w:t>2014 Review of the</w:t>
            </w:r>
            <w:r w:rsidR="002F0939" w:rsidRPr="003740CB">
              <w:rPr>
                <w:rFonts w:ascii="Arial" w:hAnsi="Arial" w:cs="Arial"/>
                <w:sz w:val="27"/>
                <w:szCs w:val="27"/>
              </w:rPr>
              <w:t xml:space="preserve"> </w:t>
            </w:r>
            <w:r w:rsidR="002F0939" w:rsidRPr="003740CB">
              <w:rPr>
                <w:rFonts w:ascii="Arial" w:hAnsi="Arial" w:cs="Arial"/>
                <w:i/>
                <w:sz w:val="27"/>
                <w:szCs w:val="27"/>
              </w:rPr>
              <w:t>Motor Vehicle Standards Act 1989</w:t>
            </w:r>
            <w:r w:rsidR="001426CA" w:rsidRPr="003740CB">
              <w:rPr>
                <w:rFonts w:ascii="Arial" w:hAnsi="Arial" w:cs="Arial"/>
                <w:sz w:val="27"/>
                <w:szCs w:val="27"/>
              </w:rPr>
              <w:t xml:space="preserve"> - Options Discussion Paper</w:t>
            </w:r>
          </w:p>
        </w:tc>
      </w:tr>
      <w:tr w:rsidR="00D735FF" w:rsidRPr="003740CB" w:rsidTr="00BD4B01">
        <w:trPr>
          <w:trHeight w:val="756"/>
        </w:trPr>
        <w:tc>
          <w:tcPr>
            <w:tcW w:w="2268" w:type="dxa"/>
          </w:tcPr>
          <w:p w:rsidR="003F17F7" w:rsidRPr="003740CB" w:rsidRDefault="003F17F7" w:rsidP="00FA5275">
            <w:pPr>
              <w:pStyle w:val="Header"/>
              <w:rPr>
                <w:rFonts w:ascii="Arial" w:hAnsi="Arial" w:cs="Arial"/>
                <w:b/>
                <w:sz w:val="27"/>
                <w:szCs w:val="27"/>
              </w:rPr>
            </w:pPr>
          </w:p>
          <w:p w:rsidR="00D735FF" w:rsidRPr="003740CB" w:rsidRDefault="00D735FF" w:rsidP="00FA5275">
            <w:pPr>
              <w:pStyle w:val="Header"/>
              <w:rPr>
                <w:rFonts w:ascii="Arial" w:hAnsi="Arial" w:cs="Arial"/>
                <w:b/>
                <w:sz w:val="27"/>
                <w:szCs w:val="27"/>
              </w:rPr>
            </w:pPr>
            <w:r w:rsidRPr="003740CB">
              <w:rPr>
                <w:rFonts w:ascii="Arial" w:hAnsi="Arial" w:cs="Arial"/>
                <w:b/>
                <w:sz w:val="27"/>
                <w:szCs w:val="27"/>
              </w:rPr>
              <w:t>Date:</w:t>
            </w:r>
          </w:p>
        </w:tc>
        <w:tc>
          <w:tcPr>
            <w:tcW w:w="7230" w:type="dxa"/>
          </w:tcPr>
          <w:p w:rsidR="003F17F7" w:rsidRPr="003740CB" w:rsidRDefault="003F17F7" w:rsidP="00BD4B01">
            <w:pPr>
              <w:pStyle w:val="Header"/>
              <w:rPr>
                <w:rFonts w:ascii="Arial" w:hAnsi="Arial" w:cs="Arial"/>
                <w:sz w:val="27"/>
                <w:szCs w:val="27"/>
              </w:rPr>
            </w:pPr>
          </w:p>
          <w:p w:rsidR="00D735FF" w:rsidRPr="003740CB" w:rsidRDefault="00BD4B01" w:rsidP="00BD4B01">
            <w:pPr>
              <w:pStyle w:val="Header"/>
              <w:rPr>
                <w:rFonts w:ascii="Arial" w:hAnsi="Arial" w:cs="Arial"/>
                <w:sz w:val="27"/>
                <w:szCs w:val="27"/>
              </w:rPr>
            </w:pPr>
            <w:r w:rsidRPr="003740CB">
              <w:rPr>
                <w:rFonts w:ascii="Arial" w:hAnsi="Arial" w:cs="Arial"/>
                <w:sz w:val="27"/>
                <w:szCs w:val="27"/>
              </w:rPr>
              <w:t>20</w:t>
            </w:r>
            <w:r w:rsidR="002F0939" w:rsidRPr="003740CB">
              <w:rPr>
                <w:rFonts w:ascii="Arial" w:hAnsi="Arial" w:cs="Arial"/>
                <w:sz w:val="27"/>
                <w:szCs w:val="27"/>
              </w:rPr>
              <w:t xml:space="preserve"> </w:t>
            </w:r>
            <w:r w:rsidRPr="003740CB">
              <w:rPr>
                <w:rFonts w:ascii="Arial" w:hAnsi="Arial" w:cs="Arial"/>
                <w:sz w:val="27"/>
                <w:szCs w:val="27"/>
              </w:rPr>
              <w:t>October</w:t>
            </w:r>
            <w:r w:rsidR="002F0939" w:rsidRPr="003740CB">
              <w:rPr>
                <w:rFonts w:ascii="Arial" w:hAnsi="Arial" w:cs="Arial"/>
                <w:sz w:val="27"/>
                <w:szCs w:val="27"/>
              </w:rPr>
              <w:t xml:space="preserve"> </w:t>
            </w:r>
            <w:r w:rsidR="00693D92" w:rsidRPr="003740CB">
              <w:rPr>
                <w:rFonts w:ascii="Arial" w:hAnsi="Arial" w:cs="Arial"/>
                <w:sz w:val="27"/>
                <w:szCs w:val="27"/>
              </w:rPr>
              <w:t>201</w:t>
            </w:r>
            <w:r w:rsidRPr="003740CB">
              <w:rPr>
                <w:rFonts w:ascii="Arial" w:hAnsi="Arial" w:cs="Arial"/>
                <w:sz w:val="27"/>
                <w:szCs w:val="27"/>
              </w:rPr>
              <w:t>4</w:t>
            </w:r>
          </w:p>
        </w:tc>
      </w:tr>
    </w:tbl>
    <w:p w:rsidR="00D735FF" w:rsidRPr="00DF540D" w:rsidRDefault="00D735FF" w:rsidP="001025C9">
      <w:pPr>
        <w:pStyle w:val="Header"/>
        <w:jc w:val="both"/>
        <w:rPr>
          <w:rFonts w:ascii="Arial" w:hAnsi="Arial" w:cs="Arial"/>
          <w:sz w:val="20"/>
          <w:szCs w:val="20"/>
        </w:rPr>
      </w:pPr>
    </w:p>
    <w:p w:rsidR="00D735FF" w:rsidRPr="00DF540D" w:rsidRDefault="00D735FF" w:rsidP="001025C9">
      <w:pPr>
        <w:pStyle w:val="Header"/>
        <w:jc w:val="both"/>
        <w:rPr>
          <w:rFonts w:ascii="Arial" w:hAnsi="Arial" w:cs="Arial"/>
          <w:sz w:val="20"/>
          <w:szCs w:val="20"/>
        </w:rPr>
      </w:pPr>
    </w:p>
    <w:p w:rsidR="00576ED0" w:rsidRPr="00DF540D" w:rsidRDefault="00576ED0" w:rsidP="001025C9">
      <w:pPr>
        <w:pStyle w:val="Header"/>
        <w:jc w:val="both"/>
        <w:rPr>
          <w:rFonts w:ascii="Arial" w:hAnsi="Arial" w:cs="Arial"/>
          <w:sz w:val="20"/>
          <w:szCs w:val="20"/>
        </w:rPr>
      </w:pPr>
    </w:p>
    <w:p w:rsidR="00576ED0" w:rsidRPr="00DF540D" w:rsidRDefault="00576ED0" w:rsidP="001025C9">
      <w:pPr>
        <w:jc w:val="both"/>
        <w:rPr>
          <w:rFonts w:ascii="Arial" w:hAnsi="Arial" w:cs="Arial"/>
          <w:sz w:val="20"/>
          <w:szCs w:val="20"/>
          <w:lang w:val="en-GB"/>
        </w:rPr>
        <w:sectPr w:rsidR="00576ED0" w:rsidRPr="00DF540D" w:rsidSect="005F5ACC">
          <w:headerReference w:type="even" r:id="rId8"/>
          <w:headerReference w:type="default" r:id="rId9"/>
          <w:footerReference w:type="even" r:id="rId10"/>
          <w:footerReference w:type="default" r:id="rId11"/>
          <w:headerReference w:type="first" r:id="rId12"/>
          <w:footerReference w:type="first" r:id="rId13"/>
          <w:pgSz w:w="11906" w:h="16838"/>
          <w:pgMar w:top="5103" w:right="1133" w:bottom="1418" w:left="1134" w:header="851" w:footer="651" w:gutter="0"/>
          <w:cols w:space="708"/>
          <w:docGrid w:linePitch="360"/>
        </w:sectPr>
      </w:pPr>
    </w:p>
    <w:p w:rsidR="00576ED0" w:rsidRPr="00DF540D" w:rsidRDefault="00576ED0" w:rsidP="001025C9">
      <w:pPr>
        <w:jc w:val="both"/>
        <w:rPr>
          <w:rFonts w:ascii="Arial" w:hAnsi="Arial" w:cs="Arial"/>
          <w:sz w:val="20"/>
          <w:szCs w:val="20"/>
        </w:rPr>
      </w:pPr>
    </w:p>
    <w:p w:rsidR="0035493A" w:rsidRPr="00DF540D" w:rsidRDefault="0035493A" w:rsidP="001025C9">
      <w:pPr>
        <w:jc w:val="both"/>
        <w:rPr>
          <w:rFonts w:ascii="Arial" w:hAnsi="Arial" w:cs="Arial"/>
          <w:sz w:val="20"/>
          <w:szCs w:val="20"/>
        </w:rPr>
      </w:pPr>
    </w:p>
    <w:p w:rsidR="0035493A" w:rsidRPr="00DF540D" w:rsidRDefault="0035493A" w:rsidP="001025C9">
      <w:pPr>
        <w:jc w:val="both"/>
        <w:rPr>
          <w:rFonts w:ascii="Arial" w:hAnsi="Arial" w:cs="Arial"/>
          <w:sz w:val="20"/>
          <w:szCs w:val="20"/>
        </w:rPr>
      </w:pPr>
    </w:p>
    <w:p w:rsidR="0035493A" w:rsidRPr="00DF540D" w:rsidRDefault="0035493A" w:rsidP="001025C9">
      <w:pPr>
        <w:jc w:val="both"/>
        <w:rPr>
          <w:rFonts w:ascii="Arial" w:hAnsi="Arial" w:cs="Arial"/>
          <w:sz w:val="20"/>
          <w:szCs w:val="20"/>
        </w:rPr>
      </w:pPr>
    </w:p>
    <w:p w:rsidR="0035493A" w:rsidRPr="00DF540D" w:rsidRDefault="0035493A" w:rsidP="001025C9">
      <w:pPr>
        <w:jc w:val="both"/>
        <w:rPr>
          <w:rFonts w:ascii="Arial" w:hAnsi="Arial" w:cs="Arial"/>
          <w:sz w:val="20"/>
          <w:szCs w:val="20"/>
        </w:rPr>
      </w:pPr>
    </w:p>
    <w:p w:rsidR="0035493A" w:rsidRPr="00DF540D" w:rsidRDefault="003B74E4" w:rsidP="001025C9">
      <w:pPr>
        <w:jc w:val="both"/>
        <w:rPr>
          <w:rFonts w:ascii="Arial" w:hAnsi="Arial" w:cs="Arial"/>
          <w:b/>
          <w:color w:val="000064"/>
          <w:sz w:val="28"/>
          <w:szCs w:val="28"/>
        </w:rPr>
      </w:pPr>
      <w:r w:rsidRPr="00DF540D">
        <w:rPr>
          <w:rFonts w:ascii="Arial" w:hAnsi="Arial" w:cs="Arial"/>
          <w:b/>
          <w:color w:val="000064"/>
          <w:sz w:val="28"/>
          <w:szCs w:val="28"/>
        </w:rPr>
        <w:t>Contents</w:t>
      </w:r>
    </w:p>
    <w:p w:rsidR="00576ED0" w:rsidRPr="00DF540D" w:rsidRDefault="00576ED0" w:rsidP="001025C9">
      <w:pPr>
        <w:jc w:val="both"/>
        <w:rPr>
          <w:rFonts w:ascii="Arial" w:hAnsi="Arial" w:cs="Arial"/>
          <w:sz w:val="20"/>
          <w:szCs w:val="20"/>
        </w:rPr>
      </w:pPr>
    </w:p>
    <w:p w:rsidR="009B0520" w:rsidRPr="00DF540D" w:rsidRDefault="009B0520" w:rsidP="001025C9">
      <w:pPr>
        <w:jc w:val="both"/>
        <w:rPr>
          <w:rFonts w:ascii="Arial" w:hAnsi="Arial" w:cs="Arial"/>
          <w:b/>
          <w:sz w:val="20"/>
          <w:szCs w:val="20"/>
        </w:rPr>
      </w:pPr>
    </w:p>
    <w:p w:rsidR="00BB3AB8" w:rsidRPr="00DF540D" w:rsidRDefault="005A5AE9">
      <w:pPr>
        <w:pStyle w:val="TOC1"/>
        <w:rPr>
          <w:rFonts w:asciiTheme="minorHAnsi" w:eastAsiaTheme="minorEastAsia" w:hAnsiTheme="minorHAnsi" w:cstheme="minorBidi"/>
          <w:b w:val="0"/>
          <w:color w:val="auto"/>
          <w:sz w:val="22"/>
          <w:szCs w:val="22"/>
          <w:lang w:eastAsia="en-AU"/>
        </w:rPr>
      </w:pPr>
      <w:r w:rsidRPr="00DF540D">
        <w:rPr>
          <w:rFonts w:cs="Arial"/>
        </w:rPr>
        <w:fldChar w:fldCharType="begin"/>
      </w:r>
      <w:r w:rsidR="0035493A" w:rsidRPr="00DF540D">
        <w:rPr>
          <w:rFonts w:cs="Arial"/>
        </w:rPr>
        <w:instrText xml:space="preserve"> TOC \o "1-2" \t "ATA Heading 2,2" </w:instrText>
      </w:r>
      <w:r w:rsidRPr="00DF540D">
        <w:rPr>
          <w:rFonts w:cs="Arial"/>
        </w:rPr>
        <w:fldChar w:fldCharType="separate"/>
      </w:r>
      <w:r w:rsidR="00BB3AB8" w:rsidRPr="00DF540D">
        <w:t>1.</w:t>
      </w:r>
      <w:r w:rsidR="00BB3AB8" w:rsidRPr="00DF540D">
        <w:rPr>
          <w:rFonts w:asciiTheme="minorHAnsi" w:eastAsiaTheme="minorEastAsia" w:hAnsiTheme="minorHAnsi" w:cstheme="minorBidi"/>
          <w:b w:val="0"/>
          <w:color w:val="auto"/>
          <w:sz w:val="22"/>
          <w:szCs w:val="22"/>
          <w:lang w:eastAsia="en-AU"/>
        </w:rPr>
        <w:tab/>
      </w:r>
      <w:r w:rsidR="00BB3AB8" w:rsidRPr="00DF540D">
        <w:t>Introduction</w:t>
      </w:r>
      <w:r w:rsidR="00BB3AB8" w:rsidRPr="00DF540D">
        <w:tab/>
      </w:r>
      <w:r w:rsidR="00BB3AB8" w:rsidRPr="00DF540D">
        <w:fldChar w:fldCharType="begin"/>
      </w:r>
      <w:r w:rsidR="00BB3AB8" w:rsidRPr="00DF540D">
        <w:instrText xml:space="preserve"> PAGEREF _Toc401238973 \h </w:instrText>
      </w:r>
      <w:r w:rsidR="00BB3AB8" w:rsidRPr="00DF540D">
        <w:fldChar w:fldCharType="separate"/>
      </w:r>
      <w:r w:rsidR="00832820">
        <w:t>3</w:t>
      </w:r>
      <w:r w:rsidR="00BB3AB8" w:rsidRPr="00DF540D">
        <w:fldChar w:fldCharType="end"/>
      </w:r>
    </w:p>
    <w:p w:rsidR="00BB3AB8" w:rsidRPr="00DF540D" w:rsidRDefault="00BB3AB8">
      <w:pPr>
        <w:pStyle w:val="TOC1"/>
        <w:rPr>
          <w:rFonts w:asciiTheme="minorHAnsi" w:eastAsiaTheme="minorEastAsia" w:hAnsiTheme="minorHAnsi" w:cstheme="minorBidi"/>
          <w:b w:val="0"/>
          <w:color w:val="auto"/>
          <w:sz w:val="22"/>
          <w:szCs w:val="22"/>
          <w:lang w:eastAsia="en-AU"/>
        </w:rPr>
      </w:pPr>
      <w:r w:rsidRPr="00DF540D">
        <w:t>2.</w:t>
      </w:r>
      <w:r w:rsidRPr="00DF540D">
        <w:rPr>
          <w:rFonts w:asciiTheme="minorHAnsi" w:eastAsiaTheme="minorEastAsia" w:hAnsiTheme="minorHAnsi" w:cstheme="minorBidi"/>
          <w:b w:val="0"/>
          <w:color w:val="auto"/>
          <w:sz w:val="22"/>
          <w:szCs w:val="22"/>
          <w:lang w:eastAsia="en-AU"/>
        </w:rPr>
        <w:tab/>
      </w:r>
      <w:r w:rsidRPr="00DF540D">
        <w:t>Australian Trucking Association</w:t>
      </w:r>
      <w:r w:rsidRPr="00DF540D">
        <w:tab/>
      </w:r>
      <w:r w:rsidRPr="00DF540D">
        <w:fldChar w:fldCharType="begin"/>
      </w:r>
      <w:r w:rsidRPr="00DF540D">
        <w:instrText xml:space="preserve"> PAGEREF _Toc401238974 \h </w:instrText>
      </w:r>
      <w:r w:rsidRPr="00DF540D">
        <w:fldChar w:fldCharType="separate"/>
      </w:r>
      <w:r w:rsidR="00832820">
        <w:t>3</w:t>
      </w:r>
      <w:r w:rsidRPr="00DF540D">
        <w:fldChar w:fldCharType="end"/>
      </w:r>
    </w:p>
    <w:p w:rsidR="00BB3AB8" w:rsidRPr="00DF540D" w:rsidRDefault="00BB3AB8">
      <w:pPr>
        <w:pStyle w:val="TOC1"/>
        <w:rPr>
          <w:rFonts w:asciiTheme="minorHAnsi" w:eastAsiaTheme="minorEastAsia" w:hAnsiTheme="minorHAnsi" w:cstheme="minorBidi"/>
          <w:b w:val="0"/>
          <w:color w:val="auto"/>
          <w:sz w:val="22"/>
          <w:szCs w:val="22"/>
          <w:lang w:eastAsia="en-AU"/>
        </w:rPr>
      </w:pPr>
      <w:r w:rsidRPr="00DF540D">
        <w:t>3.</w:t>
      </w:r>
      <w:r w:rsidRPr="00DF540D">
        <w:rPr>
          <w:rFonts w:asciiTheme="minorHAnsi" w:eastAsiaTheme="minorEastAsia" w:hAnsiTheme="minorHAnsi" w:cstheme="minorBidi"/>
          <w:b w:val="0"/>
          <w:color w:val="auto"/>
          <w:sz w:val="22"/>
          <w:szCs w:val="22"/>
          <w:lang w:eastAsia="en-AU"/>
        </w:rPr>
        <w:tab/>
      </w:r>
      <w:r w:rsidRPr="00DF540D">
        <w:t>Recommendations</w:t>
      </w:r>
      <w:r w:rsidRPr="00DF540D">
        <w:tab/>
      </w:r>
      <w:r w:rsidRPr="00DF540D">
        <w:fldChar w:fldCharType="begin"/>
      </w:r>
      <w:r w:rsidRPr="00DF540D">
        <w:instrText xml:space="preserve"> PAGEREF _Toc401238975 \h </w:instrText>
      </w:r>
      <w:r w:rsidRPr="00DF540D">
        <w:fldChar w:fldCharType="separate"/>
      </w:r>
      <w:r w:rsidR="00832820">
        <w:t>3</w:t>
      </w:r>
      <w:r w:rsidRPr="00DF540D">
        <w:fldChar w:fldCharType="end"/>
      </w:r>
    </w:p>
    <w:p w:rsidR="00BB3AB8" w:rsidRDefault="00BB3AB8">
      <w:pPr>
        <w:pStyle w:val="TOC1"/>
      </w:pPr>
      <w:r w:rsidRPr="00DF540D">
        <w:t>4.</w:t>
      </w:r>
      <w:r w:rsidRPr="00DF540D">
        <w:rPr>
          <w:rFonts w:asciiTheme="minorHAnsi" w:eastAsiaTheme="minorEastAsia" w:hAnsiTheme="minorHAnsi" w:cstheme="minorBidi"/>
          <w:b w:val="0"/>
          <w:color w:val="auto"/>
          <w:sz w:val="22"/>
          <w:szCs w:val="22"/>
          <w:lang w:eastAsia="en-AU"/>
        </w:rPr>
        <w:tab/>
      </w:r>
      <w:r w:rsidR="0020419D">
        <w:t>ATA Position</w:t>
      </w:r>
      <w:r w:rsidRPr="00DF540D">
        <w:tab/>
      </w:r>
      <w:r w:rsidRPr="00DF540D">
        <w:fldChar w:fldCharType="begin"/>
      </w:r>
      <w:r w:rsidRPr="00DF540D">
        <w:instrText xml:space="preserve"> PAGEREF _Toc401238976 \h </w:instrText>
      </w:r>
      <w:r w:rsidRPr="00DF540D">
        <w:fldChar w:fldCharType="separate"/>
      </w:r>
      <w:r w:rsidR="00832820">
        <w:t>4</w:t>
      </w:r>
      <w:r w:rsidRPr="00DF540D">
        <w:fldChar w:fldCharType="end"/>
      </w:r>
    </w:p>
    <w:p w:rsidR="0020419D" w:rsidRDefault="005A5AE9" w:rsidP="0020419D">
      <w:pPr>
        <w:pStyle w:val="TOC1"/>
      </w:pPr>
      <w:r w:rsidRPr="00DF540D">
        <w:rPr>
          <w:rFonts w:cs="Arial"/>
          <w:b w:val="0"/>
        </w:rPr>
        <w:fldChar w:fldCharType="end"/>
      </w:r>
      <w:r w:rsidR="0020419D">
        <w:t>5</w:t>
      </w:r>
      <w:r w:rsidR="0020419D" w:rsidRPr="00DF540D">
        <w:t>.</w:t>
      </w:r>
      <w:r w:rsidR="0020419D" w:rsidRPr="00DF540D">
        <w:rPr>
          <w:rFonts w:asciiTheme="minorHAnsi" w:eastAsiaTheme="minorEastAsia" w:hAnsiTheme="minorHAnsi" w:cstheme="minorBidi"/>
          <w:b w:val="0"/>
          <w:color w:val="auto"/>
          <w:sz w:val="22"/>
          <w:szCs w:val="22"/>
          <w:lang w:eastAsia="en-AU"/>
        </w:rPr>
        <w:tab/>
      </w:r>
      <w:r w:rsidR="0020419D" w:rsidRPr="00DF540D">
        <w:t>Responses to Options Paper Discussion Questions</w:t>
      </w:r>
      <w:r w:rsidR="0020419D" w:rsidRPr="00DF540D">
        <w:tab/>
      </w:r>
      <w:r w:rsidR="0020419D" w:rsidRPr="00DF540D">
        <w:fldChar w:fldCharType="begin"/>
      </w:r>
      <w:r w:rsidR="0020419D" w:rsidRPr="00DF540D">
        <w:instrText xml:space="preserve"> PAGEREF _Toc401238976 \h </w:instrText>
      </w:r>
      <w:r w:rsidR="0020419D" w:rsidRPr="00DF540D">
        <w:fldChar w:fldCharType="separate"/>
      </w:r>
      <w:r w:rsidR="00832820">
        <w:t>4</w:t>
      </w:r>
      <w:r w:rsidR="0020419D" w:rsidRPr="00DF540D">
        <w:fldChar w:fldCharType="end"/>
      </w:r>
    </w:p>
    <w:p w:rsidR="0045642B" w:rsidRPr="00DF540D" w:rsidRDefault="0045642B" w:rsidP="001025C9">
      <w:pPr>
        <w:tabs>
          <w:tab w:val="right" w:leader="dot" w:pos="9645"/>
        </w:tabs>
        <w:jc w:val="both"/>
        <w:rPr>
          <w:rFonts w:ascii="Arial" w:hAnsi="Arial" w:cs="Arial"/>
          <w:b/>
          <w:sz w:val="20"/>
          <w:szCs w:val="20"/>
        </w:rPr>
      </w:pPr>
    </w:p>
    <w:p w:rsidR="0045642B" w:rsidRPr="00DF540D" w:rsidRDefault="0045642B" w:rsidP="001025C9">
      <w:pPr>
        <w:tabs>
          <w:tab w:val="right" w:leader="dot" w:pos="9645"/>
        </w:tabs>
        <w:jc w:val="both"/>
        <w:rPr>
          <w:rFonts w:ascii="Arial" w:hAnsi="Arial" w:cs="Arial"/>
          <w:b/>
          <w:sz w:val="20"/>
          <w:szCs w:val="20"/>
        </w:rPr>
      </w:pPr>
    </w:p>
    <w:p w:rsidR="0045642B" w:rsidRPr="00DF540D" w:rsidRDefault="0045642B" w:rsidP="001025C9">
      <w:pPr>
        <w:tabs>
          <w:tab w:val="right" w:leader="dot" w:pos="9645"/>
        </w:tabs>
        <w:jc w:val="both"/>
        <w:rPr>
          <w:rFonts w:ascii="Arial" w:hAnsi="Arial" w:cs="Arial"/>
          <w:b/>
          <w:sz w:val="20"/>
          <w:szCs w:val="20"/>
        </w:rPr>
      </w:pPr>
    </w:p>
    <w:p w:rsidR="0045642B" w:rsidRPr="00DF540D" w:rsidRDefault="0045642B" w:rsidP="001025C9">
      <w:pPr>
        <w:tabs>
          <w:tab w:val="right" w:leader="dot" w:pos="9645"/>
        </w:tabs>
        <w:jc w:val="both"/>
        <w:rPr>
          <w:rFonts w:ascii="Arial" w:hAnsi="Arial" w:cs="Arial"/>
          <w:b/>
          <w:sz w:val="20"/>
          <w:szCs w:val="20"/>
        </w:rPr>
      </w:pPr>
    </w:p>
    <w:p w:rsidR="0045642B" w:rsidRPr="00DF540D" w:rsidRDefault="0045642B" w:rsidP="001025C9">
      <w:pPr>
        <w:tabs>
          <w:tab w:val="right" w:leader="dot" w:pos="9645"/>
        </w:tabs>
        <w:jc w:val="both"/>
        <w:rPr>
          <w:rFonts w:ascii="Arial" w:hAnsi="Arial" w:cs="Arial"/>
          <w:b/>
          <w:sz w:val="20"/>
          <w:szCs w:val="20"/>
        </w:rPr>
      </w:pPr>
    </w:p>
    <w:p w:rsidR="0045642B" w:rsidRPr="00DF540D" w:rsidRDefault="0045642B" w:rsidP="001025C9">
      <w:pPr>
        <w:tabs>
          <w:tab w:val="right" w:leader="dot" w:pos="9645"/>
        </w:tabs>
        <w:jc w:val="both"/>
        <w:rPr>
          <w:rFonts w:ascii="Arial" w:hAnsi="Arial" w:cs="Arial"/>
          <w:b/>
          <w:sz w:val="20"/>
          <w:szCs w:val="20"/>
        </w:rPr>
      </w:pPr>
    </w:p>
    <w:p w:rsidR="0045642B" w:rsidRPr="00DF540D" w:rsidRDefault="0045642B" w:rsidP="001025C9">
      <w:pPr>
        <w:tabs>
          <w:tab w:val="right" w:leader="dot" w:pos="9645"/>
        </w:tabs>
        <w:jc w:val="both"/>
        <w:rPr>
          <w:rFonts w:ascii="Arial" w:hAnsi="Arial" w:cs="Arial"/>
          <w:b/>
          <w:sz w:val="20"/>
          <w:szCs w:val="20"/>
        </w:rPr>
      </w:pPr>
    </w:p>
    <w:p w:rsidR="0045642B" w:rsidRPr="00DF540D" w:rsidRDefault="0045642B" w:rsidP="001025C9">
      <w:pPr>
        <w:tabs>
          <w:tab w:val="right" w:leader="dot" w:pos="9645"/>
        </w:tabs>
        <w:jc w:val="both"/>
        <w:rPr>
          <w:rFonts w:ascii="Arial" w:hAnsi="Arial" w:cs="Arial"/>
          <w:b/>
          <w:sz w:val="20"/>
          <w:szCs w:val="20"/>
        </w:rPr>
      </w:pPr>
    </w:p>
    <w:p w:rsidR="00576ED0" w:rsidRPr="00DF540D" w:rsidRDefault="00576ED0" w:rsidP="001025C9">
      <w:pPr>
        <w:jc w:val="both"/>
        <w:rPr>
          <w:rFonts w:ascii="Arial" w:hAnsi="Arial" w:cs="Arial"/>
          <w:b/>
          <w:sz w:val="20"/>
          <w:szCs w:val="20"/>
        </w:rPr>
      </w:pPr>
      <w:r w:rsidRPr="00DF540D">
        <w:rPr>
          <w:rFonts w:ascii="Arial" w:hAnsi="Arial" w:cs="Arial"/>
          <w:b/>
          <w:sz w:val="20"/>
          <w:szCs w:val="20"/>
        </w:rPr>
        <w:br w:type="page"/>
      </w:r>
    </w:p>
    <w:p w:rsidR="00576ED0" w:rsidRPr="00DF540D" w:rsidRDefault="00576ED0" w:rsidP="001025C9">
      <w:pPr>
        <w:pStyle w:val="Heading1"/>
        <w:jc w:val="both"/>
      </w:pPr>
      <w:bookmarkStart w:id="1" w:name="_Toc401238973"/>
      <w:r w:rsidRPr="00DF540D">
        <w:lastRenderedPageBreak/>
        <w:t>Introduction</w:t>
      </w:r>
      <w:bookmarkEnd w:id="1"/>
    </w:p>
    <w:p w:rsidR="00D17563" w:rsidRPr="00DF540D" w:rsidRDefault="00D17563" w:rsidP="001025C9">
      <w:pPr>
        <w:jc w:val="both"/>
        <w:rPr>
          <w:rFonts w:ascii="Arial" w:hAnsi="Arial" w:cs="Arial"/>
          <w:sz w:val="20"/>
          <w:szCs w:val="20"/>
        </w:rPr>
      </w:pPr>
    </w:p>
    <w:p w:rsidR="00DF25CE" w:rsidRPr="00DF540D" w:rsidRDefault="001C150C" w:rsidP="00EE2D2D">
      <w:r w:rsidRPr="00DF540D">
        <w:t xml:space="preserve">The </w:t>
      </w:r>
      <w:r w:rsidR="00FB4AB9" w:rsidRPr="00DF540D">
        <w:rPr>
          <w:i/>
        </w:rPr>
        <w:t>Motor Vehicle Standards Act 1989</w:t>
      </w:r>
      <w:r w:rsidR="00FB4AB9" w:rsidRPr="00DF540D">
        <w:t xml:space="preserve"> (</w:t>
      </w:r>
      <w:r w:rsidR="007B2917" w:rsidRPr="00DF540D">
        <w:t>MVSA</w:t>
      </w:r>
      <w:r w:rsidR="00FB4AB9" w:rsidRPr="00DF540D">
        <w:t>)</w:t>
      </w:r>
      <w:r w:rsidR="007B2917" w:rsidRPr="00DF540D">
        <w:t xml:space="preserve"> </w:t>
      </w:r>
      <w:r w:rsidR="002B24A2" w:rsidRPr="00DF540D">
        <w:t>set</w:t>
      </w:r>
      <w:r w:rsidR="00BD4B01" w:rsidRPr="00DF540D">
        <w:t>s</w:t>
      </w:r>
      <w:r w:rsidR="002B24A2" w:rsidRPr="00DF540D">
        <w:t xml:space="preserve"> a minimum standard </w:t>
      </w:r>
      <w:r w:rsidR="003B2A16" w:rsidRPr="00DF540D">
        <w:t>for</w:t>
      </w:r>
      <w:r w:rsidR="002B24A2" w:rsidRPr="00DF540D">
        <w:t xml:space="preserve"> safety </w:t>
      </w:r>
      <w:r w:rsidR="0045642B" w:rsidRPr="00DF540D">
        <w:t>(</w:t>
      </w:r>
      <w:r w:rsidR="002B24A2" w:rsidRPr="00DF540D">
        <w:t xml:space="preserve">and </w:t>
      </w:r>
      <w:r w:rsidR="006D5F4A" w:rsidRPr="00DF540D">
        <w:t xml:space="preserve">for </w:t>
      </w:r>
      <w:r w:rsidR="002B24A2" w:rsidRPr="00DF540D">
        <w:t xml:space="preserve">related matters </w:t>
      </w:r>
      <w:r w:rsidR="00FB4AB9" w:rsidRPr="00DF540D">
        <w:t>such as</w:t>
      </w:r>
      <w:r w:rsidR="002B24A2" w:rsidRPr="00DF540D">
        <w:t xml:space="preserve"> </w:t>
      </w:r>
      <w:r w:rsidR="003B2A16" w:rsidRPr="00DF540D">
        <w:t xml:space="preserve">vehicle </w:t>
      </w:r>
      <w:r w:rsidR="002B24A2" w:rsidRPr="00DF540D">
        <w:t>emissions</w:t>
      </w:r>
      <w:r w:rsidR="0045642B" w:rsidRPr="00DF540D">
        <w:t>)</w:t>
      </w:r>
      <w:r w:rsidR="002B24A2" w:rsidRPr="00DF540D">
        <w:t xml:space="preserve"> </w:t>
      </w:r>
      <w:r w:rsidR="00BD4B01" w:rsidRPr="00DF540D">
        <w:t>so</w:t>
      </w:r>
      <w:r w:rsidR="00766E32" w:rsidRPr="00DF540D">
        <w:t xml:space="preserve"> </w:t>
      </w:r>
      <w:r w:rsidR="00DF25CE" w:rsidRPr="00DF540D">
        <w:t xml:space="preserve">that </w:t>
      </w:r>
      <w:r w:rsidR="00974684" w:rsidRPr="00DF540D">
        <w:t>a</w:t>
      </w:r>
      <w:r w:rsidR="002B24A2" w:rsidRPr="00DF540D">
        <w:t xml:space="preserve"> </w:t>
      </w:r>
      <w:r w:rsidR="00BD4B01" w:rsidRPr="00DF540D">
        <w:t xml:space="preserve">new or used </w:t>
      </w:r>
      <w:r w:rsidR="00974684" w:rsidRPr="00DF540D">
        <w:t xml:space="preserve">motor </w:t>
      </w:r>
      <w:r w:rsidR="002B24A2" w:rsidRPr="00DF540D">
        <w:t xml:space="preserve">vehicle </w:t>
      </w:r>
      <w:r w:rsidR="00BD4B01" w:rsidRPr="00DF540D">
        <w:t>may</w:t>
      </w:r>
      <w:r w:rsidR="002B24A2" w:rsidRPr="00DF540D">
        <w:t xml:space="preserve"> </w:t>
      </w:r>
      <w:r w:rsidR="00957DDF" w:rsidRPr="00DF540D">
        <w:t>enter</w:t>
      </w:r>
      <w:r w:rsidR="00974684" w:rsidRPr="00DF540D">
        <w:t xml:space="preserve"> the</w:t>
      </w:r>
      <w:r w:rsidR="002B24A2" w:rsidRPr="00DF540D">
        <w:t xml:space="preserve"> </w:t>
      </w:r>
      <w:r w:rsidR="00EE2D2D" w:rsidRPr="00DF540D">
        <w:t xml:space="preserve">Australian </w:t>
      </w:r>
      <w:r w:rsidR="002B24A2" w:rsidRPr="00DF540D">
        <w:t>market</w:t>
      </w:r>
      <w:r w:rsidR="00EE2D2D" w:rsidRPr="00DF540D">
        <w:t>.</w:t>
      </w:r>
    </w:p>
    <w:p w:rsidR="00DF25CE" w:rsidRPr="00DF540D" w:rsidRDefault="00DF25CE" w:rsidP="00EE2D2D"/>
    <w:p w:rsidR="00781DD0" w:rsidRPr="00DF540D" w:rsidRDefault="00957DDF" w:rsidP="00EE2D2D">
      <w:r w:rsidRPr="00DF540D">
        <w:t xml:space="preserve">The Act </w:t>
      </w:r>
      <w:r w:rsidR="007B2917" w:rsidRPr="00DF540D">
        <w:t>prevent</w:t>
      </w:r>
      <w:r w:rsidR="002B24A2" w:rsidRPr="00DF540D">
        <w:t>s</w:t>
      </w:r>
      <w:r w:rsidR="006D5F4A" w:rsidRPr="00DF540D">
        <w:t xml:space="preserve"> the</w:t>
      </w:r>
      <w:r w:rsidR="007B2917" w:rsidRPr="00DF540D">
        <w:t xml:space="preserve"> importation of </w:t>
      </w:r>
      <w:r w:rsidR="00D23A88" w:rsidRPr="00DF540D">
        <w:t>used</w:t>
      </w:r>
      <w:r w:rsidR="007B2917" w:rsidRPr="00DF540D">
        <w:t xml:space="preserve"> vehicles </w:t>
      </w:r>
      <w:r w:rsidR="002B24A2" w:rsidRPr="00DF540D">
        <w:t xml:space="preserve">unless </w:t>
      </w:r>
      <w:r w:rsidR="00BD4B01" w:rsidRPr="00DF540D">
        <w:t xml:space="preserve">they </w:t>
      </w:r>
      <w:r w:rsidR="008130B6" w:rsidRPr="00DF540D">
        <w:t xml:space="preserve">meet </w:t>
      </w:r>
      <w:r w:rsidR="006D5F4A" w:rsidRPr="00DF540D">
        <w:t xml:space="preserve">standards of </w:t>
      </w:r>
      <w:r w:rsidR="00BD4B01" w:rsidRPr="00DF540D">
        <w:t>safety equivalent to</w:t>
      </w:r>
      <w:r w:rsidR="00766E32" w:rsidRPr="00DF540D">
        <w:t xml:space="preserve"> </w:t>
      </w:r>
      <w:r w:rsidR="00983F22" w:rsidRPr="00DF540D">
        <w:t>t</w:t>
      </w:r>
      <w:r w:rsidR="007B2917" w:rsidRPr="00DF540D">
        <w:t>h</w:t>
      </w:r>
      <w:r w:rsidR="00983F22" w:rsidRPr="00DF540D">
        <w:t>e</w:t>
      </w:r>
      <w:r w:rsidR="007B2917" w:rsidRPr="00DF540D">
        <w:t xml:space="preserve"> </w:t>
      </w:r>
      <w:r w:rsidR="000425DE" w:rsidRPr="00DF540D">
        <w:t>Australian Design Rules (ADR). The Act provide</w:t>
      </w:r>
      <w:r w:rsidR="00766E32" w:rsidRPr="00DF540D">
        <w:t>s</w:t>
      </w:r>
      <w:r w:rsidR="000425DE" w:rsidRPr="00DF540D">
        <w:t xml:space="preserve"> </w:t>
      </w:r>
      <w:r w:rsidR="008130B6" w:rsidRPr="00DF540D">
        <w:t>the</w:t>
      </w:r>
      <w:r w:rsidR="000425DE" w:rsidRPr="00DF540D">
        <w:t xml:space="preserve"> </w:t>
      </w:r>
      <w:r w:rsidR="007B2917" w:rsidRPr="00DF540D">
        <w:t xml:space="preserve">regulatory framework to control </w:t>
      </w:r>
      <w:r w:rsidR="00766E32" w:rsidRPr="00DF540D">
        <w:t xml:space="preserve">supply </w:t>
      </w:r>
      <w:r w:rsidR="007B2917" w:rsidRPr="00DF540D">
        <w:t xml:space="preserve">and </w:t>
      </w:r>
      <w:r w:rsidR="00766E32" w:rsidRPr="00DF540D">
        <w:t xml:space="preserve">importation </w:t>
      </w:r>
      <w:r w:rsidR="007B2917" w:rsidRPr="00DF540D">
        <w:t xml:space="preserve">of </w:t>
      </w:r>
      <w:r w:rsidR="008130B6" w:rsidRPr="00DF540D">
        <w:t>heavy</w:t>
      </w:r>
      <w:r w:rsidR="007B2917" w:rsidRPr="00DF540D">
        <w:t xml:space="preserve"> vehicles in</w:t>
      </w:r>
      <w:r w:rsidR="008130B6" w:rsidRPr="00DF540D">
        <w:t>to</w:t>
      </w:r>
      <w:r w:rsidR="007B2917" w:rsidRPr="00DF540D">
        <w:t xml:space="preserve"> Australia. </w:t>
      </w:r>
      <w:r w:rsidR="006D5F4A" w:rsidRPr="00DF540D">
        <w:t>The law also</w:t>
      </w:r>
      <w:r w:rsidR="00781DD0" w:rsidRPr="00DF540D">
        <w:t xml:space="preserve"> covers both domestic and international vehicle manufacturing and vehicle providers</w:t>
      </w:r>
      <w:r w:rsidR="006D5F4A" w:rsidRPr="00DF540D">
        <w:t>, thus in this instance regulation</w:t>
      </w:r>
      <w:r w:rsidR="00781DD0" w:rsidRPr="00DF540D">
        <w:t xml:space="preserve"> can achieve strict compliance with appropriate administration. </w:t>
      </w:r>
    </w:p>
    <w:p w:rsidR="000425DE" w:rsidRPr="00DF540D" w:rsidRDefault="000425DE" w:rsidP="007B2917">
      <w:pPr>
        <w:jc w:val="both"/>
        <w:rPr>
          <w:rFonts w:ascii="Arial" w:hAnsi="Arial" w:cs="Arial"/>
          <w:sz w:val="20"/>
          <w:szCs w:val="20"/>
        </w:rPr>
      </w:pPr>
    </w:p>
    <w:p w:rsidR="000B00D5" w:rsidRPr="00DF540D" w:rsidRDefault="000B00D5" w:rsidP="00EE2D2D">
      <w:r w:rsidRPr="00DF540D">
        <w:t xml:space="preserve">The </w:t>
      </w:r>
      <w:r w:rsidR="001426CA" w:rsidRPr="00DF540D">
        <w:t>MVSA</w:t>
      </w:r>
      <w:r w:rsidRPr="00DF540D">
        <w:t xml:space="preserve"> establishe</w:t>
      </w:r>
      <w:r w:rsidR="006005FC" w:rsidRPr="00DF540D">
        <w:t>s</w:t>
      </w:r>
      <w:r w:rsidRPr="00DF540D">
        <w:t xml:space="preserve"> national uniformity for ADR applications and prevents inconsistent state legislation. This </w:t>
      </w:r>
      <w:r w:rsidR="001426CA" w:rsidRPr="00DF540D">
        <w:t>is</w:t>
      </w:r>
      <w:r w:rsidRPr="00DF540D">
        <w:t xml:space="preserve"> a vast improvement on the </w:t>
      </w:r>
      <w:r w:rsidR="001426CA" w:rsidRPr="00DF540D">
        <w:t>past</w:t>
      </w:r>
      <w:r w:rsidRPr="00DF540D">
        <w:t xml:space="preserve"> of myriad rules; inspections, approvals and certification regimes in each jurisdiction. </w:t>
      </w:r>
    </w:p>
    <w:p w:rsidR="000B00D5" w:rsidRPr="00DF540D" w:rsidRDefault="000B00D5" w:rsidP="00EE2D2D"/>
    <w:p w:rsidR="006D5F4A" w:rsidRPr="00DF540D" w:rsidRDefault="006D5F4A" w:rsidP="006D5F4A">
      <w:r w:rsidRPr="00DF540D">
        <w:t>I</w:t>
      </w:r>
      <w:r w:rsidR="009F235A" w:rsidRPr="00DF540D">
        <w:t xml:space="preserve">n </w:t>
      </w:r>
      <w:r w:rsidR="00EB4857" w:rsidRPr="00DF540D">
        <w:t xml:space="preserve">June </w:t>
      </w:r>
      <w:r w:rsidR="006F3ACC" w:rsidRPr="00DF540D">
        <w:t>2013</w:t>
      </w:r>
      <w:r w:rsidR="00EB4857" w:rsidRPr="00DF540D">
        <w:t xml:space="preserve">, </w:t>
      </w:r>
      <w:r w:rsidR="00E353F3" w:rsidRPr="00DF540D">
        <w:t xml:space="preserve">the ATA </w:t>
      </w:r>
      <w:r w:rsidR="006F3ACC" w:rsidRPr="00DF540D">
        <w:t xml:space="preserve">submission </w:t>
      </w:r>
      <w:r w:rsidR="006D69E7" w:rsidRPr="00DF540D">
        <w:t xml:space="preserve">in the first </w:t>
      </w:r>
      <w:r w:rsidR="009F235A" w:rsidRPr="00DF540D">
        <w:t xml:space="preserve">consultation </w:t>
      </w:r>
      <w:r w:rsidR="006D69E7" w:rsidRPr="00DF540D">
        <w:t xml:space="preserve">round for </w:t>
      </w:r>
      <w:r w:rsidR="00E353F3" w:rsidRPr="00DF540D">
        <w:t xml:space="preserve">this </w:t>
      </w:r>
      <w:r w:rsidR="006F3ACC" w:rsidRPr="00DF540D">
        <w:t xml:space="preserve">review </w:t>
      </w:r>
      <w:r w:rsidRPr="00DF540D">
        <w:t xml:space="preserve">noted that since its introduction in 1989, the </w:t>
      </w:r>
      <w:r w:rsidR="00E353F3" w:rsidRPr="00DF540D">
        <w:t>Act</w:t>
      </w:r>
      <w:r w:rsidRPr="00DF540D">
        <w:t xml:space="preserve"> appears to have been effective in ensuring vehicles that are inferior in design or build quality do not enter the market for later use on public roads. </w:t>
      </w:r>
    </w:p>
    <w:p w:rsidR="00E353F3" w:rsidRPr="00DF540D" w:rsidRDefault="00E353F3" w:rsidP="006D5F4A"/>
    <w:p w:rsidR="00E353F3" w:rsidRPr="00DF540D" w:rsidRDefault="00E353F3" w:rsidP="00E353F3">
      <w:r w:rsidRPr="00DF540D">
        <w:t xml:space="preserve">However, in </w:t>
      </w:r>
      <w:r w:rsidR="004F2A50" w:rsidRPr="00DF540D">
        <w:t>its</w:t>
      </w:r>
      <w:r w:rsidRPr="00DF540D">
        <w:t xml:space="preserve"> submission, the ATA also recommended:</w:t>
      </w:r>
    </w:p>
    <w:p w:rsidR="00E353F3" w:rsidRPr="00DF540D" w:rsidRDefault="00E353F3" w:rsidP="00E353F3">
      <w:pPr>
        <w:pStyle w:val="RecommendationStyle"/>
        <w:numPr>
          <w:ilvl w:val="0"/>
          <w:numId w:val="0"/>
        </w:numPr>
        <w:spacing w:before="0" w:after="0"/>
        <w:rPr>
          <w:b w:val="0"/>
          <w:i w:val="0"/>
        </w:rPr>
      </w:pPr>
      <w:r w:rsidRPr="00DF540D">
        <w:rPr>
          <w:b w:val="0"/>
          <w:i w:val="0"/>
        </w:rPr>
        <w:tab/>
      </w:r>
    </w:p>
    <w:p w:rsidR="00E353F3" w:rsidRPr="00DF540D" w:rsidRDefault="00E353F3" w:rsidP="00E353F3">
      <w:pPr>
        <w:pStyle w:val="RecommendationStyle"/>
        <w:numPr>
          <w:ilvl w:val="0"/>
          <w:numId w:val="0"/>
        </w:numPr>
        <w:spacing w:before="0" w:after="0"/>
        <w:rPr>
          <w:rFonts w:ascii="Calibri" w:hAnsi="Calibri"/>
        </w:rPr>
      </w:pPr>
      <w:r w:rsidRPr="00DF540D">
        <w:rPr>
          <w:rFonts w:ascii="Calibri" w:hAnsi="Calibri"/>
          <w:b w:val="0"/>
          <w:i w:val="0"/>
        </w:rPr>
        <w:t xml:space="preserve">        </w:t>
      </w:r>
      <w:r w:rsidRPr="00DF540D">
        <w:rPr>
          <w:rFonts w:ascii="Calibri" w:hAnsi="Calibri"/>
        </w:rPr>
        <w:t>Recommendation 4</w:t>
      </w:r>
    </w:p>
    <w:p w:rsidR="00E353F3" w:rsidRPr="00DF540D" w:rsidRDefault="00E353F3" w:rsidP="00E353F3">
      <w:pPr>
        <w:pStyle w:val="RecommendationStyle"/>
        <w:numPr>
          <w:ilvl w:val="0"/>
          <w:numId w:val="0"/>
        </w:numPr>
        <w:spacing w:before="0" w:after="0"/>
        <w:rPr>
          <w:rFonts w:ascii="Calibri" w:hAnsi="Calibri"/>
        </w:rPr>
      </w:pPr>
      <w:r w:rsidRPr="00DF540D">
        <w:rPr>
          <w:rFonts w:ascii="Calibri" w:hAnsi="Calibri"/>
        </w:rPr>
        <w:t xml:space="preserve">        A technical refinement exercise be undertaken on the MVSA in conjunction with industry stakeholders.</w:t>
      </w:r>
    </w:p>
    <w:p w:rsidR="00E353F3" w:rsidRPr="00DF540D" w:rsidRDefault="00E353F3" w:rsidP="00E353F3">
      <w:pPr>
        <w:rPr>
          <w:rFonts w:ascii="Arial" w:hAnsi="Arial" w:cs="Arial"/>
          <w:sz w:val="20"/>
          <w:szCs w:val="20"/>
        </w:rPr>
      </w:pPr>
    </w:p>
    <w:p w:rsidR="00EF1B2D" w:rsidRPr="00DF540D" w:rsidRDefault="00A14A51" w:rsidP="002E53A1">
      <w:r w:rsidRPr="00DF540D">
        <w:t>At present, t</w:t>
      </w:r>
      <w:r w:rsidR="00E353F3" w:rsidRPr="00DF540D">
        <w:t xml:space="preserve">he MVSA </w:t>
      </w:r>
      <w:r w:rsidR="00EF1B2D" w:rsidRPr="00DF540D">
        <w:t>features</w:t>
      </w:r>
      <w:r w:rsidR="002E53A1" w:rsidRPr="00DF540D">
        <w:t xml:space="preserve"> </w:t>
      </w:r>
      <w:r w:rsidR="00E353F3" w:rsidRPr="00DF540D">
        <w:t>a preponderance of advice for the light vehicle sector (especially cars) but not</w:t>
      </w:r>
      <w:r w:rsidR="00EF1B2D" w:rsidRPr="00DF540D">
        <w:t xml:space="preserve"> for</w:t>
      </w:r>
      <w:r w:rsidR="00E353F3" w:rsidRPr="00DF540D">
        <w:t xml:space="preserve"> the commercial vehicle sector (especially </w:t>
      </w:r>
      <w:r w:rsidRPr="00DF540D">
        <w:t xml:space="preserve">not for </w:t>
      </w:r>
      <w:r w:rsidR="00E353F3" w:rsidRPr="00DF540D">
        <w:t>transport businesses).</w:t>
      </w:r>
    </w:p>
    <w:p w:rsidR="00EF1B2D" w:rsidRPr="00DF540D" w:rsidRDefault="00EF1B2D" w:rsidP="002E53A1"/>
    <w:p w:rsidR="00E353F3" w:rsidRPr="00DF540D" w:rsidRDefault="00E353F3" w:rsidP="002E53A1">
      <w:r w:rsidRPr="00DF540D">
        <w:t xml:space="preserve">This submission presents </w:t>
      </w:r>
      <w:r w:rsidR="002E53A1" w:rsidRPr="00DF540D">
        <w:t>some</w:t>
      </w:r>
      <w:r w:rsidR="00E31AA9">
        <w:t xml:space="preserve"> technical refinements, </w:t>
      </w:r>
      <w:r w:rsidR="00EF1B2D" w:rsidRPr="00DF540D">
        <w:t xml:space="preserve">principles and recommendations in </w:t>
      </w:r>
      <w:r w:rsidR="002E53A1" w:rsidRPr="00DF540D">
        <w:t xml:space="preserve">response to </w:t>
      </w:r>
      <w:r w:rsidR="00E31AA9">
        <w:t xml:space="preserve">the </w:t>
      </w:r>
      <w:r w:rsidR="002E53A1" w:rsidRPr="00DF540D">
        <w:t>Discussion Paper</w:t>
      </w:r>
      <w:r w:rsidR="00EF1B2D" w:rsidRPr="00DF540D">
        <w:t xml:space="preserve"> </w:t>
      </w:r>
      <w:r w:rsidR="00E31AA9">
        <w:t>q</w:t>
      </w:r>
      <w:r w:rsidR="00EF1B2D" w:rsidRPr="00DF540D">
        <w:t>uestions</w:t>
      </w:r>
      <w:r w:rsidR="002E53A1" w:rsidRPr="00DF540D">
        <w:t xml:space="preserve"> </w:t>
      </w:r>
      <w:r w:rsidRPr="00DF540D">
        <w:t xml:space="preserve">rather than proposing </w:t>
      </w:r>
      <w:r w:rsidR="00E315FF" w:rsidRPr="00DF540D">
        <w:t xml:space="preserve">any </w:t>
      </w:r>
      <w:r w:rsidRPr="00DF540D">
        <w:t>fundamental change</w:t>
      </w:r>
      <w:r w:rsidR="00E315FF" w:rsidRPr="00DF540D">
        <w:t>s</w:t>
      </w:r>
      <w:r w:rsidRPr="00DF540D">
        <w:t xml:space="preserve"> to the MVSA under the review.</w:t>
      </w:r>
    </w:p>
    <w:p w:rsidR="00E353F3" w:rsidRPr="00DF540D" w:rsidRDefault="00E353F3" w:rsidP="006D5F4A"/>
    <w:p w:rsidR="00A61231" w:rsidRPr="00DF540D" w:rsidRDefault="00A61231" w:rsidP="001025C9">
      <w:pPr>
        <w:jc w:val="both"/>
        <w:rPr>
          <w:rFonts w:ascii="Arial" w:hAnsi="Arial" w:cs="Arial"/>
          <w:sz w:val="20"/>
          <w:szCs w:val="20"/>
        </w:rPr>
      </w:pPr>
    </w:p>
    <w:p w:rsidR="00576ED0" w:rsidRPr="00DF540D" w:rsidRDefault="003340FB" w:rsidP="001025C9">
      <w:pPr>
        <w:pStyle w:val="Heading1"/>
        <w:jc w:val="both"/>
      </w:pPr>
      <w:r w:rsidRPr="00DF540D">
        <w:t xml:space="preserve"> </w:t>
      </w:r>
      <w:bookmarkStart w:id="2" w:name="_Toc401238974"/>
      <w:r w:rsidRPr="00DF540D">
        <w:t>Australian Trucking Association</w:t>
      </w:r>
      <w:bookmarkEnd w:id="2"/>
    </w:p>
    <w:p w:rsidR="004008C7" w:rsidRPr="00DF540D" w:rsidRDefault="004008C7" w:rsidP="001025C9">
      <w:pPr>
        <w:pStyle w:val="BodyText2"/>
        <w:jc w:val="both"/>
        <w:rPr>
          <w:b w:val="0"/>
          <w:sz w:val="20"/>
        </w:rPr>
      </w:pPr>
    </w:p>
    <w:p w:rsidR="00CF3600" w:rsidRPr="00DF540D" w:rsidRDefault="00CF3600" w:rsidP="00CF3600">
      <w:pPr>
        <w:pStyle w:val="BodyText2"/>
        <w:spacing w:line="269" w:lineRule="auto"/>
        <w:rPr>
          <w:rFonts w:ascii="Calibri" w:eastAsia="Calibri" w:hAnsi="Calibri" w:cs="Times New Roman"/>
          <w:b w:val="0"/>
          <w:bCs w:val="0"/>
          <w:szCs w:val="22"/>
        </w:rPr>
      </w:pPr>
      <w:r w:rsidRPr="00DF540D">
        <w:rPr>
          <w:rFonts w:ascii="Calibri" w:eastAsia="Calibri" w:hAnsi="Calibri" w:cs="Times New Roman"/>
          <w:b w:val="0"/>
          <w:bCs w:val="0"/>
          <w:szCs w:val="22"/>
        </w:rPr>
        <w:t>The Australian Trucking Association (ATA) is the peak body that represents the trucking industry. Its m</w:t>
      </w:r>
      <w:r w:rsidR="00FB4AB9" w:rsidRPr="00DF540D">
        <w:rPr>
          <w:rFonts w:ascii="Calibri" w:eastAsia="Calibri" w:hAnsi="Calibri" w:cs="Times New Roman"/>
          <w:b w:val="0"/>
          <w:bCs w:val="0"/>
          <w:szCs w:val="22"/>
        </w:rPr>
        <w:t>embers include state and sector-</w:t>
      </w:r>
      <w:r w:rsidRPr="00DF540D">
        <w:rPr>
          <w:rFonts w:ascii="Calibri" w:eastAsia="Calibri" w:hAnsi="Calibri" w:cs="Times New Roman"/>
          <w:b w:val="0"/>
          <w:bCs w:val="0"/>
          <w:szCs w:val="22"/>
        </w:rPr>
        <w:t>based trucking associations, some of the nation’s largest transport companies, and businesses with leading expertise in truck technology.</w:t>
      </w:r>
    </w:p>
    <w:p w:rsidR="008E128C" w:rsidRPr="00DF540D" w:rsidRDefault="008E128C" w:rsidP="00CF3600">
      <w:pPr>
        <w:pStyle w:val="BodyText2"/>
        <w:spacing w:line="269" w:lineRule="auto"/>
        <w:rPr>
          <w:rFonts w:ascii="Calibri" w:eastAsia="Calibri" w:hAnsi="Calibri" w:cs="Times New Roman"/>
          <w:b w:val="0"/>
          <w:bCs w:val="0"/>
          <w:szCs w:val="22"/>
        </w:rPr>
      </w:pPr>
    </w:p>
    <w:p w:rsidR="00D73280" w:rsidRPr="00DF540D" w:rsidRDefault="00907971" w:rsidP="00C05A4F">
      <w:pPr>
        <w:pStyle w:val="Heading1"/>
        <w:jc w:val="both"/>
      </w:pPr>
      <w:bookmarkStart w:id="3" w:name="_Toc401238975"/>
      <w:r w:rsidRPr="00DF540D">
        <w:t>Recommendations</w:t>
      </w:r>
      <w:bookmarkEnd w:id="3"/>
      <w:r w:rsidR="00C05A4F" w:rsidRPr="00DF540D">
        <w:rPr>
          <w:noProof/>
          <w:color w:val="000000" w:themeColor="text1"/>
          <w:sz w:val="20"/>
          <w:szCs w:val="20"/>
        </w:rPr>
        <w:t xml:space="preserve"> </w:t>
      </w:r>
    </w:p>
    <w:p w:rsidR="00076C90" w:rsidRPr="00DF540D" w:rsidRDefault="00076C90" w:rsidP="003B0AAE">
      <w:pPr>
        <w:rPr>
          <w:rFonts w:ascii="Arial" w:hAnsi="Arial" w:cs="Arial"/>
          <w:noProof/>
        </w:rPr>
      </w:pPr>
    </w:p>
    <w:p w:rsidR="004D6B58" w:rsidRPr="00DF540D" w:rsidRDefault="004D6B58" w:rsidP="004D6B58">
      <w:pPr>
        <w:pStyle w:val="RecommendationStyle"/>
        <w:numPr>
          <w:ilvl w:val="0"/>
          <w:numId w:val="0"/>
        </w:numPr>
        <w:spacing w:before="0" w:after="0"/>
        <w:jc w:val="both"/>
        <w:rPr>
          <w:rStyle w:val="Emphasis"/>
          <w:rFonts w:ascii="Calibri" w:hAnsi="Calibri"/>
          <w:sz w:val="22"/>
          <w:szCs w:val="22"/>
        </w:rPr>
      </w:pPr>
      <w:r w:rsidRPr="00DF540D">
        <w:rPr>
          <w:rStyle w:val="Emphasis"/>
          <w:rFonts w:ascii="Calibri" w:hAnsi="Calibri"/>
          <w:sz w:val="22"/>
          <w:szCs w:val="22"/>
        </w:rPr>
        <w:t>Recommendation 1</w:t>
      </w:r>
    </w:p>
    <w:p w:rsidR="004D6B58" w:rsidRPr="003505C4" w:rsidRDefault="004D6B58" w:rsidP="004D6B58">
      <w:pPr>
        <w:rPr>
          <w:b/>
        </w:rPr>
      </w:pPr>
      <w:r w:rsidRPr="003505C4">
        <w:rPr>
          <w:b/>
        </w:rPr>
        <w:t>That Australia should</w:t>
      </w:r>
      <w:r w:rsidR="0020419D">
        <w:rPr>
          <w:b/>
        </w:rPr>
        <w:t xml:space="preserve"> retain its existing ADR system for heavy vehicles.</w:t>
      </w:r>
    </w:p>
    <w:p w:rsidR="003505C4" w:rsidRPr="003505C4" w:rsidRDefault="003505C4" w:rsidP="004D6B58">
      <w:pPr>
        <w:rPr>
          <w:b/>
        </w:rPr>
      </w:pPr>
    </w:p>
    <w:p w:rsidR="00FE4B4F" w:rsidRPr="00DF540D" w:rsidRDefault="00FE4B4F" w:rsidP="00FE4B4F">
      <w:pPr>
        <w:pStyle w:val="RecommendationStyle"/>
        <w:numPr>
          <w:ilvl w:val="0"/>
          <w:numId w:val="0"/>
        </w:numPr>
        <w:spacing w:before="0" w:after="0"/>
        <w:jc w:val="both"/>
        <w:rPr>
          <w:rStyle w:val="Emphasis"/>
          <w:rFonts w:ascii="Calibri" w:hAnsi="Calibri"/>
          <w:sz w:val="22"/>
          <w:szCs w:val="22"/>
        </w:rPr>
      </w:pPr>
      <w:r w:rsidRPr="00DF540D">
        <w:rPr>
          <w:rStyle w:val="Emphasis"/>
          <w:rFonts w:ascii="Calibri" w:hAnsi="Calibri"/>
          <w:sz w:val="22"/>
          <w:szCs w:val="22"/>
        </w:rPr>
        <w:t xml:space="preserve">Recommendation </w:t>
      </w:r>
      <w:r w:rsidR="0020419D">
        <w:rPr>
          <w:rStyle w:val="Emphasis"/>
          <w:rFonts w:ascii="Calibri" w:hAnsi="Calibri"/>
          <w:sz w:val="22"/>
          <w:szCs w:val="22"/>
        </w:rPr>
        <w:t>2</w:t>
      </w:r>
    </w:p>
    <w:p w:rsidR="00FE4B4F" w:rsidRPr="00DF540D" w:rsidRDefault="00FE4B4F" w:rsidP="00FE4B4F">
      <w:pPr>
        <w:rPr>
          <w:rFonts w:cs="Arial"/>
          <w:b/>
        </w:rPr>
      </w:pPr>
      <w:r w:rsidRPr="00DF540D">
        <w:rPr>
          <w:rFonts w:cs="Arial"/>
          <w:b/>
        </w:rPr>
        <w:t>That the Government retain and/or strengthen the risk-based approach to heavy vehicle standards reflected in the Motor Vehicle Standards Act</w:t>
      </w:r>
      <w:r w:rsidR="00283485">
        <w:rPr>
          <w:rFonts w:cs="Arial"/>
          <w:b/>
        </w:rPr>
        <w:t xml:space="preserve"> 1989</w:t>
      </w:r>
      <w:r w:rsidRPr="00DF540D">
        <w:rPr>
          <w:rFonts w:cs="Arial"/>
          <w:b/>
        </w:rPr>
        <w:t>.</w:t>
      </w:r>
    </w:p>
    <w:p w:rsidR="000460DD" w:rsidRPr="00DF540D" w:rsidRDefault="000460DD" w:rsidP="00E353F3">
      <w:pPr>
        <w:rPr>
          <w:rFonts w:cs="Arial"/>
          <w:b/>
        </w:rPr>
      </w:pPr>
    </w:p>
    <w:p w:rsidR="00E353F3" w:rsidRPr="00DF540D" w:rsidRDefault="00E353F3" w:rsidP="00E353F3">
      <w:pPr>
        <w:rPr>
          <w:rFonts w:cs="Arial"/>
          <w:b/>
        </w:rPr>
      </w:pPr>
      <w:r w:rsidRPr="00DF540D">
        <w:rPr>
          <w:rFonts w:cs="Arial"/>
          <w:b/>
        </w:rPr>
        <w:t xml:space="preserve">Recommendation </w:t>
      </w:r>
      <w:r w:rsidR="0020419D">
        <w:rPr>
          <w:rFonts w:cs="Arial"/>
          <w:b/>
        </w:rPr>
        <w:t>3</w:t>
      </w:r>
    </w:p>
    <w:p w:rsidR="00E353F3" w:rsidRPr="00DF540D" w:rsidRDefault="00E353F3" w:rsidP="00E353F3">
      <w:pPr>
        <w:rPr>
          <w:rFonts w:cs="Arial"/>
          <w:b/>
        </w:rPr>
      </w:pPr>
      <w:r w:rsidRPr="00DF540D">
        <w:rPr>
          <w:rFonts w:cs="Arial"/>
          <w:b/>
        </w:rPr>
        <w:t>That Australia should retain a central regulatory facilitator of vehicle safety standards to ensure current standards encourage broader acceptance of international standards and to achieve greater transparency of process.</w:t>
      </w:r>
    </w:p>
    <w:p w:rsidR="002C2F49" w:rsidRPr="00DF540D" w:rsidRDefault="002C2F49" w:rsidP="006D5F4A">
      <w:pPr>
        <w:pStyle w:val="RecommendationStyle"/>
        <w:numPr>
          <w:ilvl w:val="0"/>
          <w:numId w:val="0"/>
        </w:numPr>
        <w:spacing w:before="0" w:after="0"/>
        <w:jc w:val="both"/>
        <w:rPr>
          <w:rStyle w:val="Emphasis"/>
        </w:rPr>
      </w:pPr>
    </w:p>
    <w:p w:rsidR="002F422D" w:rsidRPr="00DF540D" w:rsidRDefault="002F422D" w:rsidP="002F422D">
      <w:pPr>
        <w:rPr>
          <w:b/>
        </w:rPr>
      </w:pPr>
      <w:r w:rsidRPr="00DF540D">
        <w:rPr>
          <w:b/>
        </w:rPr>
        <w:t xml:space="preserve">Recommendation </w:t>
      </w:r>
      <w:r w:rsidR="0020419D">
        <w:rPr>
          <w:b/>
        </w:rPr>
        <w:t>4</w:t>
      </w:r>
    </w:p>
    <w:p w:rsidR="002F422D" w:rsidRPr="00DF540D" w:rsidRDefault="002F422D" w:rsidP="002F422D">
      <w:pPr>
        <w:rPr>
          <w:b/>
        </w:rPr>
      </w:pPr>
      <w:r w:rsidRPr="00DF540D">
        <w:rPr>
          <w:b/>
        </w:rPr>
        <w:t>That, in addition to consideration of suitable UN regulations, Australia should remain open to possible adoption of other appropriate vehicle standards wherever they may emerge around the world.</w:t>
      </w:r>
    </w:p>
    <w:p w:rsidR="002F422D" w:rsidRPr="00DF540D" w:rsidRDefault="002F422D" w:rsidP="002F422D">
      <w:pPr>
        <w:rPr>
          <w:b/>
        </w:rPr>
      </w:pPr>
    </w:p>
    <w:p w:rsidR="002F422D" w:rsidRPr="00DF540D" w:rsidRDefault="002F422D" w:rsidP="002F422D">
      <w:pPr>
        <w:rPr>
          <w:b/>
        </w:rPr>
      </w:pPr>
      <w:r w:rsidRPr="00DF540D">
        <w:rPr>
          <w:b/>
        </w:rPr>
        <w:t xml:space="preserve">Recommendation </w:t>
      </w:r>
      <w:r w:rsidR="0020419D">
        <w:rPr>
          <w:b/>
        </w:rPr>
        <w:t>5</w:t>
      </w:r>
    </w:p>
    <w:p w:rsidR="009A4142" w:rsidRPr="00DF540D" w:rsidRDefault="002F422D" w:rsidP="00DC2E2B">
      <w:pPr>
        <w:rPr>
          <w:b/>
        </w:rPr>
      </w:pPr>
      <w:r w:rsidRPr="00DF540D">
        <w:rPr>
          <w:b/>
        </w:rPr>
        <w:lastRenderedPageBreak/>
        <w:t>That changes to the MVSA and/or the ADR do not seek to constrain in-service modifications and that modifications warranting ongoing compliance assurance are undertaken by a suitable engineering signatory.</w:t>
      </w:r>
    </w:p>
    <w:p w:rsidR="00030CF9" w:rsidRPr="00DF540D" w:rsidRDefault="00030CF9" w:rsidP="009A4142">
      <w:pPr>
        <w:rPr>
          <w:b/>
        </w:rPr>
      </w:pPr>
    </w:p>
    <w:p w:rsidR="009A4142" w:rsidRPr="00DF540D" w:rsidRDefault="009A4142" w:rsidP="009A4142">
      <w:pPr>
        <w:rPr>
          <w:b/>
        </w:rPr>
      </w:pPr>
      <w:r w:rsidRPr="00DF540D">
        <w:rPr>
          <w:b/>
        </w:rPr>
        <w:t xml:space="preserve">Recommendation </w:t>
      </w:r>
      <w:r w:rsidR="0020419D">
        <w:rPr>
          <w:b/>
        </w:rPr>
        <w:t>6</w:t>
      </w:r>
    </w:p>
    <w:p w:rsidR="009A4142" w:rsidRPr="00DF540D" w:rsidRDefault="009A4142" w:rsidP="009A4142">
      <w:pPr>
        <w:rPr>
          <w:b/>
        </w:rPr>
      </w:pPr>
      <w:r w:rsidRPr="00DF540D">
        <w:rPr>
          <w:b/>
        </w:rPr>
        <w:t xml:space="preserve">That, absent any compelling </w:t>
      </w:r>
      <w:r w:rsidR="00030CF9" w:rsidRPr="00DF540D">
        <w:rPr>
          <w:b/>
        </w:rPr>
        <w:t xml:space="preserve">and immediate </w:t>
      </w:r>
      <w:r w:rsidRPr="00DF540D">
        <w:rPr>
          <w:b/>
        </w:rPr>
        <w:t xml:space="preserve">safety </w:t>
      </w:r>
      <w:r w:rsidR="00030CF9" w:rsidRPr="00DF540D">
        <w:rPr>
          <w:b/>
        </w:rPr>
        <w:t>concern</w:t>
      </w:r>
      <w:r w:rsidRPr="00DF540D">
        <w:rPr>
          <w:b/>
        </w:rPr>
        <w:t>, any change to the regulatory framework should permit a grace period for industry adoption not less than twelve months for new models, and not less than six months for existing models, from the date new amendments enter into force.</w:t>
      </w:r>
    </w:p>
    <w:p w:rsidR="009A4142" w:rsidRPr="00DF540D" w:rsidRDefault="009A4142" w:rsidP="00DC2E2B">
      <w:pPr>
        <w:rPr>
          <w:b/>
        </w:rPr>
      </w:pPr>
    </w:p>
    <w:p w:rsidR="006D5F4A" w:rsidRPr="00DF540D" w:rsidRDefault="006D5F4A" w:rsidP="006D5F4A">
      <w:pPr>
        <w:pStyle w:val="RecommendationStyle"/>
        <w:numPr>
          <w:ilvl w:val="0"/>
          <w:numId w:val="0"/>
        </w:numPr>
        <w:spacing w:before="0" w:after="0"/>
        <w:jc w:val="both"/>
        <w:rPr>
          <w:rStyle w:val="Emphasis"/>
          <w:i/>
        </w:rPr>
      </w:pPr>
    </w:p>
    <w:p w:rsidR="00E31AA9" w:rsidRDefault="00E31AA9" w:rsidP="0035759F">
      <w:pPr>
        <w:pStyle w:val="Heading1"/>
      </w:pPr>
      <w:bookmarkStart w:id="4" w:name="_Toc401238976"/>
      <w:r>
        <w:t xml:space="preserve">ATA </w:t>
      </w:r>
      <w:r w:rsidR="002B027E">
        <w:t>p</w:t>
      </w:r>
      <w:r>
        <w:t>osition</w:t>
      </w:r>
    </w:p>
    <w:p w:rsidR="00E31AA9" w:rsidRPr="00E31AA9" w:rsidRDefault="00E31AA9" w:rsidP="00E31AA9">
      <w:pPr>
        <w:pStyle w:val="Heading1"/>
        <w:numPr>
          <w:ilvl w:val="0"/>
          <w:numId w:val="0"/>
        </w:numPr>
        <w:rPr>
          <w:rFonts w:ascii="Calibri" w:hAnsi="Calibri" w:cs="Times New Roman"/>
          <w:b w:val="0"/>
          <w:color w:val="auto"/>
          <w:sz w:val="22"/>
          <w:szCs w:val="22"/>
        </w:rPr>
      </w:pPr>
    </w:p>
    <w:p w:rsidR="00F71734" w:rsidRPr="00DF540D" w:rsidRDefault="00F71734" w:rsidP="00F71734">
      <w:r w:rsidRPr="00DF540D">
        <w:t xml:space="preserve">The </w:t>
      </w:r>
      <w:r w:rsidR="0094026A">
        <w:t xml:space="preserve">ATA supports </w:t>
      </w:r>
      <w:r w:rsidR="00B8030B">
        <w:t>national</w:t>
      </w:r>
      <w:r w:rsidR="0094026A">
        <w:t xml:space="preserve"> </w:t>
      </w:r>
      <w:r w:rsidR="00B8030B">
        <w:t>legislation</w:t>
      </w:r>
      <w:r w:rsidRPr="00DF540D">
        <w:t xml:space="preserve"> </w:t>
      </w:r>
      <w:r w:rsidR="005E0895">
        <w:t>that</w:t>
      </w:r>
      <w:r w:rsidR="0094026A">
        <w:t xml:space="preserve"> </w:t>
      </w:r>
      <w:r w:rsidR="00B8030B">
        <w:t>deliver</w:t>
      </w:r>
      <w:r w:rsidR="005E0895">
        <w:t>s</w:t>
      </w:r>
      <w:r w:rsidR="00B8030B">
        <w:t xml:space="preserve"> </w:t>
      </w:r>
      <w:r>
        <w:t xml:space="preserve">transparent </w:t>
      </w:r>
      <w:r w:rsidR="00AD320B">
        <w:t xml:space="preserve">vehicle standards, </w:t>
      </w:r>
      <w:r>
        <w:t>regulatory</w:t>
      </w:r>
      <w:r w:rsidRPr="00DF540D">
        <w:t xml:space="preserve"> consistency and </w:t>
      </w:r>
      <w:r>
        <w:t>procedural</w:t>
      </w:r>
      <w:r w:rsidRPr="00DF540D">
        <w:t xml:space="preserve"> fairness for all Australians under the law.</w:t>
      </w:r>
    </w:p>
    <w:p w:rsidR="00F71734" w:rsidRDefault="00F71734" w:rsidP="006A52B9"/>
    <w:p w:rsidR="00F71734" w:rsidRDefault="006A52B9" w:rsidP="006A52B9">
      <w:r>
        <w:t xml:space="preserve">The ATA supports the </w:t>
      </w:r>
      <w:r w:rsidR="00B8030B">
        <w:t>current Act’s</w:t>
      </w:r>
      <w:r w:rsidRPr="00DF540D">
        <w:t xml:space="preserve"> objective</w:t>
      </w:r>
      <w:r>
        <w:t>s</w:t>
      </w:r>
      <w:r w:rsidRPr="00DF540D">
        <w:t xml:space="preserve"> to improve the safety, environmental performance and security of road vehicles</w:t>
      </w:r>
      <w:r w:rsidR="00F71734">
        <w:t xml:space="preserve">, including trucks, </w:t>
      </w:r>
      <w:r w:rsidRPr="00DF540D">
        <w:t xml:space="preserve">and </w:t>
      </w:r>
      <w:r w:rsidR="00B8030B">
        <w:t>suggests that</w:t>
      </w:r>
      <w:r w:rsidR="00F71734">
        <w:t xml:space="preserve"> it</w:t>
      </w:r>
      <w:r w:rsidRPr="00DF540D">
        <w:t xml:space="preserve"> </w:t>
      </w:r>
      <w:r w:rsidR="00B8030B">
        <w:t>i</w:t>
      </w:r>
      <w:r w:rsidR="00F71734">
        <w:t>s</w:t>
      </w:r>
      <w:r w:rsidR="00F71734">
        <w:rPr>
          <w:rStyle w:val="FootnoteReference"/>
        </w:rPr>
        <w:footnoteReference w:id="1"/>
      </w:r>
      <w:r w:rsidRPr="00DF540D">
        <w:t xml:space="preserve"> </w:t>
      </w:r>
      <w:r w:rsidR="00F71734">
        <w:t>a vital policy instrument for achieving those ends.</w:t>
      </w:r>
    </w:p>
    <w:p w:rsidR="00B8030B" w:rsidRDefault="00B8030B" w:rsidP="006A52B9"/>
    <w:p w:rsidR="00B8030B" w:rsidRDefault="00943C95" w:rsidP="006A52B9">
      <w:r>
        <w:t xml:space="preserve">The ATA </w:t>
      </w:r>
      <w:r w:rsidR="00AD320B">
        <w:t xml:space="preserve">also </w:t>
      </w:r>
      <w:r>
        <w:t xml:space="preserve">supports the MVSA’s achievements </w:t>
      </w:r>
      <w:r w:rsidR="00AD320B">
        <w:t>since 1989</w:t>
      </w:r>
      <w:r>
        <w:t xml:space="preserve"> in delivering </w:t>
      </w:r>
      <w:r w:rsidR="00AD320B">
        <w:t>safety improvements</w:t>
      </w:r>
      <w:r>
        <w:t xml:space="preserve"> </w:t>
      </w:r>
      <w:r w:rsidR="00AD320B">
        <w:t>in</w:t>
      </w:r>
      <w:r>
        <w:t xml:space="preserve"> new and second-hand vehicles. For example, </w:t>
      </w:r>
      <w:r w:rsidR="00AD320B">
        <w:t>the introduction of f</w:t>
      </w:r>
      <w:r>
        <w:t xml:space="preserve">ront </w:t>
      </w:r>
      <w:r w:rsidR="00AD320B">
        <w:t>u</w:t>
      </w:r>
      <w:r>
        <w:t>nderrun suspensions systems</w:t>
      </w:r>
      <w:r w:rsidR="00AD320B">
        <w:t xml:space="preserve"> and the presence of a</w:t>
      </w:r>
      <w:r>
        <w:t xml:space="preserve">nti-lock </w:t>
      </w:r>
      <w:r w:rsidR="00AD320B">
        <w:t>b</w:t>
      </w:r>
      <w:r>
        <w:t xml:space="preserve">raking </w:t>
      </w:r>
      <w:r w:rsidR="00AD320B">
        <w:t>s</w:t>
      </w:r>
      <w:r>
        <w:t>ystems</w:t>
      </w:r>
      <w:r w:rsidR="00AD320B">
        <w:t xml:space="preserve"> are now widespread or standard features in the market</w:t>
      </w:r>
      <w:r>
        <w:t>.</w:t>
      </w:r>
    </w:p>
    <w:p w:rsidR="00943C95" w:rsidRDefault="00943C95" w:rsidP="006A52B9"/>
    <w:p w:rsidR="00E31AA9" w:rsidRDefault="00943C95" w:rsidP="00213FE3">
      <w:r>
        <w:t xml:space="preserve">In </w:t>
      </w:r>
      <w:r w:rsidR="00AD320B">
        <w:t xml:space="preserve">the </w:t>
      </w:r>
      <w:r>
        <w:t>future,</w:t>
      </w:r>
      <w:r w:rsidR="00AD320B">
        <w:t xml:space="preserve"> the </w:t>
      </w:r>
      <w:r>
        <w:t xml:space="preserve">industry </w:t>
      </w:r>
      <w:r w:rsidR="00AD320B">
        <w:t>anticipates</w:t>
      </w:r>
      <w:r w:rsidR="00BF0939">
        <w:t xml:space="preserve"> </w:t>
      </w:r>
      <w:r>
        <w:t xml:space="preserve">electronic braking </w:t>
      </w:r>
      <w:r w:rsidR="00334DA7">
        <w:t>safety technology</w:t>
      </w:r>
      <w:r>
        <w:t xml:space="preserve"> </w:t>
      </w:r>
      <w:r w:rsidR="00AD320B">
        <w:t>to become</w:t>
      </w:r>
      <w:r w:rsidR="00BF0939">
        <w:t xml:space="preserve"> </w:t>
      </w:r>
      <w:r>
        <w:t xml:space="preserve">standard </w:t>
      </w:r>
      <w:r w:rsidR="00AD320B">
        <w:t>for</w:t>
      </w:r>
      <w:r>
        <w:t xml:space="preserve"> </w:t>
      </w:r>
      <w:r w:rsidR="00AD320B">
        <w:t>all dangerous goods vehicles and then lead to its widespread use in other vehicles</w:t>
      </w:r>
      <w:r>
        <w:t>.</w:t>
      </w:r>
      <w:r w:rsidR="0020419D">
        <w:t xml:space="preserve"> The ATA is campaigning for this.</w:t>
      </w:r>
    </w:p>
    <w:p w:rsidR="00EF3B6C" w:rsidRDefault="00EF3B6C" w:rsidP="00213FE3"/>
    <w:p w:rsidR="00EF3B6C" w:rsidRDefault="00EF3B6C" w:rsidP="00213FE3">
      <w:r>
        <w:t xml:space="preserve">Australia has unique operating conditions for heavy vehicles and allows innovative </w:t>
      </w:r>
      <w:r w:rsidR="00A552D6">
        <w:t xml:space="preserve">and safe </w:t>
      </w:r>
      <w:r>
        <w:t>vehicle combinations</w:t>
      </w:r>
      <w:r w:rsidR="00007B50">
        <w:t xml:space="preserve"> such as B-doubles, B-triples and road trains.</w:t>
      </w:r>
    </w:p>
    <w:p w:rsidR="00007B50" w:rsidRDefault="00007B50" w:rsidP="00213FE3"/>
    <w:p w:rsidR="00007B50" w:rsidRDefault="00007B50" w:rsidP="00213FE3">
      <w:r>
        <w:t xml:space="preserve">Australian truck operating practices </w:t>
      </w:r>
      <w:r w:rsidR="003A56FE">
        <w:t xml:space="preserve">also </w:t>
      </w:r>
      <w:r>
        <w:t>differ in important respects to those overseas.</w:t>
      </w:r>
    </w:p>
    <w:p w:rsidR="00007B50" w:rsidRDefault="00007B50" w:rsidP="00213FE3"/>
    <w:p w:rsidR="00007B50" w:rsidRDefault="00007B50" w:rsidP="00213FE3">
      <w:r>
        <w:t>As a result, Australia must retain its existing ADR system for heavy vehicles. It can be useful and productive to align those ADR with UN regulations, but in some cases it will not be appropriate. For example, in the case of ADR 38/04 which assum</w:t>
      </w:r>
      <w:r w:rsidR="005E1A1B">
        <w:t>e</w:t>
      </w:r>
      <w:r>
        <w:t xml:space="preserve">s vehicle parking practices by drivers that cannot be assumed </w:t>
      </w:r>
      <w:r w:rsidR="005E1A1B">
        <w:t>for</w:t>
      </w:r>
      <w:r>
        <w:t xml:space="preserve"> Australia.</w:t>
      </w:r>
    </w:p>
    <w:p w:rsidR="00334DA7" w:rsidRDefault="00334DA7" w:rsidP="00213FE3"/>
    <w:p w:rsidR="0020419D" w:rsidRPr="00DF540D" w:rsidRDefault="0020419D" w:rsidP="0020419D">
      <w:pPr>
        <w:pStyle w:val="RecommendationStyle"/>
        <w:numPr>
          <w:ilvl w:val="0"/>
          <w:numId w:val="0"/>
        </w:numPr>
        <w:spacing w:before="0" w:after="0"/>
        <w:jc w:val="both"/>
        <w:rPr>
          <w:rStyle w:val="Emphasis"/>
          <w:rFonts w:ascii="Calibri" w:hAnsi="Calibri"/>
          <w:sz w:val="22"/>
          <w:szCs w:val="22"/>
        </w:rPr>
      </w:pPr>
      <w:r w:rsidRPr="00DF540D">
        <w:rPr>
          <w:rStyle w:val="Emphasis"/>
          <w:rFonts w:ascii="Calibri" w:hAnsi="Calibri"/>
          <w:sz w:val="22"/>
          <w:szCs w:val="22"/>
        </w:rPr>
        <w:t>Recommendation 1</w:t>
      </w:r>
    </w:p>
    <w:p w:rsidR="0020419D" w:rsidRPr="003505C4" w:rsidRDefault="0020419D" w:rsidP="0020419D">
      <w:pPr>
        <w:rPr>
          <w:b/>
        </w:rPr>
      </w:pPr>
      <w:r w:rsidRPr="003505C4">
        <w:rPr>
          <w:b/>
        </w:rPr>
        <w:t>That Australia should</w:t>
      </w:r>
      <w:r>
        <w:rPr>
          <w:b/>
        </w:rPr>
        <w:t xml:space="preserve"> retain its existing ADR system for heavy vehicles.</w:t>
      </w:r>
    </w:p>
    <w:p w:rsidR="00334DA7" w:rsidRPr="00E31AA9" w:rsidRDefault="00334DA7" w:rsidP="00213FE3">
      <w:pPr>
        <w:rPr>
          <w:b/>
        </w:rPr>
      </w:pPr>
    </w:p>
    <w:p w:rsidR="00E31AA9" w:rsidRPr="00E31AA9" w:rsidRDefault="00E31AA9" w:rsidP="00E31AA9">
      <w:pPr>
        <w:pStyle w:val="Heading1"/>
        <w:numPr>
          <w:ilvl w:val="0"/>
          <w:numId w:val="0"/>
        </w:numPr>
        <w:rPr>
          <w:rFonts w:ascii="Calibri" w:hAnsi="Calibri" w:cs="Times New Roman"/>
          <w:b w:val="0"/>
          <w:color w:val="auto"/>
          <w:sz w:val="22"/>
          <w:szCs w:val="22"/>
        </w:rPr>
      </w:pPr>
    </w:p>
    <w:p w:rsidR="0035759F" w:rsidRPr="00DF540D" w:rsidRDefault="00EA258A" w:rsidP="0035759F">
      <w:pPr>
        <w:pStyle w:val="Heading1"/>
      </w:pPr>
      <w:r w:rsidRPr="00DF540D">
        <w:t>Responses</w:t>
      </w:r>
      <w:r w:rsidR="00EF1B2D" w:rsidRPr="00DF540D">
        <w:t xml:space="preserve"> to Options Paper Discussion Questions</w:t>
      </w:r>
      <w:bookmarkEnd w:id="4"/>
    </w:p>
    <w:p w:rsidR="00EF1B2D" w:rsidRPr="00DF540D" w:rsidRDefault="00EF1B2D" w:rsidP="00EF1B2D">
      <w:pPr>
        <w:rPr>
          <w:rFonts w:ascii="Arial" w:hAnsi="Arial" w:cs="Arial"/>
          <w:noProof/>
        </w:rPr>
      </w:pPr>
    </w:p>
    <w:p w:rsidR="00712385" w:rsidRPr="00DF540D" w:rsidRDefault="00712385" w:rsidP="003B0AAE">
      <w:r w:rsidRPr="00DF540D">
        <w:t>At present, the largest hurdle (in heavy vehicle compliance terms) is the timeliness of technical reviews. As federal law controls the legislative framework at present, the Australian Government is the appropriate jurisdiction to alter the administrative process and/or amend the law.</w:t>
      </w:r>
    </w:p>
    <w:p w:rsidR="00DC2E2B" w:rsidRPr="00DF540D" w:rsidRDefault="00DC2E2B" w:rsidP="003B0AAE"/>
    <w:p w:rsidR="00635031" w:rsidRPr="00DF540D" w:rsidRDefault="00DC2E2B" w:rsidP="003B0AAE">
      <w:r w:rsidRPr="00DF540D">
        <w:t xml:space="preserve">The </w:t>
      </w:r>
      <w:r w:rsidR="009A4142" w:rsidRPr="00DF540D">
        <w:t>broad</w:t>
      </w:r>
      <w:r w:rsidRPr="00DF540D">
        <w:t xml:space="preserve"> principles and objectives of the MVSA </w:t>
      </w:r>
      <w:r w:rsidR="00B62605" w:rsidRPr="00DF540D">
        <w:t>1989</w:t>
      </w:r>
      <w:r w:rsidRPr="00DF540D">
        <w:t xml:space="preserve"> still appear sound and do not </w:t>
      </w:r>
      <w:r w:rsidR="00B62605" w:rsidRPr="00DF540D">
        <w:t>seem</w:t>
      </w:r>
      <w:r w:rsidRPr="00DF540D">
        <w:t xml:space="preserve"> to need substantial </w:t>
      </w:r>
      <w:r w:rsidR="009A4142" w:rsidRPr="00DF540D">
        <w:t>revision</w:t>
      </w:r>
      <w:r w:rsidRPr="00DF540D">
        <w:t xml:space="preserve">. </w:t>
      </w:r>
      <w:r w:rsidR="00635031" w:rsidRPr="00DF540D">
        <w:t>A set of</w:t>
      </w:r>
      <w:r w:rsidR="009A4142" w:rsidRPr="00DF540D">
        <w:t xml:space="preserve"> suggested </w:t>
      </w:r>
      <w:r w:rsidR="00635031" w:rsidRPr="00DF540D">
        <w:t>r</w:t>
      </w:r>
      <w:r w:rsidR="00EF1B2D" w:rsidRPr="00DF540D">
        <w:t xml:space="preserve">efinements </w:t>
      </w:r>
      <w:r w:rsidR="00B62605" w:rsidRPr="00DF540D">
        <w:t>and</w:t>
      </w:r>
      <w:r w:rsidR="00EF1B2D" w:rsidRPr="00DF540D">
        <w:t xml:space="preserve"> recommendations are provided below in response to </w:t>
      </w:r>
      <w:r w:rsidR="00635031" w:rsidRPr="00DF540D">
        <w:t>relevant</w:t>
      </w:r>
      <w:r w:rsidR="00EF1B2D" w:rsidRPr="00DF540D">
        <w:t xml:space="preserve"> </w:t>
      </w:r>
      <w:r w:rsidR="00B62605" w:rsidRPr="00DF540D">
        <w:t xml:space="preserve">Options </w:t>
      </w:r>
      <w:r w:rsidR="00EF1B2D" w:rsidRPr="00DF540D">
        <w:t xml:space="preserve">Discussion Paper </w:t>
      </w:r>
      <w:r w:rsidR="007F7702" w:rsidRPr="00DF540D">
        <w:t>q</w:t>
      </w:r>
      <w:r w:rsidR="00EF1B2D" w:rsidRPr="00DF540D">
        <w:t>uestions</w:t>
      </w:r>
      <w:r w:rsidR="00C058D4" w:rsidRPr="00DF540D">
        <w:t>:</w:t>
      </w:r>
    </w:p>
    <w:p w:rsidR="009A4142" w:rsidRPr="00DF540D" w:rsidRDefault="009A4142" w:rsidP="003B0AAE"/>
    <w:p w:rsidR="00822893" w:rsidRPr="00DF540D" w:rsidRDefault="001A3DF6" w:rsidP="001A3DF6">
      <w:pPr>
        <w:rPr>
          <w:rFonts w:ascii="Arial" w:hAnsi="Arial" w:cs="Arial"/>
          <w:b/>
          <w:noProof/>
          <w:color w:val="000064"/>
          <w:sz w:val="20"/>
          <w:szCs w:val="20"/>
        </w:rPr>
      </w:pPr>
      <w:r w:rsidRPr="00DF540D">
        <w:rPr>
          <w:rFonts w:ascii="Arial" w:hAnsi="Arial" w:cs="Arial"/>
          <w:b/>
          <w:noProof/>
          <w:color w:val="000064"/>
          <w:sz w:val="20"/>
          <w:szCs w:val="20"/>
        </w:rPr>
        <w:t xml:space="preserve">5. </w:t>
      </w:r>
      <w:r w:rsidR="00B81B6D" w:rsidRPr="00DF540D">
        <w:rPr>
          <w:rFonts w:ascii="Arial" w:hAnsi="Arial" w:cs="Arial"/>
          <w:b/>
          <w:noProof/>
          <w:color w:val="000064"/>
          <w:sz w:val="20"/>
          <w:szCs w:val="20"/>
        </w:rPr>
        <w:t>Is there a problem</w:t>
      </w:r>
      <w:r w:rsidRPr="00DF540D">
        <w:rPr>
          <w:rFonts w:ascii="Arial" w:hAnsi="Arial" w:cs="Arial"/>
          <w:b/>
          <w:noProof/>
          <w:color w:val="000064"/>
          <w:sz w:val="20"/>
          <w:szCs w:val="20"/>
        </w:rPr>
        <w:t>?</w:t>
      </w:r>
    </w:p>
    <w:p w:rsidR="008B1786" w:rsidRPr="00DF540D" w:rsidRDefault="008B1786" w:rsidP="008B1786">
      <w:r w:rsidRPr="00DF540D">
        <w:t>The trucking industry has few concerns with the MVSA overall, other than if the risk-based policy approach reflected in the current MVSA is ultimately abandoned or weakened through this review</w:t>
      </w:r>
      <w:r w:rsidR="00372E26" w:rsidRPr="00DF540D">
        <w:t xml:space="preserve"> [see also </w:t>
      </w:r>
      <w:r w:rsidR="00372E26" w:rsidRPr="00DF540D">
        <w:rPr>
          <w:rFonts w:ascii="Arial" w:hAnsi="Arial" w:cs="Arial"/>
          <w:b/>
          <w:noProof/>
          <w:color w:val="000064"/>
          <w:sz w:val="18"/>
          <w:szCs w:val="18"/>
        </w:rPr>
        <w:t>Q. 7-1</w:t>
      </w:r>
      <w:r w:rsidR="00372E26" w:rsidRPr="00DF540D">
        <w:t>]</w:t>
      </w:r>
      <w:r w:rsidR="00EA258A" w:rsidRPr="00DF540D">
        <w:t>.</w:t>
      </w:r>
    </w:p>
    <w:p w:rsidR="008B1786" w:rsidRPr="00DF540D" w:rsidRDefault="008B1786" w:rsidP="008B1786"/>
    <w:p w:rsidR="008B1786" w:rsidRPr="00DF540D" w:rsidRDefault="00822893" w:rsidP="008B1786">
      <w:r w:rsidRPr="00DF540D">
        <w:t xml:space="preserve">Any argument for the repeal of the MVSA is </w:t>
      </w:r>
      <w:r w:rsidR="00F862C3" w:rsidRPr="00DF540D">
        <w:t>weak</w:t>
      </w:r>
      <w:r w:rsidR="00635031" w:rsidRPr="00DF540D">
        <w:t xml:space="preserve"> as it</w:t>
      </w:r>
      <w:r w:rsidRPr="00DF540D">
        <w:t xml:space="preserve"> </w:t>
      </w:r>
      <w:r w:rsidR="00372E26" w:rsidRPr="00DF540D">
        <w:t xml:space="preserve">will </w:t>
      </w:r>
      <w:r w:rsidR="003C0ACA" w:rsidRPr="00DF540D">
        <w:t>prove</w:t>
      </w:r>
      <w:r w:rsidRPr="00DF540D">
        <w:t xml:space="preserve"> highly counter-productive </w:t>
      </w:r>
      <w:r w:rsidR="00635031" w:rsidRPr="00DF540D">
        <w:t>to</w:t>
      </w:r>
      <w:r w:rsidRPr="00DF540D">
        <w:t xml:space="preserve"> </w:t>
      </w:r>
      <w:r w:rsidR="00EC5AD5" w:rsidRPr="00DF540D">
        <w:t xml:space="preserve">truck </w:t>
      </w:r>
      <w:r w:rsidRPr="00DF540D">
        <w:t xml:space="preserve">safety and compliance </w:t>
      </w:r>
      <w:r w:rsidR="00635031" w:rsidRPr="00DF540D">
        <w:t>efforts and costs</w:t>
      </w:r>
      <w:r w:rsidRPr="00DF540D">
        <w:t xml:space="preserve">. </w:t>
      </w:r>
      <w:r w:rsidR="008B1786" w:rsidRPr="00DF540D">
        <w:t>Australia, as a taker of global technology can little afford the prospect of different mot</w:t>
      </w:r>
      <w:r w:rsidR="00E85AEF" w:rsidRPr="00DF540D">
        <w:t xml:space="preserve">or vehicle standards applied in </w:t>
      </w:r>
      <w:r w:rsidR="00635031" w:rsidRPr="00DF540D">
        <w:t>contiguous</w:t>
      </w:r>
      <w:r w:rsidR="008B1786" w:rsidRPr="00DF540D">
        <w:t xml:space="preserve"> jurisdictions. Such a situation would involve a long </w:t>
      </w:r>
      <w:r w:rsidR="00F829EC" w:rsidRPr="00DF540D">
        <w:t>set</w:t>
      </w:r>
      <w:r w:rsidR="008B1786" w:rsidRPr="00DF540D">
        <w:t xml:space="preserve"> of requirements applied </w:t>
      </w:r>
      <w:r w:rsidR="00F829EC" w:rsidRPr="00DF540D">
        <w:rPr>
          <w:i/>
        </w:rPr>
        <w:t>ad hoc</w:t>
      </w:r>
      <w:r w:rsidR="00F829EC" w:rsidRPr="00DF540D">
        <w:t xml:space="preserve"> </w:t>
      </w:r>
      <w:r w:rsidR="008B1786" w:rsidRPr="00DF540D">
        <w:t>across the nation.</w:t>
      </w:r>
    </w:p>
    <w:p w:rsidR="008B1786" w:rsidRPr="00DF540D" w:rsidRDefault="008B1786" w:rsidP="008B1786"/>
    <w:p w:rsidR="008B1786" w:rsidRPr="00DF540D" w:rsidRDefault="008B1786" w:rsidP="008B1786">
      <w:r w:rsidRPr="00DF540D">
        <w:t xml:space="preserve">The law’s safety objectives must </w:t>
      </w:r>
      <w:r w:rsidR="00EC5AD5" w:rsidRPr="00DF540D">
        <w:t xml:space="preserve">also </w:t>
      </w:r>
      <w:r w:rsidRPr="00DF540D">
        <w:t xml:space="preserve">not be curtailed for consumer benefit alone. </w:t>
      </w:r>
      <w:r w:rsidR="00EC5AD5" w:rsidRPr="00DF540D">
        <w:t xml:space="preserve">The MVSA is about minimum safety standards. </w:t>
      </w:r>
      <w:r w:rsidRPr="00DF540D">
        <w:t xml:space="preserve">This </w:t>
      </w:r>
      <w:r w:rsidR="005470A7">
        <w:t xml:space="preserve">does not </w:t>
      </w:r>
      <w:r w:rsidRPr="00DF540D">
        <w:t>include the treatment of in-service vehicle modifications, which are the domain of the national regulator and states and territories.</w:t>
      </w:r>
      <w:r w:rsidR="00822893" w:rsidRPr="00DF540D">
        <w:t xml:space="preserve"> </w:t>
      </w:r>
      <w:r w:rsidRPr="00DF540D">
        <w:t xml:space="preserve">Although </w:t>
      </w:r>
      <w:r w:rsidR="00822893" w:rsidRPr="00DF540D">
        <w:t>option</w:t>
      </w:r>
      <w:r w:rsidR="00F829EC" w:rsidRPr="00DF540D">
        <w:t>s</w:t>
      </w:r>
      <w:r w:rsidR="00822893" w:rsidRPr="00DF540D">
        <w:t xml:space="preserve"> </w:t>
      </w:r>
      <w:r w:rsidR="00F829EC" w:rsidRPr="00DF540D">
        <w:t>for</w:t>
      </w:r>
      <w:r w:rsidR="00822893" w:rsidRPr="00DF540D">
        <w:t xml:space="preserve"> </w:t>
      </w:r>
      <w:r w:rsidRPr="00DF540D">
        <w:t xml:space="preserve">alternative entry paths may be desirable for vehicle enthusiasts, similar standards to those required from the mainstream fleet must be </w:t>
      </w:r>
      <w:r w:rsidR="00F829EC" w:rsidRPr="00DF540D">
        <w:t>kept</w:t>
      </w:r>
      <w:r w:rsidRPr="00DF540D">
        <w:t>, and importing parties should meet full cost recovery for administrati</w:t>
      </w:r>
      <w:r w:rsidR="00F829EC" w:rsidRPr="00DF540D">
        <w:t>ve</w:t>
      </w:r>
      <w:r w:rsidRPr="00DF540D">
        <w:t xml:space="preserve"> services</w:t>
      </w:r>
      <w:r w:rsidR="00F829EC" w:rsidRPr="00DF540D">
        <w:t xml:space="preserve"> received</w:t>
      </w:r>
      <w:r w:rsidRPr="00DF540D">
        <w:t>.</w:t>
      </w:r>
    </w:p>
    <w:p w:rsidR="00F861A5" w:rsidRPr="00DF540D" w:rsidRDefault="00F861A5" w:rsidP="008B1786"/>
    <w:p w:rsidR="00F861A5" w:rsidRPr="00DF540D" w:rsidRDefault="00F861A5" w:rsidP="00F861A5">
      <w:r w:rsidRPr="00DF540D">
        <w:t xml:space="preserve">The MVSA addresses non-compliant road vehicles operated for special oversize and over-mass tasks under permit and notices from the National Heavy Vehicle Regulator (NHVR) on advice from state and territory road agencies. The MVSA should not be expected to authorise alternative vehicles that do not meet safety standards for road vehicles. Such vehicles should be addressed in combination of customs law, state road transport law and trade practices law. </w:t>
      </w:r>
    </w:p>
    <w:p w:rsidR="00F861A5" w:rsidRPr="00DF540D" w:rsidRDefault="00F861A5" w:rsidP="00F861A5"/>
    <w:p w:rsidR="00C732F0" w:rsidRPr="00DF540D" w:rsidRDefault="00F861A5" w:rsidP="008B1786">
      <w:r w:rsidRPr="00DF540D">
        <w:t xml:space="preserve">The MVSA is not about adopting </w:t>
      </w:r>
      <w:r w:rsidR="002C2F49" w:rsidRPr="00DF540D">
        <w:t>another jurisdiction’s</w:t>
      </w:r>
      <w:r w:rsidRPr="00DF540D">
        <w:t xml:space="preserve"> </w:t>
      </w:r>
      <w:r w:rsidR="002C2F49" w:rsidRPr="00DF540D">
        <w:t xml:space="preserve">technical or regulatory </w:t>
      </w:r>
      <w:r w:rsidRPr="00DF540D">
        <w:t xml:space="preserve">solution. Australia </w:t>
      </w:r>
      <w:r w:rsidR="00061291" w:rsidRPr="00DF540D">
        <w:t>already has</w:t>
      </w:r>
      <w:r w:rsidR="00AA21B4" w:rsidRPr="00DF540D">
        <w:t xml:space="preserve"> </w:t>
      </w:r>
      <w:r w:rsidRPr="00DF540D">
        <w:t xml:space="preserve">proven </w:t>
      </w:r>
      <w:r w:rsidR="00061291" w:rsidRPr="00DF540D">
        <w:t xml:space="preserve">policy </w:t>
      </w:r>
      <w:r w:rsidRPr="00DF540D">
        <w:t xml:space="preserve">capacity to lead the world </w:t>
      </w:r>
      <w:r w:rsidR="00AA21B4" w:rsidRPr="00DF540D">
        <w:t>(e.g.</w:t>
      </w:r>
      <w:r w:rsidRPr="00DF540D">
        <w:t xml:space="preserve"> </w:t>
      </w:r>
      <w:r w:rsidR="00AA21B4" w:rsidRPr="00DF540D">
        <w:t xml:space="preserve">with </w:t>
      </w:r>
      <w:r w:rsidRPr="00DF540D">
        <w:t>seatbelt standards in the sixties</w:t>
      </w:r>
      <w:r w:rsidR="00AA21B4" w:rsidRPr="00DF540D">
        <w:t>)</w:t>
      </w:r>
      <w:r w:rsidRPr="00DF540D">
        <w:t xml:space="preserve"> </w:t>
      </w:r>
      <w:r w:rsidR="00604648" w:rsidRPr="00DF540D">
        <w:t>and in 2014, it leads global development</w:t>
      </w:r>
      <w:r w:rsidR="00061291" w:rsidRPr="00DF540D">
        <w:t>s</w:t>
      </w:r>
      <w:r w:rsidR="00604648" w:rsidRPr="00DF540D">
        <w:t xml:space="preserve"> in</w:t>
      </w:r>
      <w:r w:rsidRPr="00DF540D">
        <w:t xml:space="preserve"> pole side impact</w:t>
      </w:r>
      <w:r w:rsidR="004A4990" w:rsidRPr="00DF540D">
        <w:t xml:space="preserve"> </w:t>
      </w:r>
      <w:r w:rsidRPr="00DF540D">
        <w:t>testing and standards</w:t>
      </w:r>
      <w:r w:rsidR="004A4990" w:rsidRPr="00DF540D">
        <w:rPr>
          <w:rStyle w:val="FootnoteReference"/>
        </w:rPr>
        <w:footnoteReference w:id="2"/>
      </w:r>
      <w:r w:rsidRPr="00DF540D">
        <w:t xml:space="preserve">. Australia also leads globally </w:t>
      </w:r>
      <w:r w:rsidR="002C2F49" w:rsidRPr="00DF540D">
        <w:t>in operational practices through</w:t>
      </w:r>
      <w:r w:rsidRPr="00DF540D">
        <w:t xml:space="preserve"> </w:t>
      </w:r>
      <w:r w:rsidR="00061291" w:rsidRPr="00DF540D">
        <w:t xml:space="preserve">its </w:t>
      </w:r>
      <w:r w:rsidRPr="00DF540D">
        <w:t>use of highly productive, multi-combination freight vehicles</w:t>
      </w:r>
      <w:r w:rsidR="00803E85" w:rsidRPr="00DF540D">
        <w:t xml:space="preserve"> and t</w:t>
      </w:r>
      <w:r w:rsidRPr="00DF540D">
        <w:t xml:space="preserve">he </w:t>
      </w:r>
      <w:r w:rsidR="00803E85" w:rsidRPr="00DF540D">
        <w:t>Act</w:t>
      </w:r>
      <w:r w:rsidRPr="00DF540D">
        <w:t xml:space="preserve"> recognises this already.</w:t>
      </w:r>
    </w:p>
    <w:p w:rsidR="00C058D4" w:rsidRPr="00DF540D" w:rsidRDefault="00C058D4" w:rsidP="008B1786"/>
    <w:p w:rsidR="00C732F0" w:rsidRPr="00DF540D" w:rsidRDefault="00C732F0" w:rsidP="00C732F0">
      <w:pPr>
        <w:pStyle w:val="RecommendationStyle"/>
        <w:numPr>
          <w:ilvl w:val="0"/>
          <w:numId w:val="0"/>
        </w:numPr>
        <w:spacing w:before="0" w:after="0"/>
        <w:jc w:val="both"/>
        <w:rPr>
          <w:rStyle w:val="Emphasis"/>
          <w:rFonts w:asciiTheme="minorHAnsi" w:hAnsiTheme="minorHAnsi"/>
          <w:sz w:val="22"/>
          <w:szCs w:val="22"/>
        </w:rPr>
      </w:pPr>
      <w:r w:rsidRPr="00DF540D">
        <w:rPr>
          <w:rStyle w:val="Emphasis"/>
          <w:rFonts w:asciiTheme="minorHAnsi" w:hAnsiTheme="minorHAnsi"/>
          <w:sz w:val="22"/>
          <w:szCs w:val="22"/>
        </w:rPr>
        <w:t xml:space="preserve">Recommendation </w:t>
      </w:r>
      <w:r w:rsidR="00EF3B6C">
        <w:rPr>
          <w:rStyle w:val="Emphasis"/>
          <w:rFonts w:asciiTheme="minorHAnsi" w:hAnsiTheme="minorHAnsi"/>
          <w:sz w:val="22"/>
          <w:szCs w:val="22"/>
        </w:rPr>
        <w:t>2</w:t>
      </w:r>
    </w:p>
    <w:p w:rsidR="00C732F0" w:rsidRDefault="00C732F0" w:rsidP="008B1786">
      <w:pPr>
        <w:rPr>
          <w:rFonts w:asciiTheme="minorHAnsi" w:hAnsiTheme="minorHAnsi"/>
          <w:b/>
        </w:rPr>
      </w:pPr>
      <w:r w:rsidRPr="00DF540D">
        <w:rPr>
          <w:rFonts w:asciiTheme="minorHAnsi" w:hAnsiTheme="minorHAnsi"/>
          <w:b/>
        </w:rPr>
        <w:t>That the Government retain and/or strengthen the risk-based approach</w:t>
      </w:r>
      <w:r w:rsidR="00FE4B4F" w:rsidRPr="00DF540D">
        <w:rPr>
          <w:rFonts w:asciiTheme="minorHAnsi" w:hAnsiTheme="minorHAnsi"/>
          <w:b/>
        </w:rPr>
        <w:t xml:space="preserve"> to heavy vehicle standards</w:t>
      </w:r>
      <w:r w:rsidRPr="00DF540D">
        <w:rPr>
          <w:rFonts w:asciiTheme="minorHAnsi" w:hAnsiTheme="minorHAnsi"/>
          <w:b/>
        </w:rPr>
        <w:t xml:space="preserve"> reflected in the Motor Vehicle Standards Act.</w:t>
      </w:r>
    </w:p>
    <w:p w:rsidR="00EF3B6C" w:rsidRPr="00DF540D" w:rsidRDefault="00EF3B6C" w:rsidP="008B1786">
      <w:pPr>
        <w:rPr>
          <w:rFonts w:asciiTheme="minorHAnsi" w:hAnsiTheme="minorHAnsi"/>
          <w:b/>
        </w:rPr>
      </w:pPr>
    </w:p>
    <w:p w:rsidR="00C732F0" w:rsidRPr="00DF540D" w:rsidRDefault="00C732F0" w:rsidP="008B1786"/>
    <w:p w:rsidR="00C8086D" w:rsidRPr="00DF540D" w:rsidRDefault="00C8086D" w:rsidP="001A3DF6">
      <w:pPr>
        <w:rPr>
          <w:rFonts w:ascii="Arial" w:hAnsi="Arial" w:cs="Arial"/>
          <w:b/>
          <w:noProof/>
          <w:color w:val="000064"/>
          <w:sz w:val="20"/>
          <w:szCs w:val="20"/>
        </w:rPr>
      </w:pPr>
      <w:r w:rsidRPr="00DF540D">
        <w:rPr>
          <w:rFonts w:ascii="Arial" w:hAnsi="Arial" w:cs="Arial"/>
          <w:b/>
          <w:noProof/>
          <w:color w:val="000064"/>
          <w:sz w:val="20"/>
          <w:szCs w:val="20"/>
        </w:rPr>
        <w:t>Q. 5.1 Have the problems with the current situation been reflected accurately and are there other problems that should be addressed?</w:t>
      </w:r>
    </w:p>
    <w:p w:rsidR="00B763D7" w:rsidRPr="00DF540D" w:rsidRDefault="00B763D7" w:rsidP="00B763D7">
      <w:r w:rsidRPr="00DF540D">
        <w:t>The loss of light vehicle manufacturing in Australia will increase pressure on lawmakers to avoid devising unique vehicle regulatory standards for Australia. This is a good policy outcome.</w:t>
      </w:r>
    </w:p>
    <w:p w:rsidR="00B763D7" w:rsidRPr="00DF540D" w:rsidRDefault="00B763D7" w:rsidP="00B763D7"/>
    <w:p w:rsidR="00B763D7" w:rsidRPr="00DF540D" w:rsidRDefault="00B763D7" w:rsidP="00B763D7">
      <w:r w:rsidRPr="00DF540D">
        <w:t xml:space="preserve">However, if current pressures on local manufacturers continue, Australia is </w:t>
      </w:r>
      <w:r w:rsidR="007B4E3A" w:rsidRPr="00DF540D">
        <w:t xml:space="preserve">also </w:t>
      </w:r>
      <w:r w:rsidRPr="00DF540D">
        <w:t>at risk of losing heavy motor vehicle manufacturing</w:t>
      </w:r>
      <w:r w:rsidR="007B4E3A" w:rsidRPr="00DF540D">
        <w:t xml:space="preserve"> capacity</w:t>
      </w:r>
      <w:r w:rsidRPr="00DF540D">
        <w:t xml:space="preserve"> The MVSA review doesn’t adequately address heavy vehicle issues (either prime mover/truck or prime movers) because to some degree the market will continue to include local manufacturing.</w:t>
      </w:r>
    </w:p>
    <w:p w:rsidR="00B763D7" w:rsidRPr="00DF540D" w:rsidRDefault="00B763D7" w:rsidP="00B763D7"/>
    <w:p w:rsidR="00B763D7" w:rsidRPr="00DF540D" w:rsidRDefault="00B763D7" w:rsidP="00B763D7">
      <w:r w:rsidRPr="00DF540D">
        <w:t xml:space="preserve">Operator </w:t>
      </w:r>
      <w:r w:rsidR="002352EB" w:rsidRPr="00DF540D">
        <w:t>feedback</w:t>
      </w:r>
      <w:r w:rsidRPr="00DF540D">
        <w:t xml:space="preserve"> also suggest</w:t>
      </w:r>
      <w:r w:rsidR="002352EB" w:rsidRPr="00DF540D">
        <w:t>s</w:t>
      </w:r>
      <w:r w:rsidRPr="00DF540D">
        <w:t xml:space="preserve"> that compliance enforcement on heavy trailers </w:t>
      </w:r>
      <w:r w:rsidR="002352EB" w:rsidRPr="00DF540D">
        <w:t xml:space="preserve">usually </w:t>
      </w:r>
      <w:r w:rsidRPr="00DF540D">
        <w:t xml:space="preserve">fails to address safety critical items that are </w:t>
      </w:r>
      <w:r w:rsidR="009E044E" w:rsidRPr="00DF540D">
        <w:t>key to being</w:t>
      </w:r>
      <w:r w:rsidRPr="00DF540D">
        <w:t xml:space="preserve"> </w:t>
      </w:r>
      <w:r w:rsidR="009E044E" w:rsidRPr="00DF540D">
        <w:t xml:space="preserve">considered </w:t>
      </w:r>
      <w:r w:rsidRPr="00DF540D">
        <w:t>roadworth</w:t>
      </w:r>
      <w:r w:rsidR="009E044E" w:rsidRPr="00DF540D">
        <w:t>y</w:t>
      </w:r>
      <w:r w:rsidRPr="00DF540D">
        <w:t xml:space="preserve">, while placing too much emphasis on trivial aspects. </w:t>
      </w:r>
      <w:r w:rsidR="007811CE">
        <w:t xml:space="preserve">For example, </w:t>
      </w:r>
      <w:r w:rsidRPr="00DF540D">
        <w:t xml:space="preserve">the ATA is yet to see formal accident reports attributing </w:t>
      </w:r>
      <w:r w:rsidR="00D24FB9" w:rsidRPr="00DF540D">
        <w:t>heavy</w:t>
      </w:r>
      <w:r w:rsidR="0054356C" w:rsidRPr="00DF540D">
        <w:t xml:space="preserve"> vehicle </w:t>
      </w:r>
      <w:r w:rsidRPr="00DF540D">
        <w:t xml:space="preserve">crashes to a </w:t>
      </w:r>
      <w:r w:rsidR="00EA258A" w:rsidRPr="00DF540D">
        <w:t>‘</w:t>
      </w:r>
      <w:r w:rsidRPr="00DF540D">
        <w:t>faded</w:t>
      </w:r>
      <w:r w:rsidR="00EA258A" w:rsidRPr="00DF540D">
        <w:t>’</w:t>
      </w:r>
      <w:r w:rsidRPr="00DF540D">
        <w:t xml:space="preserve"> light or a poorly positioned mandatory </w:t>
      </w:r>
      <w:r w:rsidR="00EA258A" w:rsidRPr="00DF540D">
        <w:t>lamp</w:t>
      </w:r>
      <w:r w:rsidRPr="00DF540D">
        <w:t>.</w:t>
      </w:r>
    </w:p>
    <w:p w:rsidR="00597E18" w:rsidRPr="00DF540D" w:rsidRDefault="00597E18" w:rsidP="003B0AAE">
      <w:pPr>
        <w:rPr>
          <w:rFonts w:ascii="Arial" w:hAnsi="Arial" w:cs="Arial"/>
          <w:noProof/>
        </w:rPr>
      </w:pPr>
    </w:p>
    <w:p w:rsidR="00B763D7" w:rsidRPr="00DF540D" w:rsidRDefault="00B81B6D" w:rsidP="001A3DF6">
      <w:pPr>
        <w:rPr>
          <w:rFonts w:ascii="Arial" w:hAnsi="Arial" w:cs="Arial"/>
          <w:b/>
          <w:noProof/>
          <w:color w:val="000064"/>
          <w:sz w:val="20"/>
          <w:szCs w:val="20"/>
        </w:rPr>
      </w:pPr>
      <w:r w:rsidRPr="00DF540D">
        <w:rPr>
          <w:rFonts w:ascii="Arial" w:hAnsi="Arial" w:cs="Arial"/>
          <w:b/>
          <w:noProof/>
          <w:color w:val="000064"/>
          <w:sz w:val="20"/>
          <w:szCs w:val="20"/>
        </w:rPr>
        <w:t>7. What policy options could be considered?</w:t>
      </w:r>
    </w:p>
    <w:p w:rsidR="00B763D7" w:rsidRPr="00DF540D" w:rsidRDefault="00B763D7" w:rsidP="00B763D7">
      <w:r w:rsidRPr="00DF540D">
        <w:t xml:space="preserve">Off-road vehicles may require safety regulations </w:t>
      </w:r>
      <w:r w:rsidR="00B81B6D" w:rsidRPr="00DF540D">
        <w:t xml:space="preserve">in future </w:t>
      </w:r>
      <w:r w:rsidRPr="00DF540D">
        <w:t xml:space="preserve">but these should be addressed in other laws so that the Act’s safety objectives, as well as mainstream traffic flows in Australia, are not compromised. </w:t>
      </w:r>
    </w:p>
    <w:p w:rsidR="00B763D7" w:rsidRPr="00DF540D" w:rsidRDefault="00B763D7" w:rsidP="00B763D7"/>
    <w:p w:rsidR="00B763D7" w:rsidRPr="00DF540D" w:rsidRDefault="00B763D7" w:rsidP="001A3DF6">
      <w:pPr>
        <w:rPr>
          <w:rFonts w:ascii="Arial" w:hAnsi="Arial" w:cs="Arial"/>
          <w:b/>
          <w:noProof/>
          <w:color w:val="000064"/>
          <w:sz w:val="20"/>
          <w:szCs w:val="20"/>
        </w:rPr>
      </w:pPr>
      <w:r w:rsidRPr="00DF540D">
        <w:rPr>
          <w:rFonts w:ascii="Arial" w:hAnsi="Arial" w:cs="Arial"/>
          <w:b/>
          <w:noProof/>
          <w:color w:val="000064"/>
          <w:sz w:val="20"/>
          <w:szCs w:val="20"/>
        </w:rPr>
        <w:t>Q. 7-1 What are the benefits or costs of refining the risk base</w:t>
      </w:r>
      <w:r w:rsidR="00712385" w:rsidRPr="00DF540D">
        <w:rPr>
          <w:rFonts w:ascii="Arial" w:hAnsi="Arial" w:cs="Arial"/>
          <w:b/>
          <w:noProof/>
          <w:color w:val="000064"/>
          <w:sz w:val="20"/>
          <w:szCs w:val="20"/>
        </w:rPr>
        <w:t>d approach to the regulation of</w:t>
      </w:r>
      <w:r w:rsidR="001A3DF6" w:rsidRPr="00DF540D">
        <w:rPr>
          <w:rFonts w:ascii="Arial" w:hAnsi="Arial" w:cs="Arial"/>
          <w:b/>
          <w:noProof/>
          <w:color w:val="000064"/>
          <w:sz w:val="20"/>
          <w:szCs w:val="20"/>
        </w:rPr>
        <w:t xml:space="preserve"> </w:t>
      </w:r>
      <w:r w:rsidRPr="00DF540D">
        <w:rPr>
          <w:rFonts w:ascii="Arial" w:hAnsi="Arial" w:cs="Arial"/>
          <w:b/>
          <w:noProof/>
          <w:color w:val="000064"/>
          <w:sz w:val="20"/>
          <w:szCs w:val="20"/>
        </w:rPr>
        <w:t xml:space="preserve">vehicles entering the Australia market? </w:t>
      </w:r>
    </w:p>
    <w:p w:rsidR="0064657E" w:rsidRPr="00DF540D" w:rsidRDefault="00B81B6D" w:rsidP="0064657E">
      <w:r w:rsidRPr="00DF540D">
        <w:t>In line with the comment above, one</w:t>
      </w:r>
      <w:r w:rsidR="0064657E" w:rsidRPr="00DF540D">
        <w:t xml:space="preserve"> issue raised by the ATA in its 2013 MVSA submission is treatment of imported off-road motorbikes and all terrai</w:t>
      </w:r>
      <w:r w:rsidR="00FE4B4F" w:rsidRPr="00DF540D">
        <w:t xml:space="preserve">n vehicles </w:t>
      </w:r>
      <w:r w:rsidRPr="00DF540D">
        <w:t>(ATV) aka</w:t>
      </w:r>
      <w:r w:rsidR="00FE4B4F" w:rsidRPr="00DF540D">
        <w:t xml:space="preserve"> quad bikes.</w:t>
      </w:r>
    </w:p>
    <w:p w:rsidR="0064657E" w:rsidRPr="00DF540D" w:rsidRDefault="0064657E" w:rsidP="0064657E"/>
    <w:p w:rsidR="0064657E" w:rsidRPr="00DF540D" w:rsidRDefault="0064657E" w:rsidP="0064657E">
      <w:r w:rsidRPr="00DF540D">
        <w:lastRenderedPageBreak/>
        <w:t xml:space="preserve">If made ADR-compliant, such vehicles would be </w:t>
      </w:r>
      <w:r w:rsidR="00F87DB9" w:rsidRPr="00DF540D">
        <w:t>‘</w:t>
      </w:r>
      <w:r w:rsidRPr="00DF540D">
        <w:t>suitable</w:t>
      </w:r>
      <w:r w:rsidR="00F87DB9" w:rsidRPr="00DF540D">
        <w:t>'</w:t>
      </w:r>
      <w:r w:rsidRPr="00DF540D">
        <w:t xml:space="preserve"> for on-road use - a </w:t>
      </w:r>
      <w:r w:rsidR="00F52FB6" w:rsidRPr="00DF540D">
        <w:t>very</w:t>
      </w:r>
      <w:r w:rsidRPr="00DF540D">
        <w:t xml:space="preserve"> undesirable policy outcome. It may be better to use other rules that set minimum safety standards but also clearly disallow on-road use. This would give some comfort to the trucking industry as it </w:t>
      </w:r>
      <w:r w:rsidR="00F52FB6" w:rsidRPr="00DF540D">
        <w:t xml:space="preserve">already </w:t>
      </w:r>
      <w:r w:rsidRPr="00DF540D">
        <w:t>shares the road with vulnerable vehicles</w:t>
      </w:r>
      <w:r w:rsidR="00F52FB6" w:rsidRPr="00DF540D">
        <w:t xml:space="preserve"> such as scooters and motorcycles</w:t>
      </w:r>
      <w:r w:rsidRPr="00DF540D">
        <w:t>. Where such regulations would ultimately rest, e.g. in consumer law, in MVSA or another legislative framework would need consideration.</w:t>
      </w:r>
    </w:p>
    <w:p w:rsidR="00F87DB9" w:rsidRPr="00DF540D" w:rsidRDefault="00F87DB9" w:rsidP="0064657E"/>
    <w:p w:rsidR="00026AC2" w:rsidRPr="00DF540D" w:rsidRDefault="00026AC2" w:rsidP="001A3DF6">
      <w:pPr>
        <w:rPr>
          <w:rFonts w:ascii="Arial" w:hAnsi="Arial" w:cs="Arial"/>
          <w:b/>
          <w:noProof/>
          <w:color w:val="000064"/>
          <w:sz w:val="20"/>
          <w:szCs w:val="20"/>
        </w:rPr>
      </w:pPr>
      <w:r w:rsidRPr="00DF540D">
        <w:rPr>
          <w:rFonts w:ascii="Arial" w:hAnsi="Arial" w:cs="Arial"/>
          <w:b/>
          <w:noProof/>
          <w:color w:val="000064"/>
          <w:sz w:val="20"/>
          <w:szCs w:val="20"/>
        </w:rPr>
        <w:t>Q. 7-2 What arguments support little or no change to the legislation?</w:t>
      </w:r>
    </w:p>
    <w:p w:rsidR="00430756" w:rsidRPr="00DF540D" w:rsidRDefault="00430756" w:rsidP="00430756">
      <w:r w:rsidRPr="00DF540D">
        <w:t xml:space="preserve">The foundations of the </w:t>
      </w:r>
      <w:r w:rsidR="00B81B6D" w:rsidRPr="00DF540D">
        <w:t>Act</w:t>
      </w:r>
      <w:r w:rsidRPr="00DF540D">
        <w:t xml:space="preserve"> appear sound </w:t>
      </w:r>
      <w:r w:rsidR="0093579C" w:rsidRPr="00DF540D">
        <w:t xml:space="preserve">and thus do not </w:t>
      </w:r>
      <w:r w:rsidR="007E4008" w:rsidRPr="00DF540D">
        <w:t xml:space="preserve">appear to </w:t>
      </w:r>
      <w:r w:rsidR="0093579C" w:rsidRPr="00DF540D">
        <w:t>demand</w:t>
      </w:r>
      <w:r w:rsidRPr="00DF540D">
        <w:t xml:space="preserve"> substantial revision.</w:t>
      </w:r>
      <w:r w:rsidR="0093579C" w:rsidRPr="00DF540D">
        <w:t xml:space="preserve"> The </w:t>
      </w:r>
      <w:r w:rsidR="00B81B6D" w:rsidRPr="00DF540D">
        <w:t>MVSA</w:t>
      </w:r>
      <w:r w:rsidR="0093579C" w:rsidRPr="00DF540D">
        <w:t xml:space="preserve"> advances safety while respecting the interests of both automotive importers and the local automotive industry</w:t>
      </w:r>
      <w:r w:rsidR="007E4008" w:rsidRPr="00DF540D">
        <w:t xml:space="preserve"> but</w:t>
      </w:r>
      <w:r w:rsidR="0093579C" w:rsidRPr="00DF540D">
        <w:t xml:space="preserve"> giving preference to neither.</w:t>
      </w:r>
    </w:p>
    <w:p w:rsidR="00430756" w:rsidRPr="00DF540D" w:rsidRDefault="00430756" w:rsidP="00026AC2"/>
    <w:p w:rsidR="00026AC2" w:rsidRPr="00DF540D" w:rsidRDefault="00026AC2" w:rsidP="00026AC2">
      <w:r w:rsidRPr="00DF540D">
        <w:t xml:space="preserve">Australia is broadly an importer of automotive technologies, hence </w:t>
      </w:r>
      <w:r w:rsidR="000A33E3" w:rsidRPr="00DF540D">
        <w:t>it has a practical</w:t>
      </w:r>
      <w:r w:rsidRPr="00DF540D">
        <w:t xml:space="preserve"> need to cater for and adopt </w:t>
      </w:r>
      <w:r w:rsidR="00430756" w:rsidRPr="00DF540D">
        <w:t xml:space="preserve">into domestic policy </w:t>
      </w:r>
      <w:r w:rsidRPr="00DF540D">
        <w:t xml:space="preserve">broader international standards. </w:t>
      </w:r>
      <w:r w:rsidR="00635031" w:rsidRPr="00DF540D">
        <w:t>Such</w:t>
      </w:r>
      <w:r w:rsidR="0092430C">
        <w:t xml:space="preserve"> standards</w:t>
      </w:r>
      <w:r w:rsidR="0092430C">
        <w:rPr>
          <w:rStyle w:val="FootnoteReference"/>
        </w:rPr>
        <w:footnoteReference w:id="3"/>
      </w:r>
      <w:r w:rsidR="0092430C">
        <w:t xml:space="preserve"> </w:t>
      </w:r>
      <w:r w:rsidRPr="00DF540D">
        <w:t xml:space="preserve">need to be grouped as alternative standards to UN </w:t>
      </w:r>
      <w:r w:rsidR="0027391C" w:rsidRPr="00DF540D">
        <w:t>r</w:t>
      </w:r>
      <w:r w:rsidRPr="00DF540D">
        <w:t xml:space="preserve">egulations incorporating any exceptions (e.g. </w:t>
      </w:r>
      <w:r w:rsidR="0027391C" w:rsidRPr="00DF540D">
        <w:t xml:space="preserve">specifications for the colour of </w:t>
      </w:r>
      <w:r w:rsidRPr="00DF540D">
        <w:t>indicator</w:t>
      </w:r>
      <w:r w:rsidR="0027391C" w:rsidRPr="00DF540D">
        <w:t>s</w:t>
      </w:r>
      <w:r w:rsidRPr="00DF540D">
        <w:t>).</w:t>
      </w:r>
    </w:p>
    <w:p w:rsidR="00026AC2" w:rsidRPr="00DF540D" w:rsidRDefault="00026AC2" w:rsidP="00026AC2"/>
    <w:p w:rsidR="00026AC2" w:rsidRDefault="00026AC2" w:rsidP="00026AC2">
      <w:r w:rsidRPr="00DF540D">
        <w:t>Section 3a of the MVSA achieves un</w:t>
      </w:r>
      <w:r w:rsidR="00430756" w:rsidRPr="00DF540D">
        <w:t>iform standards for new vehicles</w:t>
      </w:r>
      <w:r w:rsidRPr="00DF540D">
        <w:t>. It reduces the regulatory burden for the automotive industry associated with complying with ADRs whereas vehicle standards were previously handled differently in each state. The Act also provides a national mechanism to meet international treaty obligati</w:t>
      </w:r>
      <w:r w:rsidR="0027391C" w:rsidRPr="00DF540D">
        <w:t>ons.</w:t>
      </w:r>
    </w:p>
    <w:p w:rsidR="00E44C58" w:rsidRPr="00DF540D" w:rsidRDefault="00E44C58" w:rsidP="00026AC2"/>
    <w:p w:rsidR="007E4008" w:rsidRPr="00DF540D" w:rsidRDefault="00026AC2" w:rsidP="003B0AAE">
      <w:pPr>
        <w:rPr>
          <w:rFonts w:ascii="Arial" w:hAnsi="Arial" w:cs="Arial"/>
          <w:noProof/>
        </w:rPr>
      </w:pPr>
      <w:r w:rsidRPr="00DF540D">
        <w:t xml:space="preserve">Part 2 provides legislative authority for a system of vehicle design standards (ADR). The Act allows implementation of the UN regulations to provide alternative standards. Specific ADRs have been applied under the UN 1958 agreement. Further harmonisation with international design rules (if not in conflict with ADRs) will promote further improvements in manufacturing efficiency and give consumers confidence </w:t>
      </w:r>
      <w:r w:rsidR="00201D98" w:rsidRPr="00DF540D">
        <w:t xml:space="preserve">that the </w:t>
      </w:r>
      <w:r w:rsidRPr="00DF540D">
        <w:t>vehicles they have purchased meet a certain</w:t>
      </w:r>
      <w:r w:rsidR="00AA6C46" w:rsidRPr="00DF540D">
        <w:t xml:space="preserve"> level of safety and emissions.</w:t>
      </w:r>
    </w:p>
    <w:p w:rsidR="007E4008" w:rsidRPr="00DF540D" w:rsidRDefault="007E4008" w:rsidP="003B0AAE">
      <w:pPr>
        <w:rPr>
          <w:rFonts w:ascii="Arial" w:hAnsi="Arial" w:cs="Arial"/>
          <w:noProof/>
        </w:rPr>
      </w:pPr>
    </w:p>
    <w:p w:rsidR="006005FC" w:rsidRPr="00DF540D" w:rsidRDefault="00EA10FE" w:rsidP="006005FC">
      <w:r w:rsidRPr="00DF540D">
        <w:t>Since the vast bulk</w:t>
      </w:r>
      <w:r w:rsidR="006005FC" w:rsidRPr="00DF540D">
        <w:t xml:space="preserve"> of ADR </w:t>
      </w:r>
      <w:r w:rsidRPr="00DF540D">
        <w:t xml:space="preserve">already </w:t>
      </w:r>
      <w:r w:rsidR="006005FC" w:rsidRPr="00DF540D">
        <w:t xml:space="preserve">align with UN regulations, there are </w:t>
      </w:r>
      <w:r w:rsidR="00201D98" w:rsidRPr="00DF540D">
        <w:t xml:space="preserve">also </w:t>
      </w:r>
      <w:r w:rsidR="006005FC" w:rsidRPr="00DF540D">
        <w:t xml:space="preserve">clear benefits for Australia in complying with international criteria. Where Australia </w:t>
      </w:r>
      <w:r w:rsidRPr="00DF540D">
        <w:t>has needed to retain</w:t>
      </w:r>
      <w:r w:rsidR="006005FC" w:rsidRPr="00DF540D">
        <w:t xml:space="preserve"> unique local requirements such as ‘modularity’ these </w:t>
      </w:r>
      <w:r w:rsidR="00201D98" w:rsidRPr="00DF540D">
        <w:t xml:space="preserve">departures from the international norm </w:t>
      </w:r>
      <w:r w:rsidR="006005FC" w:rsidRPr="00DF540D">
        <w:t xml:space="preserve">have been carefully justified, usually reflecting our unique operating </w:t>
      </w:r>
      <w:r w:rsidR="00201D98" w:rsidRPr="00DF540D">
        <w:t>landscape</w:t>
      </w:r>
      <w:r w:rsidR="006005FC" w:rsidRPr="00DF540D">
        <w:t xml:space="preserve"> (e.g. ensuring vehicle components are adequately rated for multi-combination use as appropriate).</w:t>
      </w:r>
    </w:p>
    <w:p w:rsidR="007E4008" w:rsidRPr="00DF540D" w:rsidRDefault="007E4008" w:rsidP="007E4008"/>
    <w:p w:rsidR="007E4008" w:rsidRPr="00DF540D" w:rsidRDefault="007E4008" w:rsidP="001A3DF6">
      <w:pPr>
        <w:rPr>
          <w:rFonts w:ascii="Arial" w:hAnsi="Arial" w:cs="Arial"/>
          <w:b/>
          <w:noProof/>
          <w:color w:val="000064"/>
          <w:sz w:val="20"/>
          <w:szCs w:val="20"/>
        </w:rPr>
      </w:pPr>
      <w:r w:rsidRPr="00DF540D">
        <w:rPr>
          <w:rFonts w:ascii="Arial" w:hAnsi="Arial" w:cs="Arial"/>
          <w:b/>
          <w:noProof/>
          <w:color w:val="000064"/>
          <w:sz w:val="20"/>
          <w:szCs w:val="20"/>
        </w:rPr>
        <w:t xml:space="preserve">Q. 7-3 Does a case still exist for Australian Government intervention in vehicle standards? </w:t>
      </w:r>
    </w:p>
    <w:p w:rsidR="004D6B58" w:rsidRPr="00DF540D" w:rsidRDefault="003F3FEB" w:rsidP="004D6B58">
      <w:r>
        <w:t xml:space="preserve">Yes. </w:t>
      </w:r>
      <w:r w:rsidR="004D6B58" w:rsidRPr="00DF540D">
        <w:t>Australia should retain a single regulatory facilitator of vehicle safety standards to ensure the standards facilitate broader acceptance of international standards</w:t>
      </w:r>
      <w:r w:rsidR="004D6B58" w:rsidRPr="00DF540D">
        <w:rPr>
          <w:rStyle w:val="FootnoteReference"/>
        </w:rPr>
        <w:footnoteReference w:id="4"/>
      </w:r>
      <w:r w:rsidR="004D6B58" w:rsidRPr="00DF540D">
        <w:t xml:space="preserve"> along with greater transparency </w:t>
      </w:r>
      <w:r w:rsidR="004D6B58">
        <w:t>of</w:t>
      </w:r>
      <w:r w:rsidR="004D6B58" w:rsidRPr="00DF540D">
        <w:t xml:space="preserve"> process.</w:t>
      </w:r>
      <w:r w:rsidR="004D6B58">
        <w:t xml:space="preserve"> </w:t>
      </w:r>
    </w:p>
    <w:p w:rsidR="004D6B58" w:rsidRPr="00DF540D" w:rsidRDefault="004D6B58" w:rsidP="004D6B58"/>
    <w:p w:rsidR="00A42BC2" w:rsidRPr="00DF540D" w:rsidRDefault="00356D4F" w:rsidP="00511550">
      <w:r w:rsidRPr="00DF540D">
        <w:t>R</w:t>
      </w:r>
      <w:r w:rsidR="006005FC" w:rsidRPr="00DF540D">
        <w:t>eduction</w:t>
      </w:r>
      <w:r w:rsidR="00511550" w:rsidRPr="00DF540D">
        <w:t>s</w:t>
      </w:r>
      <w:r w:rsidR="006005FC" w:rsidRPr="00DF540D">
        <w:t xml:space="preserve"> in deaths and serious injuries from </w:t>
      </w:r>
      <w:r w:rsidR="00511550" w:rsidRPr="00DF540D">
        <w:t xml:space="preserve">Australian </w:t>
      </w:r>
      <w:r w:rsidR="006005FC" w:rsidRPr="00DF540D">
        <w:t>road crashes</w:t>
      </w:r>
      <w:r w:rsidR="00511550" w:rsidRPr="00DF540D">
        <w:t xml:space="preserve"> since the eighties</w:t>
      </w:r>
      <w:r w:rsidR="006005FC" w:rsidRPr="00DF540D">
        <w:t xml:space="preserve"> </w:t>
      </w:r>
      <w:r w:rsidR="00201D98" w:rsidRPr="00DF540D">
        <w:t xml:space="preserve">despite an increasing freight task </w:t>
      </w:r>
      <w:r w:rsidR="00C629EE" w:rsidRPr="00DF540D">
        <w:t>are</w:t>
      </w:r>
      <w:r w:rsidR="006005FC" w:rsidRPr="00DF540D">
        <w:t xml:space="preserve"> not </w:t>
      </w:r>
      <w:r w:rsidR="00C629EE" w:rsidRPr="00DF540D">
        <w:t xml:space="preserve">merely </w:t>
      </w:r>
      <w:r w:rsidR="003273E8" w:rsidRPr="00DF540D">
        <w:t xml:space="preserve">the </w:t>
      </w:r>
      <w:r w:rsidR="00CF2A80" w:rsidRPr="00DF540D">
        <w:t>consequence</w:t>
      </w:r>
      <w:r w:rsidR="00201D98" w:rsidRPr="00DF540D">
        <w:t>s</w:t>
      </w:r>
      <w:r w:rsidR="006005FC" w:rsidRPr="00DF540D">
        <w:t xml:space="preserve"> of </w:t>
      </w:r>
      <w:r w:rsidR="003D63C9" w:rsidRPr="00DF540D">
        <w:t xml:space="preserve">(MVSA) </w:t>
      </w:r>
      <w:r w:rsidR="006005FC" w:rsidRPr="00DF540D">
        <w:t>regulation. Improvements in road infrastructure</w:t>
      </w:r>
      <w:r w:rsidR="00CF2A80" w:rsidRPr="00DF540D">
        <w:t xml:space="preserve"> quality</w:t>
      </w:r>
      <w:r w:rsidR="006005FC" w:rsidRPr="00DF540D">
        <w:t>, vehicle design and other technologies</w:t>
      </w:r>
      <w:r w:rsidR="00635235" w:rsidRPr="00DF540D">
        <w:rPr>
          <w:rStyle w:val="FootnoteReference"/>
        </w:rPr>
        <w:footnoteReference w:id="5"/>
      </w:r>
      <w:r w:rsidR="006005FC" w:rsidRPr="00DF540D">
        <w:t xml:space="preserve"> </w:t>
      </w:r>
      <w:r w:rsidR="00201D98" w:rsidRPr="00DF540D">
        <w:t xml:space="preserve">have all played </w:t>
      </w:r>
      <w:r w:rsidR="003D63C9" w:rsidRPr="00DF540D">
        <w:t>major</w:t>
      </w:r>
      <w:r w:rsidR="00F03BE7" w:rsidRPr="00DF540D">
        <w:t xml:space="preserve"> </w:t>
      </w:r>
      <w:r w:rsidR="00333F0D" w:rsidRPr="00DF540D">
        <w:t>role</w:t>
      </w:r>
      <w:r w:rsidR="00832121">
        <w:t>s</w:t>
      </w:r>
      <w:r w:rsidR="00F03BE7" w:rsidRPr="00DF540D">
        <w:t xml:space="preserve"> in </w:t>
      </w:r>
      <w:r w:rsidR="00201D98" w:rsidRPr="00DF540D">
        <w:t xml:space="preserve">decades of </w:t>
      </w:r>
      <w:r w:rsidR="00F03BE7" w:rsidRPr="00DF540D">
        <w:t>continuous</w:t>
      </w:r>
      <w:r w:rsidR="006005FC" w:rsidRPr="00DF540D">
        <w:t xml:space="preserve"> improvements </w:t>
      </w:r>
      <w:r w:rsidR="00F03BE7" w:rsidRPr="00DF540D">
        <w:t>to</w:t>
      </w:r>
      <w:r w:rsidR="006005FC" w:rsidRPr="00DF540D">
        <w:t xml:space="preserve"> </w:t>
      </w:r>
      <w:r w:rsidR="00201D98" w:rsidRPr="00DF540D">
        <w:t xml:space="preserve">heavy vehicle </w:t>
      </w:r>
      <w:r w:rsidR="006005FC" w:rsidRPr="00DF540D">
        <w:t>safety.</w:t>
      </w:r>
      <w:r w:rsidRPr="00DF540D">
        <w:t xml:space="preserve"> </w:t>
      </w:r>
    </w:p>
    <w:p w:rsidR="00A42BC2" w:rsidRPr="00DF540D" w:rsidRDefault="00A42BC2" w:rsidP="00511550"/>
    <w:p w:rsidR="00511550" w:rsidRPr="00DF540D" w:rsidRDefault="00511550" w:rsidP="00511550">
      <w:r w:rsidRPr="00DF540D">
        <w:t xml:space="preserve">The </w:t>
      </w:r>
      <w:r w:rsidR="008A08D1">
        <w:t>legislation</w:t>
      </w:r>
      <w:r w:rsidRPr="00DF540D">
        <w:t xml:space="preserve"> </w:t>
      </w:r>
      <w:r w:rsidR="006A2C95">
        <w:t xml:space="preserve">also </w:t>
      </w:r>
      <w:r w:rsidRPr="00DF540D">
        <w:t xml:space="preserve">caters for the fact that </w:t>
      </w:r>
      <w:r w:rsidR="005975FE" w:rsidRPr="00DF540D">
        <w:t>occasion</w:t>
      </w:r>
      <w:r w:rsidR="008A08D1">
        <w:t>ally</w:t>
      </w:r>
      <w:r w:rsidR="005975FE" w:rsidRPr="00DF540D">
        <w:t xml:space="preserve"> </w:t>
      </w:r>
      <w:r w:rsidRPr="00DF540D">
        <w:t>the</w:t>
      </w:r>
      <w:r w:rsidR="005975FE" w:rsidRPr="00DF540D">
        <w:t xml:space="preserve"> </w:t>
      </w:r>
      <w:r w:rsidRPr="00DF540D">
        <w:t xml:space="preserve">industry </w:t>
      </w:r>
      <w:r w:rsidR="005975FE" w:rsidRPr="00DF540D">
        <w:t xml:space="preserve">must </w:t>
      </w:r>
      <w:r w:rsidRPr="00DF540D">
        <w:t xml:space="preserve">use non-compliant road vehicles for </w:t>
      </w:r>
      <w:r w:rsidR="008A08D1">
        <w:t>sensitive</w:t>
      </w:r>
      <w:r w:rsidRPr="00DF540D">
        <w:t xml:space="preserve"> </w:t>
      </w:r>
      <w:r w:rsidR="00DF7733" w:rsidRPr="00DF540D">
        <w:t xml:space="preserve">freight </w:t>
      </w:r>
      <w:r w:rsidRPr="00DF540D">
        <w:t xml:space="preserve">tasks </w:t>
      </w:r>
      <w:r w:rsidR="00DF7733" w:rsidRPr="00DF540D">
        <w:t xml:space="preserve">involving </w:t>
      </w:r>
      <w:r w:rsidRPr="00DF540D">
        <w:t xml:space="preserve">oversize and/or over-mass or other special loads under strict operating conditions set by road </w:t>
      </w:r>
      <w:r w:rsidR="00FF756A" w:rsidRPr="00DF540D">
        <w:t>authorities</w:t>
      </w:r>
      <w:r w:rsidRPr="00DF540D">
        <w:t xml:space="preserve">. Accordingly, such </w:t>
      </w:r>
      <w:r w:rsidR="005975FE" w:rsidRPr="00DF540D">
        <w:t xml:space="preserve">heavy </w:t>
      </w:r>
      <w:r w:rsidRPr="00DF540D">
        <w:t xml:space="preserve">vehicles must </w:t>
      </w:r>
      <w:r w:rsidR="00FF756A" w:rsidRPr="00DF540D">
        <w:t xml:space="preserve">also </w:t>
      </w:r>
      <w:r w:rsidRPr="00DF540D">
        <w:t xml:space="preserve">be allowed to enter the </w:t>
      </w:r>
      <w:r w:rsidR="005975FE" w:rsidRPr="00DF540D">
        <w:t xml:space="preserve">Australian </w:t>
      </w:r>
      <w:r w:rsidRPr="00DF540D">
        <w:t xml:space="preserve">market, based on </w:t>
      </w:r>
      <w:r w:rsidR="005975FE" w:rsidRPr="00DF540D">
        <w:t xml:space="preserve">the </w:t>
      </w:r>
      <w:r w:rsidR="00FF756A" w:rsidRPr="00DF540D">
        <w:t xml:space="preserve">formal </w:t>
      </w:r>
      <w:r w:rsidRPr="00DF540D">
        <w:t xml:space="preserve">advice </w:t>
      </w:r>
      <w:r w:rsidR="005975FE" w:rsidRPr="00DF540D">
        <w:t>of</w:t>
      </w:r>
      <w:r w:rsidRPr="00DF540D">
        <w:t xml:space="preserve"> the </w:t>
      </w:r>
      <w:r w:rsidR="00FF756A" w:rsidRPr="00DF540D">
        <w:t>national</w:t>
      </w:r>
      <w:r w:rsidRPr="00DF540D">
        <w:t xml:space="preserve"> </w:t>
      </w:r>
      <w:r w:rsidR="00FF756A" w:rsidRPr="00DF540D">
        <w:t>r</w:t>
      </w:r>
      <w:r w:rsidRPr="00DF540D">
        <w:t xml:space="preserve">egulator operational permits will be </w:t>
      </w:r>
      <w:r w:rsidR="005975FE" w:rsidRPr="00DF540D">
        <w:t>issued</w:t>
      </w:r>
      <w:r w:rsidRPr="00DF540D">
        <w:t xml:space="preserve">. </w:t>
      </w:r>
    </w:p>
    <w:p w:rsidR="00511550" w:rsidRPr="00DF540D" w:rsidRDefault="00511550" w:rsidP="00511550"/>
    <w:p w:rsidR="00511550" w:rsidRPr="00DF540D" w:rsidRDefault="00511550" w:rsidP="00511550">
      <w:r w:rsidRPr="00DF540D">
        <w:t>Dealing with requests for access to the road network for alternative vehicles</w:t>
      </w:r>
      <w:r w:rsidR="00C431BB" w:rsidRPr="00DF540D">
        <w:rPr>
          <w:rStyle w:val="FootnoteReference"/>
        </w:rPr>
        <w:footnoteReference w:id="6"/>
      </w:r>
      <w:r w:rsidRPr="00DF540D">
        <w:t xml:space="preserve"> where safety may be sub-standard and below minimum requirements in the MVSA ADR system lies outside the scope of the MVSA since these </w:t>
      </w:r>
      <w:r w:rsidR="00C431BB" w:rsidRPr="00DF540D">
        <w:t>are</w:t>
      </w:r>
      <w:r w:rsidRPr="00DF540D">
        <w:t xml:space="preserve"> fringe vehicles that should not </w:t>
      </w:r>
      <w:r w:rsidR="000B7C27" w:rsidRPr="00DF540D">
        <w:t>gain</w:t>
      </w:r>
      <w:r w:rsidRPr="00DF540D">
        <w:t xml:space="preserve"> easy entry to the Australian market for on-road use. </w:t>
      </w:r>
    </w:p>
    <w:p w:rsidR="00A42BC2" w:rsidRPr="00DF540D" w:rsidRDefault="00A42BC2" w:rsidP="00511550"/>
    <w:p w:rsidR="00A42BC2" w:rsidRPr="00DF540D" w:rsidRDefault="00A42BC2" w:rsidP="00511550">
      <w:pPr>
        <w:rPr>
          <w:b/>
        </w:rPr>
      </w:pPr>
      <w:r w:rsidRPr="00DF540D">
        <w:rPr>
          <w:b/>
        </w:rPr>
        <w:t xml:space="preserve">Recommendation </w:t>
      </w:r>
      <w:r w:rsidR="00EF3B6C">
        <w:rPr>
          <w:b/>
        </w:rPr>
        <w:t>3</w:t>
      </w:r>
    </w:p>
    <w:p w:rsidR="00A42BC2" w:rsidRPr="00DF540D" w:rsidRDefault="00A42BC2" w:rsidP="00A42BC2">
      <w:pPr>
        <w:rPr>
          <w:b/>
        </w:rPr>
      </w:pPr>
      <w:r w:rsidRPr="00DF540D">
        <w:rPr>
          <w:b/>
        </w:rPr>
        <w:t xml:space="preserve">That Australia should retain a central regulatory facilitator of vehicle safety standards to ensure </w:t>
      </w:r>
      <w:r w:rsidR="00E353F3" w:rsidRPr="00DF540D">
        <w:rPr>
          <w:b/>
        </w:rPr>
        <w:t xml:space="preserve">current </w:t>
      </w:r>
      <w:r w:rsidRPr="00DF540D">
        <w:rPr>
          <w:b/>
        </w:rPr>
        <w:t xml:space="preserve">standards </w:t>
      </w:r>
      <w:r w:rsidR="00E353F3" w:rsidRPr="00DF540D">
        <w:rPr>
          <w:b/>
        </w:rPr>
        <w:t>encourage</w:t>
      </w:r>
      <w:r w:rsidRPr="00DF540D">
        <w:rPr>
          <w:b/>
        </w:rPr>
        <w:t xml:space="preserve"> broader acceptance of international standards</w:t>
      </w:r>
      <w:r w:rsidR="00E353F3" w:rsidRPr="00DF540D">
        <w:rPr>
          <w:b/>
        </w:rPr>
        <w:t xml:space="preserve"> and to achieve</w:t>
      </w:r>
      <w:r w:rsidRPr="00DF540D">
        <w:rPr>
          <w:b/>
        </w:rPr>
        <w:t xml:space="preserve"> greater transparency</w:t>
      </w:r>
      <w:r w:rsidR="00E353F3" w:rsidRPr="00DF540D">
        <w:rPr>
          <w:b/>
        </w:rPr>
        <w:t xml:space="preserve"> of process</w:t>
      </w:r>
      <w:r w:rsidRPr="00DF540D">
        <w:rPr>
          <w:b/>
        </w:rPr>
        <w:t>.</w:t>
      </w:r>
    </w:p>
    <w:p w:rsidR="000C22D4" w:rsidRPr="00DF540D" w:rsidRDefault="000C22D4" w:rsidP="00A42BC2">
      <w:pPr>
        <w:rPr>
          <w:b/>
        </w:rPr>
      </w:pPr>
    </w:p>
    <w:p w:rsidR="002C2F49" w:rsidRPr="00DF540D" w:rsidRDefault="002C2F49" w:rsidP="001A3DF6">
      <w:pPr>
        <w:rPr>
          <w:rFonts w:ascii="Arial" w:hAnsi="Arial" w:cs="Arial"/>
          <w:b/>
          <w:noProof/>
          <w:color w:val="000064"/>
          <w:sz w:val="20"/>
          <w:szCs w:val="20"/>
        </w:rPr>
      </w:pPr>
      <w:r w:rsidRPr="00DF540D">
        <w:rPr>
          <w:rFonts w:ascii="Arial" w:hAnsi="Arial" w:cs="Arial"/>
          <w:b/>
          <w:noProof/>
          <w:color w:val="000064"/>
          <w:sz w:val="20"/>
          <w:szCs w:val="20"/>
        </w:rPr>
        <w:t xml:space="preserve">Q. 7-4 Could the Australian Vehicle Standards Rules </w:t>
      </w:r>
      <w:r w:rsidR="00C058D4" w:rsidRPr="00DF540D">
        <w:rPr>
          <w:rFonts w:ascii="Arial" w:hAnsi="Arial" w:cs="Arial"/>
          <w:b/>
          <w:noProof/>
          <w:color w:val="000064"/>
          <w:sz w:val="20"/>
          <w:szCs w:val="20"/>
        </w:rPr>
        <w:t xml:space="preserve">[AVSR] </w:t>
      </w:r>
      <w:r w:rsidRPr="00DF540D">
        <w:rPr>
          <w:rFonts w:ascii="Arial" w:hAnsi="Arial" w:cs="Arial"/>
          <w:b/>
          <w:noProof/>
          <w:color w:val="000064"/>
          <w:sz w:val="20"/>
          <w:szCs w:val="20"/>
        </w:rPr>
        <w:t>be used as an alternative to the national standards? If so, what would be the necessary approach to minimise the regulatory burden, industry compliance costs and inconsistent application</w:t>
      </w:r>
      <w:r w:rsidR="009533CC" w:rsidRPr="00DF540D">
        <w:rPr>
          <w:rFonts w:ascii="Arial" w:hAnsi="Arial" w:cs="Arial"/>
          <w:b/>
          <w:noProof/>
          <w:color w:val="000064"/>
          <w:sz w:val="20"/>
          <w:szCs w:val="20"/>
        </w:rPr>
        <w:t xml:space="preserve"> across states and territories?</w:t>
      </w:r>
    </w:p>
    <w:p w:rsidR="001412D5" w:rsidRDefault="004B312F" w:rsidP="001412D5">
      <w:r w:rsidRPr="00DF540D">
        <w:t xml:space="preserve">AVSR </w:t>
      </w:r>
      <w:r w:rsidR="001412D5">
        <w:t>is</w:t>
      </w:r>
      <w:r w:rsidRPr="00DF540D">
        <w:t xml:space="preserve"> </w:t>
      </w:r>
      <w:r w:rsidR="001412D5">
        <w:t xml:space="preserve">model law imported </w:t>
      </w:r>
      <w:r w:rsidR="00BE1D26">
        <w:t>by</w:t>
      </w:r>
      <w:r w:rsidR="001412D5">
        <w:t xml:space="preserve"> </w:t>
      </w:r>
      <w:r w:rsidRPr="00DF540D">
        <w:t xml:space="preserve">state </w:t>
      </w:r>
      <w:r w:rsidR="00BE1D26">
        <w:t>legislatures</w:t>
      </w:r>
      <w:r w:rsidRPr="00DF540D">
        <w:t xml:space="preserve"> </w:t>
      </w:r>
      <w:r w:rsidR="001412D5">
        <w:t>from</w:t>
      </w:r>
      <w:r w:rsidR="00DF540D">
        <w:t xml:space="preserve"> the</w:t>
      </w:r>
      <w:r w:rsidRPr="00DF540D">
        <w:t xml:space="preserve"> NTC and largely reflect ADR content. </w:t>
      </w:r>
      <w:r w:rsidR="00BE1D26">
        <w:t xml:space="preserve">The </w:t>
      </w:r>
      <w:r w:rsidRPr="00DF540D">
        <w:t>ADR are</w:t>
      </w:r>
      <w:r w:rsidR="00402268">
        <w:t>,</w:t>
      </w:r>
      <w:r w:rsidRPr="00DF540D">
        <w:t xml:space="preserve"> however, </w:t>
      </w:r>
      <w:r w:rsidR="00BE1D26">
        <w:t xml:space="preserve">nationally </w:t>
      </w:r>
      <w:r w:rsidRPr="00DF540D">
        <w:t xml:space="preserve">subject to </w:t>
      </w:r>
      <w:r w:rsidR="00BE1D26">
        <w:t xml:space="preserve">analysis of the anticipated </w:t>
      </w:r>
      <w:r w:rsidR="00C31985">
        <w:t>regulatory impact</w:t>
      </w:r>
      <w:r w:rsidR="00BE1D26">
        <w:t xml:space="preserve"> through a formal RIS process</w:t>
      </w:r>
      <w:r w:rsidR="007403FF">
        <w:t>,</w:t>
      </w:r>
      <w:r w:rsidRPr="00DF540D">
        <w:t xml:space="preserve"> whereas </w:t>
      </w:r>
      <w:r w:rsidR="00BE1D26">
        <w:t xml:space="preserve">jurisdiction-specific regulations are </w:t>
      </w:r>
      <w:r w:rsidR="001412D5">
        <w:t xml:space="preserve">developed </w:t>
      </w:r>
      <w:r w:rsidR="00BE1D26">
        <w:t xml:space="preserve">and the NTC’s model </w:t>
      </w:r>
      <w:r w:rsidR="00BE1D26" w:rsidRPr="00DF540D">
        <w:t xml:space="preserve">AVSR </w:t>
      </w:r>
      <w:r w:rsidR="00BE1D26">
        <w:t>law imported by</w:t>
      </w:r>
      <w:r w:rsidR="001412D5">
        <w:t xml:space="preserve"> a given state or territory and approved under </w:t>
      </w:r>
      <w:r w:rsidR="00BE1D26">
        <w:t xml:space="preserve">their </w:t>
      </w:r>
      <w:r w:rsidR="001412D5">
        <w:t>applicable legislative processes.</w:t>
      </w:r>
    </w:p>
    <w:p w:rsidR="009D4B8E" w:rsidRDefault="009D4B8E" w:rsidP="001412D5"/>
    <w:p w:rsidR="009D4B8E" w:rsidRDefault="009D4B8E" w:rsidP="009D4B8E">
      <w:r w:rsidRPr="00DF540D">
        <w:t>Th</w:t>
      </w:r>
      <w:r>
        <w:t>e</w:t>
      </w:r>
      <w:r w:rsidRPr="00DF540D">
        <w:t xml:space="preserve"> </w:t>
      </w:r>
      <w:r>
        <w:t xml:space="preserve">MVSA is </w:t>
      </w:r>
      <w:r w:rsidRPr="00DF540D">
        <w:t xml:space="preserve">primary legislation </w:t>
      </w:r>
      <w:r>
        <w:t xml:space="preserve">that </w:t>
      </w:r>
      <w:r w:rsidRPr="00DF540D">
        <w:t>speaks to minimum safety levels for mainstream road vehicles that form the majority in the market and the majority of traffic on Australian roads, while acknowledging various vehicle</w:t>
      </w:r>
      <w:r>
        <w:t xml:space="preserve"> type</w:t>
      </w:r>
      <w:r w:rsidRPr="00DF540D">
        <w:t xml:space="preserve">s are not true road vehicles (e.g. tractors, plant and agricultural machinery) but </w:t>
      </w:r>
      <w:r>
        <w:t>nevertheless</w:t>
      </w:r>
      <w:r w:rsidRPr="00DF540D">
        <w:t xml:space="preserve"> require ad hoc or limited road network access. This special form of access is managed by states and territories </w:t>
      </w:r>
      <w:r>
        <w:t>through</w:t>
      </w:r>
      <w:r w:rsidRPr="00DF540D">
        <w:t xml:space="preserve"> restricted/conditional registration permits. </w:t>
      </w:r>
    </w:p>
    <w:p w:rsidR="001412D5" w:rsidRDefault="001412D5" w:rsidP="001412D5"/>
    <w:p w:rsidR="004B312F" w:rsidRPr="00DF540D" w:rsidRDefault="001412D5" w:rsidP="004B312F">
      <w:r>
        <w:t>S</w:t>
      </w:r>
      <w:r w:rsidR="004B312F" w:rsidRPr="00DF540D">
        <w:t xml:space="preserve">tates have </w:t>
      </w:r>
      <w:r w:rsidR="00BE1D26">
        <w:t xml:space="preserve">also </w:t>
      </w:r>
      <w:r w:rsidR="00C84914">
        <w:t xml:space="preserve">acted </w:t>
      </w:r>
      <w:r w:rsidR="006A2C95">
        <w:t>independently</w:t>
      </w:r>
      <w:r w:rsidR="004B312F" w:rsidRPr="00DF540D">
        <w:t xml:space="preserve"> of the ADR process</w:t>
      </w:r>
      <w:r w:rsidR="007403FF">
        <w:t>,</w:t>
      </w:r>
      <w:r w:rsidR="004B312F" w:rsidRPr="00DF540D">
        <w:t xml:space="preserve"> for example through </w:t>
      </w:r>
      <w:r w:rsidR="007403FF">
        <w:t xml:space="preserve">their </w:t>
      </w:r>
      <w:r w:rsidR="004B312F" w:rsidRPr="00DF540D">
        <w:t xml:space="preserve">agreement to include </w:t>
      </w:r>
      <w:r w:rsidR="004B312F" w:rsidRPr="00DF540D">
        <w:rPr>
          <w:i/>
        </w:rPr>
        <w:t>Rear Marker Plates</w:t>
      </w:r>
      <w:r w:rsidR="004B312F" w:rsidRPr="00DF540D">
        <w:t xml:space="preserve"> in vehicle standards </w:t>
      </w:r>
      <w:r w:rsidR="007403FF">
        <w:t>a move which</w:t>
      </w:r>
      <w:r w:rsidR="004B312F" w:rsidRPr="00DF540D">
        <w:t xml:space="preserve"> could not be justified in </w:t>
      </w:r>
      <w:r w:rsidR="00157A68" w:rsidRPr="00DF540D">
        <w:t>an</w:t>
      </w:r>
      <w:r w:rsidR="004B312F" w:rsidRPr="00DF540D">
        <w:t xml:space="preserve"> ADR regulatory impact statement</w:t>
      </w:r>
      <w:r w:rsidR="00157A68" w:rsidRPr="00DF540D">
        <w:t>. S</w:t>
      </w:r>
      <w:r w:rsidR="004B312F" w:rsidRPr="00DF540D">
        <w:t>eparately</w:t>
      </w:r>
      <w:r w:rsidR="00157A68" w:rsidRPr="00DF540D">
        <w:t>,</w:t>
      </w:r>
      <w:r w:rsidR="004B312F" w:rsidRPr="00DF540D">
        <w:t xml:space="preserve"> Victoria </w:t>
      </w:r>
      <w:r w:rsidR="007403FF">
        <w:t xml:space="preserve">has </w:t>
      </w:r>
      <w:r w:rsidR="00157A68" w:rsidRPr="00DF540D">
        <w:t>acted to impose</w:t>
      </w:r>
      <w:r w:rsidR="004B312F" w:rsidRPr="00DF540D">
        <w:t xml:space="preserve"> a mandate of ESC on smaller light vehicles in advance of the ADR.</w:t>
      </w:r>
    </w:p>
    <w:p w:rsidR="002C2F49" w:rsidRPr="00DF540D" w:rsidRDefault="002C2F49" w:rsidP="003B0AAE">
      <w:pPr>
        <w:rPr>
          <w:rFonts w:ascii="Arial" w:hAnsi="Arial" w:cs="Arial"/>
          <w:b/>
          <w:noProof/>
          <w:color w:val="000064"/>
          <w:sz w:val="24"/>
          <w:szCs w:val="24"/>
        </w:rPr>
      </w:pPr>
    </w:p>
    <w:p w:rsidR="00997588" w:rsidRPr="00DF540D" w:rsidRDefault="00997588" w:rsidP="001A3DF6">
      <w:pPr>
        <w:rPr>
          <w:rFonts w:ascii="Arial" w:hAnsi="Arial" w:cs="Arial"/>
          <w:b/>
          <w:noProof/>
          <w:color w:val="000064"/>
          <w:sz w:val="20"/>
          <w:szCs w:val="20"/>
        </w:rPr>
      </w:pPr>
      <w:r w:rsidRPr="00DF540D">
        <w:rPr>
          <w:rFonts w:ascii="Arial" w:hAnsi="Arial" w:cs="Arial"/>
          <w:b/>
          <w:noProof/>
          <w:color w:val="000064"/>
          <w:sz w:val="20"/>
          <w:szCs w:val="20"/>
        </w:rPr>
        <w:t>Q. 7-5 Are there non-regulatory ways of achieving the same policy objectives of road safety, environment, security, and adequate consumer choice?</w:t>
      </w:r>
    </w:p>
    <w:p w:rsidR="00E44C58" w:rsidRDefault="00EF247E" w:rsidP="00EF247E">
      <w:r w:rsidRPr="00DF540D">
        <w:t>There are non-regulatory and regulatory ways to achieve policy objectives and some approaches produce better outcomes than others. However, whether the administrative approach is through light-touch regulation or a coercive mandate, there should be consistency across Australia in terms of its requirements</w:t>
      </w:r>
      <w:r w:rsidR="004230BE">
        <w:t>.</w:t>
      </w:r>
    </w:p>
    <w:p w:rsidR="00E44C58" w:rsidRDefault="00E44C58" w:rsidP="00EF247E"/>
    <w:p w:rsidR="00EF247E" w:rsidRPr="00DF540D" w:rsidRDefault="00EF247E" w:rsidP="00EF247E">
      <w:r w:rsidRPr="00DF540D">
        <w:t xml:space="preserve">Industry’s preferred way to achieve safety policy objectives nationally is through a single regulator </w:t>
      </w:r>
      <w:r w:rsidR="00E44C58">
        <w:t>directed</w:t>
      </w:r>
      <w:r w:rsidRPr="00DF540D">
        <w:t xml:space="preserve"> by legislation to conduct regulatory impact statements and cost benefit analyses. Regulation in this area needs to have its primary focus on existing international standards</w:t>
      </w:r>
      <w:r w:rsidR="00E44C58">
        <w:t>,</w:t>
      </w:r>
      <w:r w:rsidRPr="00DF540D">
        <w:t xml:space="preserve"> specifically avoiding re-inventing the wheel domestically.</w:t>
      </w:r>
    </w:p>
    <w:p w:rsidR="00997588" w:rsidRPr="00DF540D" w:rsidRDefault="00997588" w:rsidP="00997588"/>
    <w:p w:rsidR="00EF247E" w:rsidRPr="00DF540D" w:rsidRDefault="00EF247E" w:rsidP="001A3DF6">
      <w:pPr>
        <w:rPr>
          <w:rFonts w:ascii="Arial" w:hAnsi="Arial" w:cs="Arial"/>
          <w:b/>
          <w:noProof/>
          <w:color w:val="000064"/>
          <w:sz w:val="20"/>
          <w:szCs w:val="20"/>
        </w:rPr>
      </w:pPr>
      <w:r w:rsidRPr="00DF540D">
        <w:rPr>
          <w:rFonts w:ascii="Arial" w:hAnsi="Arial" w:cs="Arial"/>
          <w:b/>
          <w:noProof/>
          <w:color w:val="000064"/>
          <w:sz w:val="20"/>
          <w:szCs w:val="20"/>
        </w:rPr>
        <w:t xml:space="preserve">Q. 7-6 What other legislative ‘fixes’ to the Act do you consider necessary? </w:t>
      </w:r>
    </w:p>
    <w:p w:rsidR="00557F88" w:rsidRPr="00DF540D" w:rsidRDefault="006C6FAB" w:rsidP="00F51DD2">
      <w:r w:rsidRPr="00DF540D">
        <w:t xml:space="preserve">In the Options paper, </w:t>
      </w:r>
      <w:r w:rsidR="00557F88" w:rsidRPr="00DF540D">
        <w:t>Fig</w:t>
      </w:r>
      <w:r w:rsidR="00635031" w:rsidRPr="00DF540D">
        <w:t>ure</w:t>
      </w:r>
      <w:r w:rsidR="007E6A7B" w:rsidRPr="00DF540D">
        <w:t>.</w:t>
      </w:r>
      <w:r w:rsidR="00557F88" w:rsidRPr="00DF540D">
        <w:t xml:space="preserve"> 1 </w:t>
      </w:r>
      <w:r w:rsidR="00D07877" w:rsidRPr="00DF540D">
        <w:t xml:space="preserve">(p11) </w:t>
      </w:r>
      <w:r w:rsidR="00557F88" w:rsidRPr="00DF540D">
        <w:t>provides inconclusive information in that</w:t>
      </w:r>
      <w:r w:rsidR="00F51DD2" w:rsidRPr="00DF540D">
        <w:t xml:space="preserve"> i</w:t>
      </w:r>
      <w:r w:rsidR="00557F88" w:rsidRPr="00DF540D">
        <w:t>t seems to refer to motor vehicles</w:t>
      </w:r>
      <w:r w:rsidR="00C41377" w:rsidRPr="00DF540D">
        <w:rPr>
          <w:i/>
        </w:rPr>
        <w:t xml:space="preserve"> per se</w:t>
      </w:r>
      <w:r w:rsidR="00954D09">
        <w:t xml:space="preserve">, </w:t>
      </w:r>
      <w:r w:rsidR="00C51774">
        <w:t>but not, for example, the</w:t>
      </w:r>
      <w:r w:rsidR="00557F88" w:rsidRPr="00DF540D">
        <w:t xml:space="preserve"> </w:t>
      </w:r>
      <w:r w:rsidRPr="00DF540D">
        <w:t xml:space="preserve">percentage of </w:t>
      </w:r>
      <w:r w:rsidR="00954D09">
        <w:t>vehicle</w:t>
      </w:r>
      <w:r w:rsidR="00557F88" w:rsidRPr="00DF540D">
        <w:t xml:space="preserve"> </w:t>
      </w:r>
      <w:r w:rsidRPr="00DF540D">
        <w:t xml:space="preserve">units </w:t>
      </w:r>
      <w:r w:rsidR="00C51774">
        <w:t>that are heavy trailers.</w:t>
      </w:r>
    </w:p>
    <w:p w:rsidR="00D07877" w:rsidRPr="00DF540D" w:rsidRDefault="00D07877" w:rsidP="00F51DD2"/>
    <w:p w:rsidR="00557F88" w:rsidRPr="00DF540D" w:rsidRDefault="00557F88" w:rsidP="001A3DF6">
      <w:pPr>
        <w:rPr>
          <w:rFonts w:ascii="Arial" w:hAnsi="Arial" w:cs="Arial"/>
          <w:b/>
          <w:noProof/>
          <w:color w:val="000064"/>
          <w:sz w:val="20"/>
          <w:szCs w:val="20"/>
        </w:rPr>
      </w:pPr>
      <w:r w:rsidRPr="00DF540D">
        <w:rPr>
          <w:rFonts w:ascii="Arial" w:hAnsi="Arial" w:cs="Arial"/>
          <w:b/>
          <w:noProof/>
          <w:color w:val="000064"/>
          <w:sz w:val="20"/>
          <w:szCs w:val="20"/>
        </w:rPr>
        <w:t xml:space="preserve">Q. 7-7 What examples of duplication between the Act and other key pieces of legislation could potentially be removed? </w:t>
      </w:r>
    </w:p>
    <w:p w:rsidR="00557F88" w:rsidRPr="00DF540D" w:rsidRDefault="00557F88" w:rsidP="00202B82">
      <w:r w:rsidRPr="00DF540D">
        <w:t>The review could mandate removal of content that is neither prescriptive nor requires a performance outcome</w:t>
      </w:r>
      <w:r w:rsidR="007403FF">
        <w:t xml:space="preserve">. An example of </w:t>
      </w:r>
      <w:r w:rsidRPr="00DF540D">
        <w:t>what can be removed are ‘fuzzy’ requirements contained in ADR 42/04 Clause 12.1).</w:t>
      </w:r>
    </w:p>
    <w:p w:rsidR="00557F88" w:rsidRPr="00DF540D" w:rsidRDefault="00557F88" w:rsidP="00557F88"/>
    <w:p w:rsidR="00202B82" w:rsidRPr="00DF540D" w:rsidRDefault="00202B82" w:rsidP="001A3DF6">
      <w:pPr>
        <w:rPr>
          <w:rFonts w:ascii="Arial" w:hAnsi="Arial" w:cs="Arial"/>
          <w:b/>
          <w:noProof/>
          <w:color w:val="000064"/>
          <w:sz w:val="20"/>
          <w:szCs w:val="20"/>
        </w:rPr>
      </w:pPr>
      <w:r w:rsidRPr="00DF540D">
        <w:rPr>
          <w:rFonts w:ascii="Arial" w:hAnsi="Arial" w:cs="Arial"/>
          <w:b/>
          <w:noProof/>
          <w:color w:val="000064"/>
          <w:sz w:val="20"/>
          <w:szCs w:val="20"/>
        </w:rPr>
        <w:t>Q. 7-8 In what areas do you consider the Act’s compliance processes and enforcement powers could be better</w:t>
      </w:r>
      <w:r w:rsidR="001A3DF6" w:rsidRPr="00DF540D">
        <w:rPr>
          <w:rFonts w:ascii="Arial" w:hAnsi="Arial" w:cs="Arial"/>
          <w:b/>
          <w:noProof/>
          <w:color w:val="000064"/>
          <w:sz w:val="20"/>
          <w:szCs w:val="20"/>
        </w:rPr>
        <w:t xml:space="preserve"> </w:t>
      </w:r>
      <w:r w:rsidRPr="00DF540D">
        <w:rPr>
          <w:rFonts w:ascii="Arial" w:hAnsi="Arial" w:cs="Arial"/>
          <w:b/>
          <w:noProof/>
          <w:color w:val="000064"/>
          <w:sz w:val="20"/>
          <w:szCs w:val="20"/>
        </w:rPr>
        <w:t>targeted to the risks? And what additional or alternative enforcement or compliance activities would you consider as effective and efficient?</w:t>
      </w:r>
    </w:p>
    <w:p w:rsidR="00202B82" w:rsidRPr="00DF540D" w:rsidRDefault="00202B82" w:rsidP="00202B82"/>
    <w:p w:rsidR="00202B82" w:rsidRPr="00DF540D" w:rsidRDefault="00202B82" w:rsidP="00202B82">
      <w:r w:rsidRPr="00DF540D">
        <w:rPr>
          <w:i/>
        </w:rPr>
        <w:t>Identification and management of Risk</w:t>
      </w:r>
      <w:r w:rsidRPr="00DF540D">
        <w:t>: Eradicate petty delays in the compliance</w:t>
      </w:r>
      <w:r w:rsidR="007403FF">
        <w:t xml:space="preserve"> administration process.</w:t>
      </w:r>
    </w:p>
    <w:p w:rsidR="000C22D4" w:rsidRPr="00DF540D" w:rsidRDefault="000C22D4" w:rsidP="00202B82"/>
    <w:p w:rsidR="00202B82" w:rsidRPr="00DF540D" w:rsidRDefault="00202B82" w:rsidP="00202B82">
      <w:r w:rsidRPr="00DF540D">
        <w:rPr>
          <w:i/>
        </w:rPr>
        <w:t xml:space="preserve">Brake Safety Risk: </w:t>
      </w:r>
      <w:r w:rsidRPr="00DF540D">
        <w:t xml:space="preserve">UN braking regulations permit combinations to be </w:t>
      </w:r>
      <w:r w:rsidR="005D4746">
        <w:t>‘</w:t>
      </w:r>
      <w:r w:rsidRPr="00DF540D">
        <w:t>parked</w:t>
      </w:r>
      <w:r w:rsidR="005D4746">
        <w:t>’</w:t>
      </w:r>
      <w:r w:rsidRPr="00DF540D">
        <w:t xml:space="preserve"> on the service brake and yet mechanical parking brakes are not mandatory on trailers. This is a high</w:t>
      </w:r>
      <w:r w:rsidR="00157A68" w:rsidRPr="00DF540D">
        <w:t>-</w:t>
      </w:r>
      <w:r w:rsidRPr="00DF540D">
        <w:t xml:space="preserve">risk </w:t>
      </w:r>
      <w:r w:rsidR="00157A68" w:rsidRPr="00DF540D">
        <w:t xml:space="preserve">recommended </w:t>
      </w:r>
      <w:r w:rsidRPr="00DF540D">
        <w:t xml:space="preserve">practice for Australia’s </w:t>
      </w:r>
      <w:r w:rsidR="00157A68" w:rsidRPr="00DF540D">
        <w:t>h</w:t>
      </w:r>
      <w:r w:rsidRPr="00DF540D">
        <w:t xml:space="preserve">eavy </w:t>
      </w:r>
      <w:r w:rsidR="00157A68" w:rsidRPr="00DF540D">
        <w:t>v</w:t>
      </w:r>
      <w:r w:rsidRPr="00DF540D">
        <w:t xml:space="preserve">ehicle </w:t>
      </w:r>
      <w:r w:rsidR="00157A68" w:rsidRPr="00DF540D">
        <w:t>f</w:t>
      </w:r>
      <w:r w:rsidRPr="00DF540D">
        <w:t>leet and so the road transport industry supports and requires a very specific adjustment to commercial vehicle braking system design requirements.</w:t>
      </w:r>
    </w:p>
    <w:p w:rsidR="00157A68" w:rsidRPr="00DF540D" w:rsidRDefault="00157A68" w:rsidP="00202B82"/>
    <w:p w:rsidR="00157A68" w:rsidRPr="00DF540D" w:rsidRDefault="00157A68" w:rsidP="001A3DF6">
      <w:pPr>
        <w:rPr>
          <w:rFonts w:ascii="Arial" w:hAnsi="Arial" w:cs="Arial"/>
          <w:b/>
          <w:noProof/>
          <w:color w:val="000064"/>
          <w:sz w:val="20"/>
          <w:szCs w:val="20"/>
        </w:rPr>
      </w:pPr>
      <w:r w:rsidRPr="00DF540D">
        <w:rPr>
          <w:rFonts w:ascii="Arial" w:hAnsi="Arial" w:cs="Arial"/>
          <w:b/>
          <w:noProof/>
          <w:color w:val="000064"/>
          <w:sz w:val="20"/>
          <w:szCs w:val="20"/>
        </w:rPr>
        <w:lastRenderedPageBreak/>
        <w:t xml:space="preserve">Q. 7-9 Are the provisions in the Regulatory Powers (Standard Provisions) Act 2014 a suitable alternative? Or are there issues that are unique to the industry that will not be addressed through the use of provisions contained in this Act? </w:t>
      </w:r>
    </w:p>
    <w:p w:rsidR="005C3C06" w:rsidRDefault="00157A68" w:rsidP="00157A68">
      <w:r w:rsidRPr="00DF540D">
        <w:t xml:space="preserve">Frequent comments are made about the uniqueness of the Australian heavy vehicle fleet and in operational terms this is </w:t>
      </w:r>
      <w:r w:rsidR="005C3C06">
        <w:t>particularly accurate</w:t>
      </w:r>
      <w:r w:rsidRPr="00DF540D">
        <w:t xml:space="preserve">. </w:t>
      </w:r>
    </w:p>
    <w:p w:rsidR="005C3C06" w:rsidRDefault="005C3C06" w:rsidP="00157A68"/>
    <w:p w:rsidR="00157A68" w:rsidRPr="00DF540D" w:rsidRDefault="00157A68" w:rsidP="00157A68">
      <w:r w:rsidRPr="00DF540D">
        <w:t xml:space="preserve">However, the MVSA as a framework, only addresses individual vehicle units not combinations. </w:t>
      </w:r>
      <w:r w:rsidR="007F5166">
        <w:t>U</w:t>
      </w:r>
      <w:r w:rsidRPr="00DF540D">
        <w:t xml:space="preserve">nits are then designed and manufactured to be fit-for-purpose whilst complying with the relevant standards but not directly in relation to their </w:t>
      </w:r>
      <w:r w:rsidR="006E6516">
        <w:t xml:space="preserve">safe </w:t>
      </w:r>
      <w:r w:rsidRPr="00DF540D">
        <w:t>use in multiple configurations.</w:t>
      </w:r>
    </w:p>
    <w:p w:rsidR="00157A68" w:rsidRPr="00DF540D" w:rsidRDefault="00157A68" w:rsidP="00202B82"/>
    <w:p w:rsidR="00157A68" w:rsidRPr="00DF540D" w:rsidRDefault="00157A68" w:rsidP="001A3DF6">
      <w:pPr>
        <w:rPr>
          <w:rFonts w:ascii="Arial" w:hAnsi="Arial" w:cs="Arial"/>
          <w:b/>
          <w:noProof/>
          <w:color w:val="000064"/>
          <w:sz w:val="20"/>
          <w:szCs w:val="20"/>
        </w:rPr>
      </w:pPr>
      <w:r w:rsidRPr="00DF540D">
        <w:rPr>
          <w:rFonts w:ascii="Arial" w:hAnsi="Arial" w:cs="Arial"/>
          <w:b/>
          <w:noProof/>
          <w:color w:val="000064"/>
          <w:sz w:val="20"/>
          <w:szCs w:val="20"/>
        </w:rPr>
        <w:t xml:space="preserve">Q. 7-10 What regulatory services under the Act could be delivered through private sector or other organisations? </w:t>
      </w:r>
    </w:p>
    <w:p w:rsidR="00AA61B9" w:rsidRPr="00DF540D" w:rsidRDefault="00157A68" w:rsidP="00202B82">
      <w:r w:rsidRPr="00DF540D">
        <w:t xml:space="preserve">The leadership potential of Australia </w:t>
      </w:r>
      <w:r w:rsidR="008F14B0" w:rsidRPr="00DF540D">
        <w:t>in the area of (heavy vehicle)</w:t>
      </w:r>
      <w:r w:rsidRPr="00DF540D">
        <w:t xml:space="preserve"> road safety should </w:t>
      </w:r>
      <w:r w:rsidR="005C3C06">
        <w:t>remain</w:t>
      </w:r>
      <w:r w:rsidRPr="00DF540D">
        <w:t xml:space="preserve"> </w:t>
      </w:r>
      <w:r w:rsidR="008F14B0" w:rsidRPr="00DF540D">
        <w:t>un</w:t>
      </w:r>
      <w:r w:rsidRPr="00DF540D">
        <w:t xml:space="preserve">constrained by the MVSA. </w:t>
      </w:r>
      <w:r w:rsidR="00AA61B9" w:rsidRPr="00DF540D">
        <w:t xml:space="preserve">Due to the dynamic nature of </w:t>
      </w:r>
      <w:r w:rsidR="005C3C06">
        <w:t>worldwide</w:t>
      </w:r>
      <w:r w:rsidR="00AA61B9" w:rsidRPr="00DF540D">
        <w:t xml:space="preserve"> manufacture and innovation, </w:t>
      </w:r>
      <w:r w:rsidR="005C3C06">
        <w:t>the</w:t>
      </w:r>
      <w:r w:rsidR="00F52EAD" w:rsidRPr="00DF540D">
        <w:t xml:space="preserve"> capacity for </w:t>
      </w:r>
      <w:r w:rsidR="005C3C06">
        <w:t xml:space="preserve">accepting </w:t>
      </w:r>
      <w:r w:rsidR="00F52EAD" w:rsidRPr="00DF540D">
        <w:t>simple or m</w:t>
      </w:r>
      <w:r w:rsidRPr="00DF540D">
        <w:t xml:space="preserve">inor amendments </w:t>
      </w:r>
      <w:r w:rsidR="00F52EAD" w:rsidRPr="00DF540D">
        <w:t>and</w:t>
      </w:r>
      <w:r w:rsidRPr="00DF540D">
        <w:t xml:space="preserve"> </w:t>
      </w:r>
      <w:r w:rsidR="00F52EAD" w:rsidRPr="00DF540D">
        <w:t>sensibly adjusting the rules to</w:t>
      </w:r>
      <w:r w:rsidRPr="00DF540D">
        <w:t xml:space="preserve"> </w:t>
      </w:r>
      <w:r w:rsidR="00F52EAD" w:rsidRPr="00DF540D">
        <w:t xml:space="preserve">cope with </w:t>
      </w:r>
      <w:r w:rsidRPr="00DF540D">
        <w:t xml:space="preserve">new global circumstances </w:t>
      </w:r>
      <w:r w:rsidR="00F52EAD" w:rsidRPr="00DF540D">
        <w:t>as the</w:t>
      </w:r>
      <w:r w:rsidR="005C3C06">
        <w:t>y</w:t>
      </w:r>
      <w:r w:rsidR="00F52EAD" w:rsidRPr="00DF540D">
        <w:t xml:space="preserve"> arise is very important</w:t>
      </w:r>
      <w:r w:rsidR="00AA61B9" w:rsidRPr="00DF540D">
        <w:t xml:space="preserve"> for this area of legislation</w:t>
      </w:r>
      <w:r w:rsidRPr="00DF540D">
        <w:t>.</w:t>
      </w:r>
    </w:p>
    <w:p w:rsidR="00AA61B9" w:rsidRPr="00DF540D" w:rsidRDefault="00AA61B9" w:rsidP="00202B82"/>
    <w:p w:rsidR="00157A68" w:rsidRPr="00DF540D" w:rsidRDefault="00157A68" w:rsidP="00202B82">
      <w:r w:rsidRPr="00DF540D">
        <w:t xml:space="preserve">For example, powered trailers are now in use in Australia </w:t>
      </w:r>
      <w:r w:rsidR="006203DB">
        <w:t>but they</w:t>
      </w:r>
      <w:r w:rsidRPr="00DF540D">
        <w:t xml:space="preserve"> are not </w:t>
      </w:r>
      <w:r w:rsidR="00AA61B9" w:rsidRPr="00DF540D">
        <w:t xml:space="preserve">currently </w:t>
      </w:r>
      <w:r w:rsidRPr="00DF540D">
        <w:t xml:space="preserve">envisaged in the definition of ‘trailer’ under the </w:t>
      </w:r>
      <w:r w:rsidR="00AA61B9" w:rsidRPr="00DF540D">
        <w:t>MVSA</w:t>
      </w:r>
      <w:r w:rsidRPr="00DF540D">
        <w:t xml:space="preserve">. Similarly, vehicle width limits are 2.6 metres globally. It is not sustainable for Australia to become more restrictive with </w:t>
      </w:r>
      <w:r w:rsidR="00AA61B9" w:rsidRPr="00DF540D">
        <w:t>its</w:t>
      </w:r>
      <w:r w:rsidRPr="00DF540D">
        <w:t xml:space="preserve"> present 2.5 metre width limit. Hence, there is a desire for some technical refinements to the MVSA to be assessed on their individual merits for the impact </w:t>
      </w:r>
      <w:r w:rsidR="00AA61B9" w:rsidRPr="00DF540D">
        <w:t xml:space="preserve">on safety, compliance and regulatory oversight </w:t>
      </w:r>
      <w:r w:rsidRPr="00DF540D">
        <w:t>they may pose.</w:t>
      </w:r>
    </w:p>
    <w:p w:rsidR="00AA61B9" w:rsidRPr="00DF540D" w:rsidRDefault="00AA61B9" w:rsidP="00202B82"/>
    <w:p w:rsidR="00802465" w:rsidRPr="00DF540D" w:rsidRDefault="00802465" w:rsidP="00491862">
      <w:pPr>
        <w:rPr>
          <w:rFonts w:ascii="Arial" w:hAnsi="Arial" w:cs="Arial"/>
          <w:b/>
          <w:noProof/>
          <w:color w:val="000064"/>
          <w:sz w:val="20"/>
          <w:szCs w:val="20"/>
        </w:rPr>
      </w:pPr>
      <w:r w:rsidRPr="00DF540D">
        <w:rPr>
          <w:rFonts w:ascii="Arial" w:hAnsi="Arial" w:cs="Arial"/>
          <w:b/>
          <w:noProof/>
          <w:color w:val="000064"/>
          <w:sz w:val="20"/>
          <w:szCs w:val="20"/>
        </w:rPr>
        <w:t>Q. 7-11 What regulatory mechanisms should be in place to ensure that motor vehicles are</w:t>
      </w:r>
      <w:r w:rsidRPr="00DF540D">
        <w:rPr>
          <w:rFonts w:ascii="Arial" w:hAnsi="Arial" w:cs="Arial"/>
          <w:b/>
          <w:noProof/>
          <w:color w:val="000064"/>
        </w:rPr>
        <w:t xml:space="preserve"> </w:t>
      </w:r>
      <w:r w:rsidRPr="00DF540D">
        <w:rPr>
          <w:rFonts w:ascii="Arial" w:hAnsi="Arial" w:cs="Arial"/>
          <w:b/>
          <w:noProof/>
          <w:color w:val="000064"/>
          <w:sz w:val="20"/>
          <w:szCs w:val="20"/>
        </w:rPr>
        <w:t xml:space="preserve">effectively recalled when safety concerns arise? </w:t>
      </w:r>
    </w:p>
    <w:p w:rsidR="00802465" w:rsidRDefault="003505C4" w:rsidP="00802465">
      <w:r>
        <w:t>R</w:t>
      </w:r>
      <w:r w:rsidR="007146E0" w:rsidRPr="00DF540D">
        <w:t xml:space="preserve">egulatory </w:t>
      </w:r>
      <w:r w:rsidR="00802465" w:rsidRPr="00DF540D">
        <w:t>mechanism</w:t>
      </w:r>
      <w:r>
        <w:t>s</w:t>
      </w:r>
      <w:r w:rsidR="00802465" w:rsidRPr="00DF540D">
        <w:t xml:space="preserve"> </w:t>
      </w:r>
      <w:r w:rsidR="007146E0" w:rsidRPr="00DF540D">
        <w:t>selected</w:t>
      </w:r>
      <w:r w:rsidR="00802465" w:rsidRPr="00DF540D">
        <w:t xml:space="preserve"> by policymakers </w:t>
      </w:r>
      <w:r>
        <w:t>should</w:t>
      </w:r>
      <w:r w:rsidR="00802465" w:rsidRPr="00DF540D">
        <w:t xml:space="preserve"> be </w:t>
      </w:r>
      <w:r w:rsidR="00D22919" w:rsidRPr="00DF540D">
        <w:t>underpinned</w:t>
      </w:r>
      <w:r w:rsidR="00802465" w:rsidRPr="00DF540D">
        <w:t xml:space="preserve"> by </w:t>
      </w:r>
      <w:r w:rsidR="00D22919" w:rsidRPr="00DF540D">
        <w:t xml:space="preserve">principles and </w:t>
      </w:r>
      <w:r w:rsidR="00802465" w:rsidRPr="00DF540D">
        <w:t>a process that:</w:t>
      </w:r>
    </w:p>
    <w:p w:rsidR="006203DB" w:rsidRPr="00DF540D" w:rsidRDefault="006203DB" w:rsidP="00802465"/>
    <w:p w:rsidR="00802465" w:rsidRPr="00DF540D" w:rsidRDefault="00802465" w:rsidP="00802465">
      <w:pPr>
        <w:pStyle w:val="ListParagraph"/>
        <w:numPr>
          <w:ilvl w:val="0"/>
          <w:numId w:val="14"/>
        </w:numPr>
        <w:spacing w:after="0" w:line="240" w:lineRule="auto"/>
        <w:jc w:val="both"/>
      </w:pPr>
      <w:r w:rsidRPr="00DF540D">
        <w:t>Provide</w:t>
      </w:r>
      <w:r w:rsidR="006203DB">
        <w:t>s</w:t>
      </w:r>
      <w:r w:rsidRPr="00DF540D">
        <w:t xml:space="preserve"> a platform that is readily accessible</w:t>
      </w:r>
      <w:r w:rsidR="00D22919" w:rsidRPr="00DF540D">
        <w:t xml:space="preserve"> to the industry</w:t>
      </w:r>
    </w:p>
    <w:p w:rsidR="00802465" w:rsidRPr="00DF540D" w:rsidRDefault="00802465" w:rsidP="00802465">
      <w:pPr>
        <w:pStyle w:val="ListParagraph"/>
        <w:numPr>
          <w:ilvl w:val="0"/>
          <w:numId w:val="14"/>
        </w:numPr>
        <w:spacing w:after="0" w:line="240" w:lineRule="auto"/>
        <w:jc w:val="both"/>
      </w:pPr>
      <w:r w:rsidRPr="00DF540D">
        <w:t xml:space="preserve">Reviews the safety risk concern – efficiently and </w:t>
      </w:r>
      <w:r w:rsidR="006203DB">
        <w:t>in good time</w:t>
      </w:r>
    </w:p>
    <w:p w:rsidR="00802465" w:rsidRPr="00DF540D" w:rsidRDefault="00802465" w:rsidP="00802465">
      <w:pPr>
        <w:pStyle w:val="ListParagraph"/>
        <w:numPr>
          <w:ilvl w:val="0"/>
          <w:numId w:val="14"/>
        </w:numPr>
        <w:spacing w:after="0" w:line="240" w:lineRule="auto"/>
        <w:jc w:val="both"/>
      </w:pPr>
      <w:r w:rsidRPr="00DF540D">
        <w:t>Advise</w:t>
      </w:r>
      <w:r w:rsidR="006203DB">
        <w:t>s</w:t>
      </w:r>
      <w:r w:rsidRPr="00DF540D">
        <w:t xml:space="preserve"> the relevant supply chain parties and</w:t>
      </w:r>
    </w:p>
    <w:p w:rsidR="00802465" w:rsidRPr="00DF540D" w:rsidRDefault="00802465" w:rsidP="00802465">
      <w:pPr>
        <w:pStyle w:val="ListParagraph"/>
        <w:numPr>
          <w:ilvl w:val="0"/>
          <w:numId w:val="14"/>
        </w:numPr>
        <w:spacing w:after="0" w:line="240" w:lineRule="auto"/>
        <w:jc w:val="both"/>
      </w:pPr>
      <w:r w:rsidRPr="00DF540D">
        <w:t>Inform</w:t>
      </w:r>
      <w:r w:rsidR="00D22919" w:rsidRPr="00DF540D">
        <w:t>s</w:t>
      </w:r>
      <w:r w:rsidRPr="00DF540D">
        <w:t xml:space="preserve"> the public</w:t>
      </w:r>
    </w:p>
    <w:p w:rsidR="00AA61B9" w:rsidRPr="00DF540D" w:rsidRDefault="00AA61B9" w:rsidP="00202B82"/>
    <w:p w:rsidR="0059537B" w:rsidRPr="00DF540D" w:rsidRDefault="0059537B" w:rsidP="001A3DF6">
      <w:pPr>
        <w:rPr>
          <w:rFonts w:ascii="Arial" w:hAnsi="Arial" w:cs="Arial"/>
          <w:b/>
          <w:noProof/>
          <w:color w:val="000064"/>
          <w:sz w:val="20"/>
          <w:szCs w:val="20"/>
        </w:rPr>
      </w:pPr>
      <w:r w:rsidRPr="00DF540D">
        <w:rPr>
          <w:rFonts w:ascii="Arial" w:hAnsi="Arial" w:cs="Arial"/>
          <w:b/>
          <w:noProof/>
          <w:color w:val="000064"/>
          <w:sz w:val="20"/>
          <w:szCs w:val="20"/>
        </w:rPr>
        <w:t xml:space="preserve">Q. 7-12 What costs and benefits do you see from providing a legislated role for the vehicle safety standards regulator in vehicle safety recalls? </w:t>
      </w:r>
    </w:p>
    <w:p w:rsidR="0059537B" w:rsidRPr="00DF540D" w:rsidRDefault="0059537B" w:rsidP="0059537B">
      <w:r w:rsidRPr="00DF540D">
        <w:t xml:space="preserve">If the risk is embraced by regulatory compliance and results in a non-compliance to the </w:t>
      </w:r>
      <w:r w:rsidR="006203DB">
        <w:t>‘</w:t>
      </w:r>
      <w:r w:rsidRPr="00DF540D">
        <w:t>standard</w:t>
      </w:r>
      <w:r w:rsidR="006203DB">
        <w:t xml:space="preserve">’ </w:t>
      </w:r>
      <w:r w:rsidRPr="00DF540D">
        <w:t>then it is worthy of recall; including consideration of recall levels e.g.: low scale (1) thru high scale (5)</w:t>
      </w:r>
      <w:r w:rsidR="00745849" w:rsidRPr="00DF540D">
        <w:t>.</w:t>
      </w:r>
    </w:p>
    <w:p w:rsidR="007E4008" w:rsidRPr="00DF540D" w:rsidRDefault="007E4008" w:rsidP="002A3B76">
      <w:pPr>
        <w:pStyle w:val="Heading1"/>
        <w:numPr>
          <w:ilvl w:val="0"/>
          <w:numId w:val="0"/>
        </w:numPr>
        <w:rPr>
          <w:rFonts w:ascii="Calibri" w:hAnsi="Calibri"/>
          <w:noProof/>
          <w:sz w:val="20"/>
          <w:szCs w:val="20"/>
        </w:rPr>
      </w:pPr>
    </w:p>
    <w:p w:rsidR="0059537B" w:rsidRPr="00DF540D" w:rsidRDefault="0059537B" w:rsidP="001A3DF6">
      <w:pPr>
        <w:rPr>
          <w:rFonts w:ascii="Arial" w:hAnsi="Arial" w:cs="Arial"/>
          <w:b/>
          <w:noProof/>
          <w:color w:val="000064"/>
          <w:sz w:val="20"/>
          <w:szCs w:val="20"/>
        </w:rPr>
      </w:pPr>
      <w:r w:rsidRPr="00DF540D">
        <w:rPr>
          <w:rFonts w:ascii="Arial" w:hAnsi="Arial" w:cs="Arial"/>
          <w:b/>
          <w:noProof/>
          <w:color w:val="000064"/>
          <w:sz w:val="20"/>
          <w:szCs w:val="20"/>
        </w:rPr>
        <w:t>Q. 7-13 Are there any specific local requirements for light vehicles that would prevent full harmonisation with UN regulations for light vehicles?</w:t>
      </w:r>
    </w:p>
    <w:p w:rsidR="0059537B" w:rsidRPr="00DF540D" w:rsidRDefault="0059537B" w:rsidP="0059537B">
      <w:r w:rsidRPr="00DF540D">
        <w:t>Removing the ADR and replacing them with legislative reference to UN Regulations would result in bias towards European suppliers and would potentially result in other likely market suppliers (e.g. USA) being required to provide additional compliance certification, which at best is an anti-competitive result.</w:t>
      </w:r>
    </w:p>
    <w:p w:rsidR="0059537B" w:rsidRPr="00DF540D" w:rsidRDefault="0059537B" w:rsidP="003B0AAE">
      <w:pPr>
        <w:rPr>
          <w:rFonts w:ascii="Arial" w:hAnsi="Arial" w:cs="Arial"/>
          <w:noProof/>
        </w:rPr>
      </w:pPr>
    </w:p>
    <w:p w:rsidR="007845EE" w:rsidRPr="00DF540D" w:rsidRDefault="0059537B" w:rsidP="0059537B">
      <w:r w:rsidRPr="00DF540D">
        <w:rPr>
          <w:i/>
        </w:rPr>
        <w:t>Unique Australian requirements:</w:t>
      </w:r>
      <w:r w:rsidRPr="00DF540D">
        <w:t xml:space="preserve"> As mentioned earlier, the argument for the uniqueness of our </w:t>
      </w:r>
      <w:r w:rsidR="007845EE" w:rsidRPr="00DF540D">
        <w:t xml:space="preserve">motor vehicle </w:t>
      </w:r>
      <w:r w:rsidRPr="00DF540D">
        <w:t xml:space="preserve">market is strong for </w:t>
      </w:r>
      <w:r w:rsidR="007845EE" w:rsidRPr="00DF540D">
        <w:t xml:space="preserve">the </w:t>
      </w:r>
      <w:r w:rsidRPr="00DF540D">
        <w:t xml:space="preserve">heavy vehicle </w:t>
      </w:r>
      <w:r w:rsidR="007845EE" w:rsidRPr="00DF540D">
        <w:t xml:space="preserve">sector, </w:t>
      </w:r>
      <w:r w:rsidRPr="00DF540D">
        <w:t xml:space="preserve">where the nature of the Australian freight task is </w:t>
      </w:r>
      <w:r w:rsidR="007845EE" w:rsidRPr="00DF540D">
        <w:t xml:space="preserve">quite </w:t>
      </w:r>
      <w:r w:rsidRPr="00DF540D">
        <w:t xml:space="preserve">different to that of Europe, Japan and even the </w:t>
      </w:r>
      <w:r w:rsidR="007845EE" w:rsidRPr="00DF540D">
        <w:t>USA</w:t>
      </w:r>
      <w:r w:rsidR="004E5A77">
        <w:t>.</w:t>
      </w:r>
      <w:r w:rsidRPr="00DF540D">
        <w:t xml:space="preserve"> </w:t>
      </w:r>
    </w:p>
    <w:p w:rsidR="007845EE" w:rsidRPr="00DF540D" w:rsidRDefault="007845EE" w:rsidP="0059537B"/>
    <w:p w:rsidR="007845EE" w:rsidRPr="00DF540D" w:rsidRDefault="007845EE" w:rsidP="0059537B">
      <w:r w:rsidRPr="00DF540D">
        <w:t>Such</w:t>
      </w:r>
      <w:r w:rsidR="0059537B" w:rsidRPr="00DF540D">
        <w:t xml:space="preserve"> differences include axle loading (hence</w:t>
      </w:r>
      <w:r w:rsidRPr="00DF540D">
        <w:t>,</w:t>
      </w:r>
      <w:r w:rsidR="0059537B" w:rsidRPr="00DF540D">
        <w:t xml:space="preserve"> braking capacities), multiple trailers (requiring unique coupling standards) and road infrastructure restrictions that constrain vehicle and trailer width</w:t>
      </w:r>
      <w:r w:rsidRPr="00DF540D">
        <w:t xml:space="preserve">. </w:t>
      </w:r>
    </w:p>
    <w:p w:rsidR="007845EE" w:rsidRPr="00DF540D" w:rsidRDefault="007845EE" w:rsidP="0059537B"/>
    <w:p w:rsidR="0059537B" w:rsidRPr="00DF540D" w:rsidRDefault="007845EE" w:rsidP="0059537B">
      <w:r w:rsidRPr="00DF540D">
        <w:t>The</w:t>
      </w:r>
      <w:r w:rsidR="0059537B" w:rsidRPr="00DF540D">
        <w:t xml:space="preserve"> regulations refer to the </w:t>
      </w:r>
      <w:r w:rsidRPr="00DF540D">
        <w:t>‘</w:t>
      </w:r>
      <w:r w:rsidR="0059537B" w:rsidRPr="00DF540D">
        <w:t>significantly different</w:t>
      </w:r>
      <w:r w:rsidRPr="00DF540D">
        <w:t>’</w:t>
      </w:r>
      <w:r w:rsidR="0059537B" w:rsidRPr="00DF540D">
        <w:t xml:space="preserve"> Australian heavy vehicle fleet </w:t>
      </w:r>
      <w:r w:rsidRPr="00DF540D">
        <w:t>yet</w:t>
      </w:r>
      <w:r w:rsidR="0059537B" w:rsidRPr="00DF540D">
        <w:t xml:space="preserve"> the MVSA only addresses individual vehicle units. </w:t>
      </w:r>
      <w:r w:rsidR="00D10CC3">
        <w:t>As noted above, t</w:t>
      </w:r>
      <w:r w:rsidR="0059537B" w:rsidRPr="00DF540D">
        <w:t xml:space="preserve">hese </w:t>
      </w:r>
      <w:r w:rsidR="00D10CC3">
        <w:t xml:space="preserve">units </w:t>
      </w:r>
      <w:r w:rsidR="0059537B" w:rsidRPr="00DF540D">
        <w:t xml:space="preserve">are designed and manufactured to be </w:t>
      </w:r>
      <w:r w:rsidR="00D10CC3">
        <w:t xml:space="preserve">individually </w:t>
      </w:r>
      <w:r w:rsidR="0059537B" w:rsidRPr="00DF540D">
        <w:t>fit for purpose whilst complying with the relevant standards.</w:t>
      </w:r>
    </w:p>
    <w:p w:rsidR="0059537B" w:rsidRPr="00DF540D" w:rsidRDefault="0059537B" w:rsidP="003B0AAE">
      <w:pPr>
        <w:rPr>
          <w:rFonts w:ascii="Arial" w:hAnsi="Arial" w:cs="Arial"/>
          <w:noProof/>
        </w:rPr>
      </w:pPr>
    </w:p>
    <w:p w:rsidR="008E78BD" w:rsidRPr="00DF540D" w:rsidRDefault="008E78BD" w:rsidP="001A3DF6">
      <w:pPr>
        <w:rPr>
          <w:rFonts w:ascii="Arial" w:hAnsi="Arial" w:cs="Arial"/>
          <w:b/>
          <w:noProof/>
          <w:color w:val="000064"/>
          <w:sz w:val="20"/>
          <w:szCs w:val="20"/>
        </w:rPr>
      </w:pPr>
      <w:r w:rsidRPr="00DF540D">
        <w:rPr>
          <w:rFonts w:ascii="Arial" w:hAnsi="Arial" w:cs="Arial"/>
          <w:b/>
          <w:noProof/>
          <w:color w:val="000064"/>
          <w:sz w:val="20"/>
          <w:szCs w:val="20"/>
        </w:rPr>
        <w:t xml:space="preserve">Q. 7-14 How much business compliance cost savings could be made through the above options to harmonise Australian standards with the UN Regulations and the acceptance of evidence of compliance with those standards? </w:t>
      </w:r>
    </w:p>
    <w:p w:rsidR="008E78BD" w:rsidRPr="00DF540D" w:rsidRDefault="008E78BD" w:rsidP="008E78BD">
      <w:r w:rsidRPr="00DF540D">
        <w:lastRenderedPageBreak/>
        <w:t xml:space="preserve">As a technology taker, Australian fleet/vehicle compliance costs are likely to </w:t>
      </w:r>
      <w:r w:rsidR="00706BB2" w:rsidRPr="00DF540D">
        <w:t>reduce</w:t>
      </w:r>
      <w:r w:rsidRPr="00DF540D">
        <w:t xml:space="preserve"> </w:t>
      </w:r>
      <w:r w:rsidR="007845EE" w:rsidRPr="00DF540D">
        <w:t>rather than rise through</w:t>
      </w:r>
      <w:r w:rsidRPr="00DF540D">
        <w:t xml:space="preserve"> </w:t>
      </w:r>
      <w:r w:rsidR="007845EE" w:rsidRPr="00DF540D">
        <w:t xml:space="preserve">any </w:t>
      </w:r>
      <w:r w:rsidR="00706BB2" w:rsidRPr="00DF540D">
        <w:t>adherence to</w:t>
      </w:r>
      <w:r w:rsidR="004777B2" w:rsidRPr="00DF540D">
        <w:t>,</w:t>
      </w:r>
      <w:r w:rsidR="00706BB2" w:rsidRPr="00DF540D">
        <w:t xml:space="preserve"> and </w:t>
      </w:r>
      <w:r w:rsidRPr="00DF540D">
        <w:t>harmonisation with</w:t>
      </w:r>
      <w:r w:rsidR="004777B2" w:rsidRPr="00DF540D">
        <w:t>,</w:t>
      </w:r>
      <w:r w:rsidRPr="00DF540D">
        <w:t xml:space="preserve"> ‘international standards’. </w:t>
      </w:r>
      <w:r w:rsidR="00706BB2" w:rsidRPr="00DF540D">
        <w:t>However</w:t>
      </w:r>
      <w:r w:rsidRPr="00DF540D">
        <w:t xml:space="preserve">, Australia should abandon </w:t>
      </w:r>
      <w:r w:rsidR="004777B2" w:rsidRPr="00DF540D">
        <w:t xml:space="preserve">its </w:t>
      </w:r>
      <w:r w:rsidR="00030CF9" w:rsidRPr="00DF540D">
        <w:t xml:space="preserve">modern </w:t>
      </w:r>
      <w:r w:rsidR="00706BB2" w:rsidRPr="00DF540D">
        <w:t>bias toward</w:t>
      </w:r>
      <w:r w:rsidR="004777B2" w:rsidRPr="00DF540D">
        <w:t>,</w:t>
      </w:r>
      <w:r w:rsidR="00706BB2" w:rsidRPr="00DF540D">
        <w:t xml:space="preserve"> or </w:t>
      </w:r>
      <w:r w:rsidRPr="00DF540D">
        <w:t>dependency on</w:t>
      </w:r>
      <w:r w:rsidR="004777B2" w:rsidRPr="00DF540D">
        <w:t>,</w:t>
      </w:r>
      <w:r w:rsidRPr="00DF540D">
        <w:t xml:space="preserve"> </w:t>
      </w:r>
      <w:r w:rsidR="00D10CC3">
        <w:t xml:space="preserve">the </w:t>
      </w:r>
      <w:r w:rsidR="004777B2" w:rsidRPr="00DF540D">
        <w:t xml:space="preserve">United Nations </w:t>
      </w:r>
      <w:r w:rsidR="00D10CC3">
        <w:t>approach</w:t>
      </w:r>
      <w:r w:rsidRPr="00DF540D">
        <w:t xml:space="preserve"> </w:t>
      </w:r>
      <w:r w:rsidR="006F1641" w:rsidRPr="00DF540D">
        <w:t xml:space="preserve">alone </w:t>
      </w:r>
      <w:r w:rsidRPr="00DF540D">
        <w:t xml:space="preserve">and </w:t>
      </w:r>
      <w:r w:rsidR="004777B2" w:rsidRPr="00DF540D">
        <w:t xml:space="preserve">be open to </w:t>
      </w:r>
      <w:r w:rsidR="006F1641" w:rsidRPr="00DF540D">
        <w:t>new</w:t>
      </w:r>
      <w:r w:rsidRPr="00DF540D">
        <w:t xml:space="preserve"> </w:t>
      </w:r>
      <w:r w:rsidR="00DE637D" w:rsidRPr="00DF540D">
        <w:t>and</w:t>
      </w:r>
      <w:r w:rsidRPr="00DF540D">
        <w:t xml:space="preserve"> </w:t>
      </w:r>
      <w:r w:rsidR="004777B2" w:rsidRPr="00DF540D">
        <w:t>refined</w:t>
      </w:r>
      <w:r w:rsidRPr="00DF540D">
        <w:t xml:space="preserve"> vehicle standards </w:t>
      </w:r>
      <w:r w:rsidR="004777B2" w:rsidRPr="00DF540D">
        <w:t>wherever</w:t>
      </w:r>
      <w:r w:rsidRPr="00DF540D">
        <w:t xml:space="preserve"> these </w:t>
      </w:r>
      <w:r w:rsidR="00706BB2" w:rsidRPr="00DF540D">
        <w:t xml:space="preserve">may </w:t>
      </w:r>
      <w:r w:rsidRPr="00DF540D">
        <w:t xml:space="preserve">emerge </w:t>
      </w:r>
      <w:r w:rsidR="00030CF9" w:rsidRPr="00DF540D">
        <w:t xml:space="preserve">in future </w:t>
      </w:r>
      <w:r w:rsidRPr="00DF540D">
        <w:t>around the world.</w:t>
      </w:r>
    </w:p>
    <w:p w:rsidR="006F1641" w:rsidRPr="00DF540D" w:rsidRDefault="00C41377" w:rsidP="008E78BD">
      <w:pPr>
        <w:rPr>
          <w:b/>
        </w:rPr>
      </w:pPr>
      <w:r w:rsidRPr="00DF540D">
        <w:rPr>
          <w:b/>
        </w:rPr>
        <w:br/>
      </w:r>
      <w:r w:rsidR="006F1641" w:rsidRPr="00DF540D">
        <w:rPr>
          <w:b/>
        </w:rPr>
        <w:t xml:space="preserve">Recommendation </w:t>
      </w:r>
      <w:r w:rsidR="00EF3B6C">
        <w:rPr>
          <w:b/>
        </w:rPr>
        <w:t>4</w:t>
      </w:r>
    </w:p>
    <w:p w:rsidR="006F1641" w:rsidRPr="00DF540D" w:rsidRDefault="006F1641" w:rsidP="006F1641">
      <w:pPr>
        <w:rPr>
          <w:b/>
        </w:rPr>
      </w:pPr>
      <w:r w:rsidRPr="00DF540D">
        <w:rPr>
          <w:b/>
        </w:rPr>
        <w:t xml:space="preserve">That, in addition to consideration of suitable UN regulations, Australia should </w:t>
      </w:r>
      <w:r w:rsidR="00030CF9" w:rsidRPr="00DF540D">
        <w:rPr>
          <w:b/>
        </w:rPr>
        <w:t>remain</w:t>
      </w:r>
      <w:r w:rsidRPr="00DF540D">
        <w:rPr>
          <w:b/>
        </w:rPr>
        <w:t xml:space="preserve"> open to </w:t>
      </w:r>
      <w:r w:rsidR="00030CF9" w:rsidRPr="00DF540D">
        <w:rPr>
          <w:b/>
        </w:rPr>
        <w:t>possible</w:t>
      </w:r>
      <w:r w:rsidRPr="00DF540D">
        <w:rPr>
          <w:b/>
        </w:rPr>
        <w:t xml:space="preserve"> adoption of other </w:t>
      </w:r>
      <w:r w:rsidR="00030CF9" w:rsidRPr="00DF540D">
        <w:rPr>
          <w:b/>
        </w:rPr>
        <w:t xml:space="preserve">appropriate </w:t>
      </w:r>
      <w:r w:rsidRPr="00DF540D">
        <w:rPr>
          <w:b/>
        </w:rPr>
        <w:t>vehicle standards wherever the</w:t>
      </w:r>
      <w:r w:rsidR="00030CF9" w:rsidRPr="00DF540D">
        <w:rPr>
          <w:b/>
        </w:rPr>
        <w:t>y</w:t>
      </w:r>
      <w:r w:rsidRPr="00DF540D">
        <w:rPr>
          <w:b/>
        </w:rPr>
        <w:t xml:space="preserve"> may emerge around the world.</w:t>
      </w:r>
    </w:p>
    <w:p w:rsidR="006F1641" w:rsidRPr="00DF540D" w:rsidRDefault="006F1641" w:rsidP="008E78BD"/>
    <w:p w:rsidR="00842339" w:rsidRPr="00DF540D" w:rsidRDefault="00842339" w:rsidP="001A3DF6">
      <w:pPr>
        <w:rPr>
          <w:rFonts w:ascii="Arial" w:hAnsi="Arial" w:cs="Arial"/>
          <w:b/>
          <w:noProof/>
          <w:color w:val="000064"/>
          <w:sz w:val="20"/>
          <w:szCs w:val="20"/>
        </w:rPr>
      </w:pPr>
      <w:r w:rsidRPr="00DF540D">
        <w:rPr>
          <w:rFonts w:ascii="Arial" w:hAnsi="Arial" w:cs="Arial"/>
          <w:b/>
          <w:noProof/>
          <w:color w:val="000064"/>
          <w:sz w:val="20"/>
          <w:szCs w:val="20"/>
        </w:rPr>
        <w:t xml:space="preserve">Q. 7-15 Would there be any increased cost to consumers for a vehicle that complies with UN Regulations not required for Australian conditions (such as cold start) as opposed to the current hybrid compliance arrangement? </w:t>
      </w:r>
    </w:p>
    <w:p w:rsidR="00842339" w:rsidRPr="00DF540D" w:rsidRDefault="00842339" w:rsidP="00842339">
      <w:r w:rsidRPr="00DF540D">
        <w:t xml:space="preserve">This is unlikely except where, as in some past situations, vehicles manufactured off-shore have incurred cost </w:t>
      </w:r>
      <w:r w:rsidR="00F60AB2" w:rsidRPr="00DF540D">
        <w:t>hikes</w:t>
      </w:r>
      <w:r w:rsidRPr="00DF540D">
        <w:t xml:space="preserve"> </w:t>
      </w:r>
      <w:r w:rsidR="00843301" w:rsidRPr="00DF540D">
        <w:t>so</w:t>
      </w:r>
      <w:r w:rsidRPr="00DF540D">
        <w:t xml:space="preserve"> otherwise ‘standard’ safety items </w:t>
      </w:r>
      <w:r w:rsidR="00843301" w:rsidRPr="00DF540D">
        <w:t>can</w:t>
      </w:r>
      <w:r w:rsidR="00F60AB2" w:rsidRPr="00DF540D">
        <w:t xml:space="preserve"> be </w:t>
      </w:r>
      <w:r w:rsidRPr="00DF540D">
        <w:t>removed prior to delivery into the Australian market.</w:t>
      </w:r>
    </w:p>
    <w:p w:rsidR="00842339" w:rsidRPr="00DF540D" w:rsidRDefault="00842339" w:rsidP="008E78BD"/>
    <w:p w:rsidR="000F602E" w:rsidRPr="00DF540D" w:rsidRDefault="000F602E" w:rsidP="001A3DF6">
      <w:pPr>
        <w:rPr>
          <w:rFonts w:ascii="Arial" w:hAnsi="Arial" w:cs="Arial"/>
          <w:b/>
          <w:noProof/>
          <w:color w:val="000064"/>
          <w:sz w:val="20"/>
          <w:szCs w:val="20"/>
        </w:rPr>
      </w:pPr>
      <w:r w:rsidRPr="00DF540D">
        <w:rPr>
          <w:rFonts w:ascii="Arial" w:hAnsi="Arial" w:cs="Arial"/>
          <w:b/>
          <w:noProof/>
          <w:color w:val="000064"/>
          <w:sz w:val="20"/>
          <w:szCs w:val="20"/>
        </w:rPr>
        <w:t xml:space="preserve">Q. 7-16 Is there benefit in providing for the approval of modules of design/assembly of a vehicle? How could this be done to ensure the certification is valid for a range of later added componentry and bodies? </w:t>
      </w:r>
    </w:p>
    <w:p w:rsidR="000F602E" w:rsidRPr="00DF540D" w:rsidRDefault="000F602E" w:rsidP="000F602E">
      <w:r w:rsidRPr="00DF540D">
        <w:t>Yes. From a global heavy vehicle industry perspective, the Australian trailer sub-assembly approval system is the envy of many of our international counterparts.</w:t>
      </w:r>
    </w:p>
    <w:p w:rsidR="0059537B" w:rsidRPr="00DF540D" w:rsidRDefault="0059537B" w:rsidP="003B0AAE">
      <w:pPr>
        <w:rPr>
          <w:rFonts w:ascii="Arial" w:hAnsi="Arial" w:cs="Arial"/>
          <w:noProof/>
        </w:rPr>
      </w:pPr>
    </w:p>
    <w:p w:rsidR="000F602E" w:rsidRPr="00DF540D" w:rsidRDefault="000F602E" w:rsidP="001A3DF6">
      <w:pPr>
        <w:rPr>
          <w:rFonts w:ascii="Arial" w:hAnsi="Arial" w:cs="Arial"/>
          <w:b/>
          <w:noProof/>
          <w:color w:val="000064"/>
          <w:sz w:val="20"/>
          <w:szCs w:val="20"/>
        </w:rPr>
      </w:pPr>
      <w:r w:rsidRPr="00DF540D">
        <w:rPr>
          <w:rFonts w:ascii="Arial" w:hAnsi="Arial" w:cs="Arial"/>
          <w:b/>
          <w:noProof/>
          <w:color w:val="000064"/>
          <w:sz w:val="20"/>
          <w:szCs w:val="20"/>
        </w:rPr>
        <w:t>Q. 7-17 What risks would a regulatory framework need to address if barriers were reduced on vehicle imports?</w:t>
      </w:r>
    </w:p>
    <w:p w:rsidR="008D2B1B" w:rsidRDefault="008D2B1B" w:rsidP="003C7369"/>
    <w:p w:rsidR="003C7369" w:rsidRPr="00DF540D" w:rsidRDefault="003C7369" w:rsidP="003C7369">
      <w:r w:rsidRPr="00DF540D">
        <w:t>In terms of risk, the MVSA framework should have a view to:</w:t>
      </w:r>
    </w:p>
    <w:p w:rsidR="003C7369" w:rsidRPr="00DF540D" w:rsidRDefault="003C7369" w:rsidP="003C7369">
      <w:pPr>
        <w:pStyle w:val="ListParagraph"/>
        <w:numPr>
          <w:ilvl w:val="0"/>
          <w:numId w:val="15"/>
        </w:numPr>
        <w:spacing w:after="0" w:line="240" w:lineRule="auto"/>
      </w:pPr>
      <w:r w:rsidRPr="00DF540D">
        <w:t>protecting the ‘level playing field’ for vehicle stakeholders who have an important vested financial and commercial interests in stable, consistent rules</w:t>
      </w:r>
    </w:p>
    <w:p w:rsidR="003C7369" w:rsidRPr="00DF540D" w:rsidRDefault="003C7369" w:rsidP="003C7369">
      <w:pPr>
        <w:pStyle w:val="ListParagraph"/>
        <w:numPr>
          <w:ilvl w:val="0"/>
          <w:numId w:val="15"/>
        </w:numPr>
        <w:spacing w:after="0" w:line="240" w:lineRule="auto"/>
      </w:pPr>
      <w:r w:rsidRPr="00DF540D">
        <w:t>preventing possible increases in performance risks for safety-related items</w:t>
      </w:r>
    </w:p>
    <w:p w:rsidR="003C7369" w:rsidRPr="00DF540D" w:rsidRDefault="003C7369" w:rsidP="003C7369">
      <w:pPr>
        <w:pStyle w:val="ListParagraph"/>
        <w:numPr>
          <w:ilvl w:val="0"/>
          <w:numId w:val="15"/>
        </w:numPr>
        <w:spacing w:after="0" w:line="240" w:lineRule="auto"/>
      </w:pPr>
      <w:r w:rsidRPr="00DF540D">
        <w:t>clarifying the ownership of liabilities</w:t>
      </w:r>
    </w:p>
    <w:p w:rsidR="003C7369" w:rsidRPr="00DF540D" w:rsidRDefault="003C7369" w:rsidP="003C7369"/>
    <w:p w:rsidR="003C7369" w:rsidRPr="00DF540D" w:rsidRDefault="008D2B1B" w:rsidP="003C7369">
      <w:r>
        <w:t>Treatment of</w:t>
      </w:r>
      <w:r w:rsidR="003C7369" w:rsidRPr="00DF540D">
        <w:t xml:space="preserve"> various sub-groupings in the framework could also be improved:</w:t>
      </w:r>
    </w:p>
    <w:p w:rsidR="003C7369" w:rsidRPr="00DF540D" w:rsidRDefault="003C7369" w:rsidP="003C7369">
      <w:pPr>
        <w:pStyle w:val="ListParagraph"/>
        <w:numPr>
          <w:ilvl w:val="0"/>
          <w:numId w:val="16"/>
        </w:numPr>
        <w:spacing w:after="0" w:line="240" w:lineRule="auto"/>
        <w:ind w:left="360"/>
      </w:pPr>
      <w:r w:rsidRPr="00DF540D">
        <w:t>For the specialist and enthusiast vehicles scheme, there is a need to identify and manage risk, re-assess the conditional registration system and consolidate concession scheme arrangements</w:t>
      </w:r>
    </w:p>
    <w:p w:rsidR="003C7369" w:rsidRPr="00DF540D" w:rsidRDefault="003C7369" w:rsidP="003C7369">
      <w:pPr>
        <w:pStyle w:val="ListParagraph"/>
        <w:numPr>
          <w:ilvl w:val="0"/>
          <w:numId w:val="16"/>
        </w:numPr>
        <w:spacing w:after="0" w:line="240" w:lineRule="auto"/>
        <w:ind w:left="360"/>
      </w:pPr>
      <w:r w:rsidRPr="00DF540D">
        <w:t>Reduce the barriers to the importation of second-hand quality vehicles and personally imported new vehicles. It seems reasonable to reduce barriers to importation of new and or second hand vehicles but there must continue to be ‘obligations’ on importers</w:t>
      </w:r>
    </w:p>
    <w:p w:rsidR="003C7369" w:rsidRPr="00DF540D" w:rsidRDefault="003C7369" w:rsidP="003C7369">
      <w:pPr>
        <w:pStyle w:val="ListParagraph"/>
        <w:numPr>
          <w:ilvl w:val="0"/>
          <w:numId w:val="16"/>
        </w:numPr>
        <w:spacing w:after="0" w:line="240" w:lineRule="auto"/>
        <w:ind w:left="360"/>
      </w:pPr>
      <w:r w:rsidRPr="00DF540D">
        <w:t>For individuals importing single units (new and used), these units must be compliant with the standards at the time of first registration; and, the individuals must commit to responsibility to issues potentially arising for safety recalls and/or identified safety issues</w:t>
      </w:r>
    </w:p>
    <w:p w:rsidR="003C7369" w:rsidRPr="00DF540D" w:rsidRDefault="003C7369" w:rsidP="003C7369">
      <w:pPr>
        <w:pStyle w:val="ListParagraph"/>
        <w:numPr>
          <w:ilvl w:val="0"/>
          <w:numId w:val="16"/>
        </w:numPr>
        <w:spacing w:after="0" w:line="240" w:lineRule="auto"/>
        <w:ind w:left="360"/>
      </w:pPr>
      <w:r w:rsidRPr="00DF540D">
        <w:t xml:space="preserve">For corporations, partnerships or individuals importing multiple vehicle units (new or used), the units again must be compliant with the standards at the time of first registration; and, the corporation, partnership, </w:t>
      </w:r>
      <w:r w:rsidR="008D2B1B">
        <w:t xml:space="preserve">or </w:t>
      </w:r>
      <w:r w:rsidRPr="00DF540D">
        <w:t>individual should commit to certain responsibility and liability for issues potentially arising for safety recalls and/or identified safety issues.</w:t>
      </w:r>
    </w:p>
    <w:p w:rsidR="003C7369" w:rsidRPr="00DF540D" w:rsidRDefault="003C7369" w:rsidP="003B0AAE">
      <w:pPr>
        <w:rPr>
          <w:rFonts w:ascii="Arial" w:hAnsi="Arial" w:cs="Arial"/>
          <w:noProof/>
        </w:rPr>
      </w:pPr>
    </w:p>
    <w:p w:rsidR="002F4F5D" w:rsidRPr="00DF540D" w:rsidRDefault="002F4F5D" w:rsidP="001A3DF6">
      <w:pPr>
        <w:rPr>
          <w:rFonts w:ascii="Arial" w:hAnsi="Arial" w:cs="Arial"/>
          <w:b/>
          <w:noProof/>
          <w:color w:val="000064"/>
          <w:sz w:val="20"/>
          <w:szCs w:val="20"/>
        </w:rPr>
      </w:pPr>
      <w:r w:rsidRPr="00DF540D">
        <w:rPr>
          <w:rFonts w:ascii="Arial" w:hAnsi="Arial" w:cs="Arial"/>
          <w:b/>
          <w:noProof/>
          <w:color w:val="000064"/>
          <w:sz w:val="20"/>
          <w:szCs w:val="20"/>
        </w:rPr>
        <w:t xml:space="preserve">Q. 7-18 What impact would second-hand vehicle imports and personal imports of new vehicles have on the automotive sector in the short, medium and long term? </w:t>
      </w:r>
    </w:p>
    <w:p w:rsidR="002F4F5D" w:rsidRPr="00DF540D" w:rsidRDefault="001821B0" w:rsidP="001821B0">
      <w:r w:rsidRPr="00DF540D">
        <w:t>This is d</w:t>
      </w:r>
      <w:r w:rsidR="002F4F5D" w:rsidRPr="00DF540D">
        <w:t>ifficult to gauge</w:t>
      </w:r>
      <w:r w:rsidR="00ED34CE" w:rsidRPr="00DF540D">
        <w:t xml:space="preserve"> but </w:t>
      </w:r>
      <w:r w:rsidR="004A1AED" w:rsidRPr="00DF540D">
        <w:t xml:space="preserve">industry </w:t>
      </w:r>
      <w:r w:rsidRPr="00DF540D">
        <w:t>expect</w:t>
      </w:r>
      <w:r w:rsidR="004A1AED" w:rsidRPr="00DF540D">
        <w:t xml:space="preserve">s a suitable </w:t>
      </w:r>
      <w:r w:rsidR="002F4F5D" w:rsidRPr="00DF540D">
        <w:t xml:space="preserve">level of control </w:t>
      </w:r>
      <w:r w:rsidRPr="00DF540D">
        <w:t xml:space="preserve">would be exerted over </w:t>
      </w:r>
      <w:r w:rsidR="004A1AED" w:rsidRPr="00DF540D">
        <w:t>th</w:t>
      </w:r>
      <w:r w:rsidR="00DE637D" w:rsidRPr="00DF540D">
        <w:t>is</w:t>
      </w:r>
      <w:r w:rsidRPr="00DF540D">
        <w:t xml:space="preserve"> situation </w:t>
      </w:r>
      <w:r w:rsidR="002F4F5D" w:rsidRPr="00DF540D">
        <w:t xml:space="preserve">via </w:t>
      </w:r>
      <w:r w:rsidR="004A1AED" w:rsidRPr="00DF540D">
        <w:t xml:space="preserve">appropriate </w:t>
      </w:r>
      <w:r w:rsidRPr="00DF540D">
        <w:t xml:space="preserve">restrictions on </w:t>
      </w:r>
      <w:r w:rsidR="002F4F5D" w:rsidRPr="00DF540D">
        <w:t>vehicle age.</w:t>
      </w:r>
    </w:p>
    <w:p w:rsidR="002F4F5D" w:rsidRPr="00DF540D" w:rsidRDefault="002F4F5D" w:rsidP="002F4F5D"/>
    <w:p w:rsidR="002F4F5D" w:rsidRPr="00DF540D" w:rsidRDefault="002F4F5D" w:rsidP="001A3DF6">
      <w:pPr>
        <w:rPr>
          <w:rFonts w:ascii="Arial" w:hAnsi="Arial" w:cs="Arial"/>
          <w:b/>
          <w:noProof/>
          <w:color w:val="000064"/>
          <w:sz w:val="20"/>
          <w:szCs w:val="20"/>
        </w:rPr>
      </w:pPr>
      <w:r w:rsidRPr="00DF540D">
        <w:rPr>
          <w:rFonts w:ascii="Arial" w:hAnsi="Arial" w:cs="Arial"/>
          <w:b/>
          <w:noProof/>
          <w:color w:val="000064"/>
          <w:sz w:val="20"/>
          <w:szCs w:val="20"/>
        </w:rPr>
        <w:t xml:space="preserve">Q. 7-19 Could constraints around a vehicle’s age and country of origin effectively manage the safety, environmental and theft risk to the community? </w:t>
      </w:r>
    </w:p>
    <w:p w:rsidR="002F4F5D" w:rsidRPr="00DF540D" w:rsidRDefault="002F4F5D" w:rsidP="001821B0">
      <w:r w:rsidRPr="00DF540D">
        <w:t>Yes</w:t>
      </w:r>
      <w:r w:rsidR="008D2B1B">
        <w:t xml:space="preserve">, </w:t>
      </w:r>
      <w:r w:rsidRPr="00DF540D">
        <w:t xml:space="preserve">vehicle age together with compliance </w:t>
      </w:r>
      <w:r w:rsidR="00362AA0" w:rsidRPr="00DF540D">
        <w:t>with</w:t>
      </w:r>
      <w:r w:rsidRPr="00DF540D">
        <w:t xml:space="preserve"> </w:t>
      </w:r>
      <w:r w:rsidR="00362AA0" w:rsidRPr="00DF540D">
        <w:t>v</w:t>
      </w:r>
      <w:r w:rsidRPr="00DF540D">
        <w:t xml:space="preserve">ehicle </w:t>
      </w:r>
      <w:r w:rsidR="00362AA0" w:rsidRPr="00DF540D">
        <w:t>standards</w:t>
      </w:r>
      <w:r w:rsidR="00AC5753" w:rsidRPr="00DF540D">
        <w:t xml:space="preserve"> should </w:t>
      </w:r>
      <w:r w:rsidR="0038394F" w:rsidRPr="00DF540D">
        <w:t>yield</w:t>
      </w:r>
      <w:r w:rsidR="00AC5753" w:rsidRPr="00DF540D">
        <w:t xml:space="preserve"> an </w:t>
      </w:r>
      <w:r w:rsidR="0038394F" w:rsidRPr="00DF540D">
        <w:t>effective</w:t>
      </w:r>
      <w:r w:rsidR="00AC5753" w:rsidRPr="00DF540D">
        <w:t xml:space="preserve"> result</w:t>
      </w:r>
      <w:r w:rsidR="00745849" w:rsidRPr="00DF540D">
        <w:t>.</w:t>
      </w:r>
    </w:p>
    <w:p w:rsidR="002F4F5D" w:rsidRPr="00DF540D" w:rsidRDefault="002F4F5D" w:rsidP="002F4F5D">
      <w:pPr>
        <w:rPr>
          <w:rFonts w:ascii="Arial" w:hAnsi="Arial" w:cs="Arial"/>
          <w:b/>
          <w:noProof/>
          <w:color w:val="000064"/>
        </w:rPr>
      </w:pPr>
    </w:p>
    <w:p w:rsidR="002F4F5D" w:rsidRPr="00DF540D" w:rsidRDefault="002F4F5D" w:rsidP="009533CC">
      <w:pPr>
        <w:rPr>
          <w:rFonts w:ascii="Arial" w:hAnsi="Arial" w:cs="Arial"/>
          <w:b/>
          <w:noProof/>
          <w:color w:val="000064"/>
          <w:sz w:val="20"/>
          <w:szCs w:val="20"/>
        </w:rPr>
      </w:pPr>
      <w:r w:rsidRPr="00DF540D">
        <w:rPr>
          <w:rFonts w:ascii="Arial" w:hAnsi="Arial" w:cs="Arial"/>
          <w:b/>
          <w:noProof/>
          <w:color w:val="000064"/>
          <w:sz w:val="20"/>
          <w:szCs w:val="20"/>
        </w:rPr>
        <w:t xml:space="preserve">Q. 7-20 How can standards be used to affect the average age of the vehicle fleet and the distribution of the age profile? </w:t>
      </w:r>
    </w:p>
    <w:p w:rsidR="002F4F5D" w:rsidRPr="00DF540D" w:rsidRDefault="002F4F5D" w:rsidP="009533CC">
      <w:r w:rsidRPr="00DF540D">
        <w:t xml:space="preserve">In summary, standards </w:t>
      </w:r>
      <w:r w:rsidR="00AA0463" w:rsidRPr="00DF540D">
        <w:t xml:space="preserve">should </w:t>
      </w:r>
      <w:r w:rsidRPr="00DF540D">
        <w:t xml:space="preserve">not affect </w:t>
      </w:r>
      <w:r w:rsidR="0038394F" w:rsidRPr="00DF540D">
        <w:t xml:space="preserve">the </w:t>
      </w:r>
      <w:r w:rsidRPr="00DF540D">
        <w:t xml:space="preserve">average </w:t>
      </w:r>
      <w:r w:rsidR="0038394F" w:rsidRPr="00DF540D">
        <w:t xml:space="preserve">age </w:t>
      </w:r>
      <w:r w:rsidRPr="00DF540D">
        <w:t>of fleet</w:t>
      </w:r>
      <w:r w:rsidR="0038394F" w:rsidRPr="00DF540D">
        <w:t>s</w:t>
      </w:r>
      <w:r w:rsidR="002A71FB" w:rsidRPr="00DF540D">
        <w:t xml:space="preserve"> or distribution of age profile</w:t>
      </w:r>
      <w:r w:rsidR="0038394F" w:rsidRPr="00DF540D">
        <w:t>. ‘I</w:t>
      </w:r>
      <w:r w:rsidRPr="00DF540D">
        <w:t>n service roadworthiness</w:t>
      </w:r>
      <w:r w:rsidR="0038394F" w:rsidRPr="00DF540D">
        <w:t>’</w:t>
      </w:r>
      <w:r w:rsidRPr="00DF540D">
        <w:t xml:space="preserve"> </w:t>
      </w:r>
      <w:r w:rsidR="0038394F" w:rsidRPr="00DF540D">
        <w:t>provides</w:t>
      </w:r>
      <w:r w:rsidR="002A71FB" w:rsidRPr="00DF540D">
        <w:t xml:space="preserve"> </w:t>
      </w:r>
      <w:r w:rsidR="0038394F" w:rsidRPr="00DF540D">
        <w:t>a</w:t>
      </w:r>
      <w:r w:rsidR="002A71FB" w:rsidRPr="00DF540D">
        <w:t xml:space="preserve"> better</w:t>
      </w:r>
      <w:r w:rsidRPr="00DF540D">
        <w:t xml:space="preserve"> benchmark.</w:t>
      </w:r>
    </w:p>
    <w:p w:rsidR="002F4F5D" w:rsidRPr="00DF540D" w:rsidRDefault="002F4F5D" w:rsidP="009533CC"/>
    <w:p w:rsidR="002F4F5D" w:rsidRPr="00DF540D" w:rsidRDefault="002F4F5D" w:rsidP="009533CC">
      <w:pPr>
        <w:rPr>
          <w:rFonts w:ascii="Arial" w:hAnsi="Arial" w:cs="Arial"/>
          <w:b/>
          <w:noProof/>
          <w:color w:val="000064"/>
          <w:sz w:val="20"/>
          <w:szCs w:val="20"/>
        </w:rPr>
      </w:pPr>
      <w:r w:rsidRPr="00DF540D">
        <w:rPr>
          <w:rFonts w:ascii="Arial" w:hAnsi="Arial" w:cs="Arial"/>
          <w:b/>
          <w:noProof/>
          <w:color w:val="000064"/>
          <w:sz w:val="20"/>
          <w:szCs w:val="20"/>
        </w:rPr>
        <w:t xml:space="preserve">Q. 7-21 Could consumer protection for personally imported new vehicles be left to consumer laws, and why/why not? </w:t>
      </w:r>
    </w:p>
    <w:p w:rsidR="002F4F5D" w:rsidRPr="00DF540D" w:rsidRDefault="00AA0463" w:rsidP="009533CC">
      <w:r w:rsidRPr="00DF540D">
        <w:t>No. It is</w:t>
      </w:r>
      <w:r w:rsidR="002F4F5D" w:rsidRPr="00DF540D">
        <w:t xml:space="preserve"> unreasonable to expect local importer</w:t>
      </w:r>
      <w:r w:rsidRPr="00DF540D">
        <w:t>s</w:t>
      </w:r>
      <w:r w:rsidR="002F4F5D" w:rsidRPr="00DF540D">
        <w:t xml:space="preserve"> to </w:t>
      </w:r>
      <w:r w:rsidRPr="00DF540D">
        <w:t>offer</w:t>
      </w:r>
      <w:r w:rsidR="002F4F5D" w:rsidRPr="00DF540D">
        <w:t xml:space="preserve"> warranty type protection for a personal import.</w:t>
      </w:r>
    </w:p>
    <w:p w:rsidR="002F4F5D" w:rsidRPr="00DF540D" w:rsidRDefault="002F4F5D" w:rsidP="009533CC"/>
    <w:p w:rsidR="002F4F5D" w:rsidRPr="00DF540D" w:rsidRDefault="002F4F5D" w:rsidP="009533CC">
      <w:pPr>
        <w:rPr>
          <w:rFonts w:ascii="Arial" w:hAnsi="Arial" w:cs="Arial"/>
          <w:b/>
          <w:noProof/>
          <w:color w:val="000064"/>
          <w:sz w:val="20"/>
          <w:szCs w:val="20"/>
        </w:rPr>
      </w:pPr>
      <w:r w:rsidRPr="00DF540D">
        <w:rPr>
          <w:rFonts w:ascii="Arial" w:hAnsi="Arial" w:cs="Arial"/>
          <w:b/>
          <w:noProof/>
          <w:color w:val="000064"/>
          <w:sz w:val="20"/>
          <w:szCs w:val="20"/>
        </w:rPr>
        <w:t xml:space="preserve">Q. 7-22 What impact would an increase in second hand imports and personally imported new cars have on the insurance industry? </w:t>
      </w:r>
    </w:p>
    <w:p w:rsidR="002F4F5D" w:rsidRPr="00DF540D" w:rsidRDefault="002F4F5D" w:rsidP="007D7B4B">
      <w:r w:rsidRPr="00DF540D">
        <w:t xml:space="preserve">The insurance industry </w:t>
      </w:r>
      <w:r w:rsidR="00AA0463" w:rsidRPr="00DF540D">
        <w:t xml:space="preserve">will be asked to underwrite </w:t>
      </w:r>
      <w:r w:rsidR="009F124F" w:rsidRPr="00DF540D">
        <w:t xml:space="preserve">obscure vehicles </w:t>
      </w:r>
      <w:r w:rsidR="008D2B1B">
        <w:t>some</w:t>
      </w:r>
      <w:r w:rsidR="009F124F" w:rsidRPr="00DF540D">
        <w:t xml:space="preserve"> at </w:t>
      </w:r>
      <w:r w:rsidR="00AA0463" w:rsidRPr="00DF540D">
        <w:t>lower price point</w:t>
      </w:r>
      <w:r w:rsidR="009F124F" w:rsidRPr="00DF540D">
        <w:t>s</w:t>
      </w:r>
      <w:r w:rsidR="00AA0463" w:rsidRPr="00DF540D">
        <w:t xml:space="preserve"> and </w:t>
      </w:r>
      <w:r w:rsidRPr="00DF540D">
        <w:t xml:space="preserve">will </w:t>
      </w:r>
      <w:r w:rsidR="00AA0463" w:rsidRPr="00DF540D">
        <w:t>no doubt gauge</w:t>
      </w:r>
      <w:r w:rsidRPr="00DF540D">
        <w:t xml:space="preserve"> </w:t>
      </w:r>
      <w:r w:rsidR="008D2B1B">
        <w:t>the</w:t>
      </w:r>
      <w:r w:rsidRPr="00DF540D">
        <w:t xml:space="preserve"> </w:t>
      </w:r>
      <w:r w:rsidR="009F124F" w:rsidRPr="00DF540D">
        <w:t xml:space="preserve">inherent </w:t>
      </w:r>
      <w:r w:rsidR="00AA0463" w:rsidRPr="00DF540D">
        <w:t xml:space="preserve">business </w:t>
      </w:r>
      <w:r w:rsidRPr="00DF540D">
        <w:t>risk and provide option</w:t>
      </w:r>
      <w:r w:rsidR="00AA0463" w:rsidRPr="00DF540D">
        <w:t>s</w:t>
      </w:r>
      <w:r w:rsidRPr="00DF540D">
        <w:t xml:space="preserve"> </w:t>
      </w:r>
      <w:r w:rsidR="00AA0463" w:rsidRPr="00DF540D">
        <w:t>for</w:t>
      </w:r>
      <w:r w:rsidRPr="00DF540D">
        <w:t xml:space="preserve"> cover</w:t>
      </w:r>
      <w:r w:rsidR="009F124F" w:rsidRPr="00DF540D">
        <w:t>age</w:t>
      </w:r>
      <w:r w:rsidRPr="00DF540D">
        <w:t xml:space="preserve"> accordingly</w:t>
      </w:r>
      <w:r w:rsidR="00AA0463" w:rsidRPr="00DF540D">
        <w:t xml:space="preserve">. This is an ancillary or indirect issue for the MVSA review and </w:t>
      </w:r>
      <w:r w:rsidR="001F4144" w:rsidRPr="00DF540D">
        <w:t xml:space="preserve">should be </w:t>
      </w:r>
      <w:r w:rsidR="007650C9" w:rsidRPr="00DF540D">
        <w:t>out of scope</w:t>
      </w:r>
      <w:r w:rsidRPr="00DF540D">
        <w:t>.</w:t>
      </w:r>
    </w:p>
    <w:p w:rsidR="002F4F5D" w:rsidRPr="00DF540D" w:rsidRDefault="002F4F5D" w:rsidP="002F4F5D"/>
    <w:p w:rsidR="002F4F5D" w:rsidRPr="00DF540D" w:rsidRDefault="002F4F5D" w:rsidP="007D7B4B">
      <w:pPr>
        <w:rPr>
          <w:rFonts w:ascii="Arial" w:hAnsi="Arial" w:cs="Arial"/>
          <w:b/>
          <w:noProof/>
          <w:color w:val="000064"/>
          <w:sz w:val="20"/>
          <w:szCs w:val="20"/>
        </w:rPr>
      </w:pPr>
      <w:r w:rsidRPr="00DF540D">
        <w:rPr>
          <w:rFonts w:ascii="Arial" w:hAnsi="Arial" w:cs="Arial"/>
          <w:b/>
          <w:noProof/>
          <w:color w:val="000064"/>
          <w:sz w:val="20"/>
          <w:szCs w:val="20"/>
        </w:rPr>
        <w:t xml:space="preserve">Q. 7-23 How could the Government facilitate vehicle safety recalls for vehicles not imported by manufacturers? </w:t>
      </w:r>
    </w:p>
    <w:p w:rsidR="002F4F5D" w:rsidRPr="00DF540D" w:rsidRDefault="0064764D" w:rsidP="007D7B4B">
      <w:r w:rsidRPr="00DF540D">
        <w:t>Attention to v</w:t>
      </w:r>
      <w:r w:rsidR="002F4F5D" w:rsidRPr="00DF540D">
        <w:t xml:space="preserve">ehicle safety </w:t>
      </w:r>
      <w:r w:rsidR="00C41377" w:rsidRPr="00DF540D">
        <w:t>should</w:t>
      </w:r>
      <w:r w:rsidR="002F4F5D" w:rsidRPr="00DF540D">
        <w:t xml:space="preserve"> continue</w:t>
      </w:r>
      <w:r w:rsidRPr="00DF540D">
        <w:t xml:space="preserve"> under </w:t>
      </w:r>
      <w:r w:rsidR="00B913DF" w:rsidRPr="00DF540D">
        <w:t>this</w:t>
      </w:r>
      <w:r w:rsidRPr="00DF540D">
        <w:t xml:space="preserve"> framework to </w:t>
      </w:r>
      <w:r w:rsidR="00990131" w:rsidRPr="00DF540D">
        <w:t>im</w:t>
      </w:r>
      <w:r w:rsidRPr="00DF540D">
        <w:t>pose an ‘obligation’ on importers</w:t>
      </w:r>
    </w:p>
    <w:p w:rsidR="0064764D" w:rsidRPr="00DF540D" w:rsidRDefault="0064764D" w:rsidP="007D7B4B"/>
    <w:p w:rsidR="002F4F5D" w:rsidRPr="00DF540D" w:rsidRDefault="002F4F5D" w:rsidP="007D7B4B">
      <w:r w:rsidRPr="00DF540D">
        <w:t>Individuals must commit to responsibility (through legal instrument) to</w:t>
      </w:r>
      <w:r w:rsidR="00304BCD" w:rsidRPr="00DF540D">
        <w:t xml:space="preserve"> any</w:t>
      </w:r>
      <w:r w:rsidRPr="00DF540D">
        <w:t xml:space="preserve"> </w:t>
      </w:r>
      <w:r w:rsidR="00304BCD" w:rsidRPr="00DF540D">
        <w:t xml:space="preserve">potential </w:t>
      </w:r>
      <w:r w:rsidRPr="00DF540D">
        <w:t xml:space="preserve">issues arising for safety recalls </w:t>
      </w:r>
      <w:r w:rsidR="0064764D" w:rsidRPr="00DF540D">
        <w:t>and/or identified safety issues.</w:t>
      </w:r>
      <w:r w:rsidR="00C120E8" w:rsidRPr="00DF540D">
        <w:t xml:space="preserve"> </w:t>
      </w:r>
      <w:r w:rsidR="0064764D" w:rsidRPr="00DF540D">
        <w:t>Whether c</w:t>
      </w:r>
      <w:r w:rsidRPr="00DF540D">
        <w:t>orporations, partnerships, or individuals</w:t>
      </w:r>
      <w:r w:rsidR="00C120E8" w:rsidRPr="00DF540D">
        <w:t>, there must be commitment to</w:t>
      </w:r>
      <w:r w:rsidRPr="00DF540D">
        <w:t xml:space="preserve"> </w:t>
      </w:r>
      <w:r w:rsidR="0064764D" w:rsidRPr="00DF540D">
        <w:t xml:space="preserve">a level of </w:t>
      </w:r>
      <w:r w:rsidRPr="00DF540D">
        <w:t xml:space="preserve">responsibility (through </w:t>
      </w:r>
      <w:r w:rsidR="0064764D" w:rsidRPr="00DF540D">
        <w:t xml:space="preserve">the MVSA </w:t>
      </w:r>
      <w:r w:rsidRPr="00DF540D">
        <w:t xml:space="preserve">legal instrument) and </w:t>
      </w:r>
      <w:r w:rsidR="00C120E8" w:rsidRPr="00DF540D">
        <w:t xml:space="preserve">potentially </w:t>
      </w:r>
      <w:r w:rsidR="0064764D" w:rsidRPr="00DF540D">
        <w:t xml:space="preserve">accept </w:t>
      </w:r>
      <w:r w:rsidRPr="00DF540D">
        <w:t xml:space="preserve">liability for issues arising </w:t>
      </w:r>
      <w:r w:rsidR="0064764D" w:rsidRPr="00DF540D">
        <w:t>from</w:t>
      </w:r>
      <w:r w:rsidRPr="00DF540D">
        <w:t xml:space="preserve"> safety recalls </w:t>
      </w:r>
      <w:r w:rsidR="0064764D" w:rsidRPr="00DF540D">
        <w:t>and/or other identified safety-related matters.</w:t>
      </w:r>
    </w:p>
    <w:p w:rsidR="002F4F5D" w:rsidRPr="00DF540D" w:rsidRDefault="002F4F5D" w:rsidP="002F4F5D"/>
    <w:p w:rsidR="002F4F5D" w:rsidRPr="00DF540D" w:rsidRDefault="002F4F5D" w:rsidP="007D7B4B">
      <w:pPr>
        <w:rPr>
          <w:rFonts w:ascii="Arial" w:hAnsi="Arial" w:cs="Arial"/>
          <w:b/>
          <w:noProof/>
          <w:color w:val="000064"/>
          <w:sz w:val="20"/>
          <w:szCs w:val="20"/>
        </w:rPr>
      </w:pPr>
      <w:r w:rsidRPr="00DF540D">
        <w:rPr>
          <w:rFonts w:ascii="Arial" w:hAnsi="Arial" w:cs="Arial"/>
          <w:b/>
          <w:noProof/>
          <w:color w:val="000064"/>
          <w:sz w:val="20"/>
          <w:szCs w:val="20"/>
        </w:rPr>
        <w:t xml:space="preserve">Q. 7-24 Do you agree that the concessional options could be grouped into risk categories to allow the possible consolidation of the scheme? If so, do you agree with the model proposed in this review? </w:t>
      </w:r>
    </w:p>
    <w:p w:rsidR="002F4F5D" w:rsidRPr="00DF540D" w:rsidRDefault="006A2651" w:rsidP="007D7B4B">
      <w:r w:rsidRPr="00DF540D">
        <w:t xml:space="preserve">The model requires further refinements, e.g. the </w:t>
      </w:r>
      <w:r w:rsidR="002F4F5D" w:rsidRPr="00DF540D">
        <w:t xml:space="preserve">high </w:t>
      </w:r>
      <w:r w:rsidRPr="00DF540D">
        <w:t>r</w:t>
      </w:r>
      <w:r w:rsidR="002F4F5D" w:rsidRPr="00DF540D">
        <w:t xml:space="preserve">isk category needs to be reviewed </w:t>
      </w:r>
      <w:r w:rsidR="00C120E8" w:rsidRPr="00DF540D">
        <w:t>with</w:t>
      </w:r>
      <w:r w:rsidR="005323C6" w:rsidRPr="00DF540D">
        <w:t xml:space="preserve"> a risk matrix.</w:t>
      </w:r>
    </w:p>
    <w:p w:rsidR="002F4F5D" w:rsidRPr="00DF540D" w:rsidRDefault="002F4F5D" w:rsidP="002F4F5D">
      <w:pPr>
        <w:rPr>
          <w:rFonts w:ascii="Arial" w:hAnsi="Arial" w:cs="Arial"/>
          <w:b/>
          <w:noProof/>
          <w:color w:val="000064"/>
          <w:sz w:val="24"/>
          <w:szCs w:val="24"/>
        </w:rPr>
      </w:pPr>
    </w:p>
    <w:p w:rsidR="002F4F5D" w:rsidRPr="00DF540D" w:rsidRDefault="002F4F5D" w:rsidP="007D7B4B">
      <w:pPr>
        <w:rPr>
          <w:rFonts w:ascii="Arial" w:hAnsi="Arial" w:cs="Arial"/>
          <w:b/>
          <w:noProof/>
          <w:color w:val="000064"/>
          <w:sz w:val="20"/>
          <w:szCs w:val="20"/>
        </w:rPr>
      </w:pPr>
      <w:r w:rsidRPr="00DF540D">
        <w:rPr>
          <w:rFonts w:ascii="Arial" w:hAnsi="Arial" w:cs="Arial"/>
          <w:b/>
          <w:noProof/>
          <w:color w:val="000064"/>
          <w:sz w:val="20"/>
          <w:szCs w:val="20"/>
        </w:rPr>
        <w:t xml:space="preserve">Q. 7-25 In the event that barriers to the importation of quality second-hand vehicles are reduced, would there still be a need for the Register of Specialist and Enthusiast Vehicles? </w:t>
      </w:r>
    </w:p>
    <w:p w:rsidR="00AF6336" w:rsidRPr="00DF540D" w:rsidRDefault="00AF6336" w:rsidP="007D7B4B">
      <w:r w:rsidRPr="00DF540D">
        <w:t>Yes</w:t>
      </w:r>
      <w:r w:rsidR="000917DC" w:rsidRPr="00DF540D">
        <w:t xml:space="preserve"> there is still a need inter alia for a Register to </w:t>
      </w:r>
      <w:r w:rsidRPr="00DF540D">
        <w:t>identify and manage risks; conditional registration.</w:t>
      </w:r>
    </w:p>
    <w:p w:rsidR="00AF6336" w:rsidRPr="00DF540D" w:rsidRDefault="00AF6336" w:rsidP="007D7B4B"/>
    <w:p w:rsidR="000917DC" w:rsidRPr="00DF540D" w:rsidRDefault="00AF6336" w:rsidP="007D7B4B">
      <w:r w:rsidRPr="00DF540D">
        <w:t>The ATA believes</w:t>
      </w:r>
      <w:r w:rsidR="002F4F5D" w:rsidRPr="00DF540D">
        <w:t xml:space="preserve"> the regulations implemented under the </w:t>
      </w:r>
      <w:r w:rsidRPr="00DF540D">
        <w:t>MVSA</w:t>
      </w:r>
      <w:r w:rsidR="002F4F5D" w:rsidRPr="00DF540D">
        <w:t xml:space="preserve"> do not limit competition, </w:t>
      </w:r>
      <w:r w:rsidR="000917DC" w:rsidRPr="00DF540D">
        <w:t xml:space="preserve">do </w:t>
      </w:r>
      <w:r w:rsidR="002F4F5D" w:rsidRPr="00DF540D">
        <w:t xml:space="preserve">promote best practice in automotive design and allow motor vehicle enthusiasts to import safe on-road vehicles. </w:t>
      </w:r>
    </w:p>
    <w:p w:rsidR="000917DC" w:rsidRPr="00DF540D" w:rsidRDefault="000917DC" w:rsidP="007D7B4B"/>
    <w:p w:rsidR="002F4F5D" w:rsidRPr="00DF540D" w:rsidRDefault="002F4F5D" w:rsidP="007D7B4B">
      <w:r w:rsidRPr="00DF540D">
        <w:t xml:space="preserve">Further, the ADR do not constrain in-service modifications, provided </w:t>
      </w:r>
      <w:r w:rsidR="000917DC" w:rsidRPr="00DF540D">
        <w:t xml:space="preserve">that </w:t>
      </w:r>
      <w:r w:rsidRPr="00DF540D">
        <w:t>the process is risk-managed and modification</w:t>
      </w:r>
      <w:r w:rsidR="000917DC" w:rsidRPr="00DF540D">
        <w:t>s</w:t>
      </w:r>
      <w:r w:rsidRPr="00DF540D">
        <w:t xml:space="preserve"> that warrant continued compliance assurance </w:t>
      </w:r>
      <w:r w:rsidR="000917DC" w:rsidRPr="00DF540D">
        <w:t xml:space="preserve">are undertaken </w:t>
      </w:r>
      <w:r w:rsidRPr="00DF540D">
        <w:t>by a suitable engineering signatory. The NHVR has further work to do in this area to address current disparities in signatory management practices by road agencies.</w:t>
      </w:r>
    </w:p>
    <w:p w:rsidR="00DE637D" w:rsidRPr="00DF540D" w:rsidRDefault="00DE637D" w:rsidP="007D7B4B"/>
    <w:p w:rsidR="00DE637D" w:rsidRPr="00DF540D" w:rsidRDefault="00DE637D" w:rsidP="00DE637D">
      <w:pPr>
        <w:rPr>
          <w:b/>
        </w:rPr>
      </w:pPr>
      <w:r w:rsidRPr="00DF540D">
        <w:rPr>
          <w:b/>
        </w:rPr>
        <w:t xml:space="preserve">Recommendation </w:t>
      </w:r>
      <w:r w:rsidR="00EF3B6C">
        <w:rPr>
          <w:b/>
        </w:rPr>
        <w:t>5</w:t>
      </w:r>
    </w:p>
    <w:p w:rsidR="00DE637D" w:rsidRPr="00DF540D" w:rsidRDefault="00DE637D" w:rsidP="00DE637D">
      <w:pPr>
        <w:rPr>
          <w:b/>
        </w:rPr>
      </w:pPr>
      <w:r w:rsidRPr="00DF540D">
        <w:rPr>
          <w:b/>
        </w:rPr>
        <w:t>That changes to the MVSA and/or the ADR do not seek to constrain in-service modifications and that modifications warranting ongoing compliance assurance are undertaken by a suitable engineering signatory.</w:t>
      </w:r>
    </w:p>
    <w:p w:rsidR="00C41377" w:rsidRPr="00DF540D" w:rsidRDefault="00C41377" w:rsidP="007D7B4B"/>
    <w:p w:rsidR="002F4F5D" w:rsidRPr="00DF540D" w:rsidRDefault="002F4F5D" w:rsidP="007D7B4B">
      <w:pPr>
        <w:rPr>
          <w:rFonts w:ascii="Arial" w:hAnsi="Arial" w:cs="Arial"/>
          <w:b/>
          <w:noProof/>
          <w:color w:val="000064"/>
          <w:sz w:val="20"/>
          <w:szCs w:val="20"/>
        </w:rPr>
      </w:pPr>
      <w:r w:rsidRPr="00DF540D">
        <w:rPr>
          <w:rFonts w:ascii="Arial" w:hAnsi="Arial" w:cs="Arial"/>
          <w:b/>
          <w:noProof/>
          <w:color w:val="000064"/>
          <w:sz w:val="20"/>
          <w:szCs w:val="20"/>
        </w:rPr>
        <w:t xml:space="preserve">Q. 7-26 If the Register is still required, how could it be improved to increase standards and reduce regulatory burden? </w:t>
      </w:r>
    </w:p>
    <w:p w:rsidR="002E550E" w:rsidRPr="00DF540D" w:rsidRDefault="002E550E" w:rsidP="002E550E">
      <w:r w:rsidRPr="00DF540D">
        <w:t xml:space="preserve">Australian vehicles still need to meet international standards but more timely </w:t>
      </w:r>
      <w:r w:rsidR="00DC2E2B" w:rsidRPr="00DF540D">
        <w:t xml:space="preserve">administrative </w:t>
      </w:r>
      <w:r w:rsidRPr="00DF540D">
        <w:t xml:space="preserve">services are </w:t>
      </w:r>
      <w:r w:rsidR="00DC2E2B" w:rsidRPr="00DF540D">
        <w:t>requested by</w:t>
      </w:r>
      <w:r w:rsidRPr="00DF540D">
        <w:t xml:space="preserve"> mainstream industry</w:t>
      </w:r>
      <w:r w:rsidR="00DC2E2B" w:rsidRPr="00DF540D">
        <w:t>.</w:t>
      </w:r>
    </w:p>
    <w:p w:rsidR="002E550E" w:rsidRPr="00DF540D" w:rsidRDefault="002E550E" w:rsidP="002E550E"/>
    <w:p w:rsidR="002F4F5D" w:rsidRPr="00DF540D" w:rsidRDefault="002F4F5D" w:rsidP="007D7B4B">
      <w:r w:rsidRPr="00DF540D">
        <w:t>Concessional schemes (including the Registered Automotive Workshop scheme) allow for non-compliance of non-standard vehicles to be approved for importation. These concessions provide a legal way for people to import non-compliant vehicles. However, scheme users should pay the full cost of associated administration and enforcement</w:t>
      </w:r>
      <w:r w:rsidR="00874E03" w:rsidRPr="00DF540D">
        <w:t xml:space="preserve"> activity</w:t>
      </w:r>
      <w:r w:rsidRPr="00DF540D">
        <w:t>, otherwise there will be cost transfers to other parties.</w:t>
      </w:r>
    </w:p>
    <w:p w:rsidR="00611E68" w:rsidRPr="00DF540D" w:rsidRDefault="00611E68" w:rsidP="007D7B4B"/>
    <w:p w:rsidR="002F4F5D" w:rsidRPr="00DF540D" w:rsidRDefault="002F4F5D" w:rsidP="007D7B4B">
      <w:r w:rsidRPr="00DF540D">
        <w:t xml:space="preserve">The </w:t>
      </w:r>
      <w:r w:rsidR="007F09A1" w:rsidRPr="00DF540D">
        <w:t xml:space="preserve">2001 MVSA </w:t>
      </w:r>
      <w:r w:rsidRPr="00DF540D">
        <w:t>amendment</w:t>
      </w:r>
      <w:r w:rsidR="00B11D79">
        <w:t>s</w:t>
      </w:r>
      <w:r w:rsidRPr="00DF540D">
        <w:t xml:space="preserve"> addressed market demand for low volume vehicles through the creation of a new approvals regime. The RAW scheme was updated to assist low volume manufacturers of new vehicles to comply with ADR and compete in the domestic market. The amended approval regime provides more oversight and ADR compliance than the previous system. The regulation also provides consumers with a network of services and spare parts, creating a responsible entity to conduct safety recalls and restrict the </w:t>
      </w:r>
      <w:r w:rsidRPr="00DF540D">
        <w:lastRenderedPageBreak/>
        <w:t>scheme to legitimate vehicle converters. Th</w:t>
      </w:r>
      <w:r w:rsidR="007F09A1" w:rsidRPr="00DF540D">
        <w:t>is</w:t>
      </w:r>
      <w:r w:rsidRPr="00DF540D">
        <w:t xml:space="preserve"> amendment also increased allowable volumes of imported vehicles including both spec</w:t>
      </w:r>
      <w:r w:rsidR="002E550E" w:rsidRPr="00DF540D">
        <w:t>ialist and enthusiast vehicles.</w:t>
      </w:r>
    </w:p>
    <w:p w:rsidR="002F4F5D" w:rsidRPr="00DF540D" w:rsidRDefault="002F4F5D" w:rsidP="002F4F5D"/>
    <w:p w:rsidR="002F4F5D" w:rsidRPr="00DF540D" w:rsidRDefault="002E550E" w:rsidP="007D7B4B">
      <w:r w:rsidRPr="00DF540D">
        <w:t>Nevertheless</w:t>
      </w:r>
      <w:r w:rsidR="002F4F5D" w:rsidRPr="00DF540D">
        <w:t xml:space="preserve">, the RAW scheme is labour intensive for </w:t>
      </w:r>
      <w:r w:rsidR="00706BFC" w:rsidRPr="00DF540D">
        <w:t>agencies</w:t>
      </w:r>
      <w:r w:rsidR="001F6FC7" w:rsidRPr="00DF540D">
        <w:t xml:space="preserve"> and</w:t>
      </w:r>
      <w:r w:rsidR="002F4F5D" w:rsidRPr="00DF540D">
        <w:t xml:space="preserve"> this has </w:t>
      </w:r>
      <w:r w:rsidR="004D674B" w:rsidRPr="00DF540D">
        <w:t>led to</w:t>
      </w:r>
      <w:r w:rsidR="002F4F5D" w:rsidRPr="00DF540D">
        <w:t xml:space="preserve"> mainstream indust</w:t>
      </w:r>
      <w:r w:rsidR="004D674B" w:rsidRPr="00DF540D">
        <w:t>ry</w:t>
      </w:r>
      <w:r w:rsidR="002F4F5D" w:rsidRPr="00DF540D">
        <w:t xml:space="preserve"> </w:t>
      </w:r>
      <w:r w:rsidR="00706BFC" w:rsidRPr="00DF540D">
        <w:t>(</w:t>
      </w:r>
      <w:r w:rsidR="004D674B" w:rsidRPr="00DF540D">
        <w:t>including the</w:t>
      </w:r>
      <w:r w:rsidR="002F4F5D" w:rsidRPr="00DF540D">
        <w:t xml:space="preserve"> heavy vehicle industry</w:t>
      </w:r>
      <w:r w:rsidR="00706BFC" w:rsidRPr="00DF540D">
        <w:t>) becoming</w:t>
      </w:r>
      <w:r w:rsidR="004D674B" w:rsidRPr="00DF540D">
        <w:t xml:space="preserve"> </w:t>
      </w:r>
      <w:r w:rsidR="002F4F5D" w:rsidRPr="00DF540D">
        <w:t xml:space="preserve">desperate to see </w:t>
      </w:r>
      <w:r w:rsidR="00706BFC" w:rsidRPr="00DF540D">
        <w:t xml:space="preserve">the few </w:t>
      </w:r>
      <w:r w:rsidR="002F4F5D" w:rsidRPr="00DF540D">
        <w:t xml:space="preserve">ADR of </w:t>
      </w:r>
      <w:r w:rsidR="004D674B" w:rsidRPr="00DF540D">
        <w:t>concern</w:t>
      </w:r>
      <w:r w:rsidR="002F4F5D" w:rsidRPr="00DF540D">
        <w:t xml:space="preserve"> updated and the backlog of issues resolved. </w:t>
      </w:r>
      <w:r w:rsidRPr="00DF540D">
        <w:t>A stronger</w:t>
      </w:r>
      <w:r w:rsidR="004D674B" w:rsidRPr="00DF540D">
        <w:t xml:space="preserve"> </w:t>
      </w:r>
      <w:r w:rsidR="00C0160C" w:rsidRPr="00DF540D">
        <w:t>focus on</w:t>
      </w:r>
      <w:r w:rsidR="002F4F5D" w:rsidRPr="00DF540D">
        <w:t xml:space="preserve"> the core safety objectives</w:t>
      </w:r>
      <w:r w:rsidR="006C6FAB" w:rsidRPr="00DF540D">
        <w:t xml:space="preserve"> of the MVSA</w:t>
      </w:r>
      <w:r w:rsidR="002F4F5D" w:rsidRPr="00DF540D">
        <w:t xml:space="preserve"> </w:t>
      </w:r>
      <w:r w:rsidR="003505C4">
        <w:t>could</w:t>
      </w:r>
      <w:r w:rsidR="002F4F5D" w:rsidRPr="00DF540D">
        <w:t xml:space="preserve"> be achieved if second-hand vehicle importers supplying vehicles to satisfy enthusiasts </w:t>
      </w:r>
      <w:r w:rsidR="00611E68" w:rsidRPr="00DF540D">
        <w:t>attract</w:t>
      </w:r>
      <w:r w:rsidR="002F4F5D" w:rsidRPr="00DF540D">
        <w:t xml:space="preserve"> fees match</w:t>
      </w:r>
      <w:r w:rsidR="00D71184" w:rsidRPr="00DF540D">
        <w:t>ing</w:t>
      </w:r>
      <w:r w:rsidR="002F4F5D" w:rsidRPr="00DF540D">
        <w:t xml:space="preserve"> ful</w:t>
      </w:r>
      <w:r w:rsidR="00B60F95" w:rsidRPr="00DF540D">
        <w:t>l cost recovery under the MVSA.</w:t>
      </w:r>
    </w:p>
    <w:p w:rsidR="002F4F5D" w:rsidRPr="00DF540D" w:rsidRDefault="002F4F5D" w:rsidP="002F4F5D"/>
    <w:p w:rsidR="002F4F5D" w:rsidRPr="00DF540D" w:rsidRDefault="002F4F5D" w:rsidP="007D7B4B">
      <w:pPr>
        <w:rPr>
          <w:rFonts w:ascii="Arial" w:hAnsi="Arial" w:cs="Arial"/>
          <w:b/>
          <w:noProof/>
          <w:color w:val="000064"/>
          <w:sz w:val="20"/>
          <w:szCs w:val="20"/>
        </w:rPr>
      </w:pPr>
      <w:r w:rsidRPr="00DF540D">
        <w:rPr>
          <w:rFonts w:ascii="Arial" w:hAnsi="Arial" w:cs="Arial"/>
          <w:b/>
          <w:noProof/>
          <w:color w:val="000064"/>
          <w:sz w:val="20"/>
          <w:szCs w:val="20"/>
        </w:rPr>
        <w:t>Q. 7-27 Could the regulation of the Registered Automotive Workshops and the New Low Volume Manufacturers be combined under a new legislative framework (Fig</w:t>
      </w:r>
      <w:r w:rsidR="009415DB" w:rsidRPr="00DF540D">
        <w:rPr>
          <w:rFonts w:ascii="Arial" w:hAnsi="Arial" w:cs="Arial"/>
          <w:b/>
          <w:noProof/>
          <w:color w:val="000064"/>
          <w:sz w:val="20"/>
          <w:szCs w:val="20"/>
        </w:rPr>
        <w:t>ure</w:t>
      </w:r>
      <w:r w:rsidRPr="00DF540D">
        <w:rPr>
          <w:rFonts w:ascii="Arial" w:hAnsi="Arial" w:cs="Arial"/>
          <w:b/>
          <w:noProof/>
          <w:color w:val="000064"/>
          <w:sz w:val="20"/>
          <w:szCs w:val="20"/>
        </w:rPr>
        <w:t xml:space="preserve"> 3)? </w:t>
      </w:r>
    </w:p>
    <w:p w:rsidR="002F4F5D" w:rsidRPr="00DF540D" w:rsidRDefault="002F4F5D" w:rsidP="007D7B4B">
      <w:r w:rsidRPr="00DF540D">
        <w:t>Yes, this</w:t>
      </w:r>
      <w:r w:rsidR="00B60F95" w:rsidRPr="00DF540D">
        <w:t xml:space="preserve"> </w:t>
      </w:r>
      <w:r w:rsidR="00BA0B54">
        <w:t>option</w:t>
      </w:r>
      <w:r w:rsidR="00B60F95" w:rsidRPr="00DF540D">
        <w:t xml:space="preserve"> </w:t>
      </w:r>
      <w:r w:rsidRPr="00DF540D">
        <w:t>appears feasible.</w:t>
      </w:r>
    </w:p>
    <w:p w:rsidR="002F4F5D" w:rsidRDefault="002F4F5D" w:rsidP="002F4F5D"/>
    <w:p w:rsidR="002F4F5D" w:rsidRPr="00DF540D" w:rsidRDefault="002F4F5D" w:rsidP="007D7B4B">
      <w:pPr>
        <w:rPr>
          <w:rFonts w:ascii="Arial" w:hAnsi="Arial" w:cs="Arial"/>
          <w:b/>
          <w:noProof/>
          <w:color w:val="000064"/>
          <w:sz w:val="20"/>
          <w:szCs w:val="20"/>
        </w:rPr>
      </w:pPr>
      <w:r w:rsidRPr="00DF540D">
        <w:rPr>
          <w:rFonts w:ascii="Arial" w:hAnsi="Arial" w:cs="Arial"/>
          <w:b/>
          <w:noProof/>
          <w:color w:val="000064"/>
          <w:sz w:val="20"/>
          <w:szCs w:val="20"/>
        </w:rPr>
        <w:t xml:space="preserve">Q. 8-1 Do you have any comment on the compliance cost assumptions? </w:t>
      </w:r>
    </w:p>
    <w:p w:rsidR="002F4F5D" w:rsidRPr="00DF540D" w:rsidRDefault="00AF6336" w:rsidP="007D7B4B">
      <w:r w:rsidRPr="00DF540D">
        <w:t>N</w:t>
      </w:r>
      <w:r w:rsidR="002F4F5D" w:rsidRPr="00DF540D">
        <w:t xml:space="preserve">ew full volume costs </w:t>
      </w:r>
      <w:r w:rsidRPr="00DF540D">
        <w:t>featured</w:t>
      </w:r>
      <w:r w:rsidR="007A5671" w:rsidRPr="00DF540D">
        <w:t xml:space="preserve"> </w:t>
      </w:r>
      <w:r w:rsidR="005B703F" w:rsidRPr="00DF540D">
        <w:t xml:space="preserve">in the options paper </w:t>
      </w:r>
      <w:r w:rsidR="00FC0E8F" w:rsidRPr="00DF540D">
        <w:t>appear</w:t>
      </w:r>
      <w:r w:rsidR="002F4F5D" w:rsidRPr="00DF540D">
        <w:t xml:space="preserve"> </w:t>
      </w:r>
      <w:r w:rsidR="007A5671" w:rsidRPr="00DF540D">
        <w:t>skewed</w:t>
      </w:r>
      <w:r w:rsidR="005B703F" w:rsidRPr="00DF540D">
        <w:t>,</w:t>
      </w:r>
      <w:r w:rsidR="007A5671" w:rsidRPr="00DF540D">
        <w:t xml:space="preserve"> or </w:t>
      </w:r>
      <w:r w:rsidR="005B703F" w:rsidRPr="00DF540D">
        <w:t xml:space="preserve">at least </w:t>
      </w:r>
      <w:r w:rsidR="007A5671" w:rsidRPr="00DF540D">
        <w:t>influenced</w:t>
      </w:r>
      <w:r w:rsidR="005B703F" w:rsidRPr="00DF540D">
        <w:t xml:space="preserve"> to some degree,</w:t>
      </w:r>
      <w:r w:rsidR="002F4F5D" w:rsidRPr="00DF540D">
        <w:t xml:space="preserve"> by high volume</w:t>
      </w:r>
      <w:r w:rsidR="007A5671" w:rsidRPr="00DF540D">
        <w:t>s</w:t>
      </w:r>
      <w:r w:rsidR="002F4F5D" w:rsidRPr="00DF540D">
        <w:t xml:space="preserve"> of </w:t>
      </w:r>
      <w:r w:rsidRPr="00DF540D">
        <w:t>some</w:t>
      </w:r>
      <w:r w:rsidR="002F4F5D" w:rsidRPr="00DF540D">
        <w:t xml:space="preserve"> vehicles</w:t>
      </w:r>
      <w:r w:rsidR="00267103" w:rsidRPr="00DF540D">
        <w:t>,</w:t>
      </w:r>
      <w:r w:rsidR="002F4F5D" w:rsidRPr="00DF540D">
        <w:t xml:space="preserve"> </w:t>
      </w:r>
      <w:r w:rsidR="00B60F95" w:rsidRPr="00DF540D">
        <w:t xml:space="preserve">and </w:t>
      </w:r>
      <w:r w:rsidR="005B703F" w:rsidRPr="00DF540D">
        <w:t>the ‘</w:t>
      </w:r>
      <w:r w:rsidR="007A5671" w:rsidRPr="00DF540D">
        <w:t>33,333 concessional imports</w:t>
      </w:r>
      <w:r w:rsidR="005B703F" w:rsidRPr="00DF540D">
        <w:t>’</w:t>
      </w:r>
      <w:r w:rsidR="007A5671" w:rsidRPr="00DF540D">
        <w:t xml:space="preserve"> noted. This latter figure also seems too low.</w:t>
      </w:r>
    </w:p>
    <w:p w:rsidR="002F4F5D" w:rsidRPr="00DF540D" w:rsidRDefault="002F4F5D" w:rsidP="002F4F5D"/>
    <w:p w:rsidR="002F4F5D" w:rsidRPr="00DF540D" w:rsidRDefault="002F4F5D" w:rsidP="007D7B4B">
      <w:pPr>
        <w:rPr>
          <w:rFonts w:ascii="Arial" w:hAnsi="Arial" w:cs="Arial"/>
          <w:b/>
          <w:noProof/>
          <w:color w:val="000064"/>
          <w:sz w:val="20"/>
          <w:szCs w:val="20"/>
        </w:rPr>
      </w:pPr>
      <w:r w:rsidRPr="00DF540D">
        <w:rPr>
          <w:rFonts w:ascii="Arial" w:hAnsi="Arial" w:cs="Arial"/>
          <w:b/>
          <w:noProof/>
          <w:color w:val="000064"/>
          <w:sz w:val="20"/>
          <w:szCs w:val="20"/>
        </w:rPr>
        <w:t>Q. 9-1 What transitional arrangements, including length of notice period, should be put in place to</w:t>
      </w:r>
      <w:r w:rsidRPr="00DF540D">
        <w:rPr>
          <w:rFonts w:ascii="Arial" w:hAnsi="Arial" w:cs="Arial"/>
          <w:b/>
          <w:noProof/>
          <w:color w:val="000064"/>
        </w:rPr>
        <w:t xml:space="preserve"> </w:t>
      </w:r>
      <w:r w:rsidRPr="00DF540D">
        <w:rPr>
          <w:rFonts w:ascii="Arial" w:hAnsi="Arial" w:cs="Arial"/>
          <w:b/>
          <w:noProof/>
          <w:color w:val="000064"/>
          <w:sz w:val="20"/>
          <w:szCs w:val="20"/>
        </w:rPr>
        <w:t>assist businesses to adjust to potential changes in the regulatory framework?</w:t>
      </w:r>
    </w:p>
    <w:p w:rsidR="002F4F5D" w:rsidRPr="00DF540D" w:rsidRDefault="00FC0E8F" w:rsidP="007D7B4B">
      <w:r w:rsidRPr="00DF540D">
        <w:t>The time</w:t>
      </w:r>
      <w:r w:rsidR="002F4F5D" w:rsidRPr="00DF540D">
        <w:t xml:space="preserve"> period </w:t>
      </w:r>
      <w:r w:rsidRPr="00DF540D">
        <w:t xml:space="preserve">for notice </w:t>
      </w:r>
      <w:r w:rsidR="002F4F5D" w:rsidRPr="00DF540D">
        <w:t xml:space="preserve">should be not less than </w:t>
      </w:r>
      <w:r w:rsidRPr="00DF540D">
        <w:t>twelve</w:t>
      </w:r>
      <w:r w:rsidR="002F4F5D" w:rsidRPr="00DF540D">
        <w:t xml:space="preserve"> months for new models</w:t>
      </w:r>
      <w:r w:rsidR="00AF6336" w:rsidRPr="00DF540D">
        <w:t>,</w:t>
      </w:r>
      <w:r w:rsidR="002F4F5D" w:rsidRPr="00DF540D">
        <w:t xml:space="preserve"> and not less than </w:t>
      </w:r>
      <w:r w:rsidRPr="00DF540D">
        <w:t>six</w:t>
      </w:r>
      <w:r w:rsidR="002F4F5D" w:rsidRPr="00DF540D">
        <w:t xml:space="preserve"> months for existing models</w:t>
      </w:r>
      <w:r w:rsidRPr="00DF540D">
        <w:t xml:space="preserve"> - </w:t>
      </w:r>
      <w:r w:rsidR="002F4F5D" w:rsidRPr="00DF540D">
        <w:t xml:space="preserve">from </w:t>
      </w:r>
      <w:r w:rsidR="00AF6336" w:rsidRPr="00DF540D">
        <w:t xml:space="preserve">the </w:t>
      </w:r>
      <w:r w:rsidR="002F4F5D" w:rsidRPr="00DF540D">
        <w:t xml:space="preserve">date </w:t>
      </w:r>
      <w:r w:rsidR="00D71184" w:rsidRPr="00DF540D">
        <w:t xml:space="preserve">the </w:t>
      </w:r>
      <w:r w:rsidR="009415DB" w:rsidRPr="00DF540D">
        <w:t>new</w:t>
      </w:r>
      <w:r w:rsidR="002F4F5D" w:rsidRPr="00DF540D">
        <w:t xml:space="preserve"> </w:t>
      </w:r>
      <w:r w:rsidR="00AF6336" w:rsidRPr="00DF540D">
        <w:t xml:space="preserve">amendments </w:t>
      </w:r>
      <w:r w:rsidR="009415DB" w:rsidRPr="00DF540D">
        <w:t>enter in</w:t>
      </w:r>
      <w:r w:rsidR="00AF6336" w:rsidRPr="00DF540D">
        <w:t>to force</w:t>
      </w:r>
      <w:r w:rsidR="002F4F5D" w:rsidRPr="00DF540D">
        <w:t>.</w:t>
      </w:r>
    </w:p>
    <w:p w:rsidR="000F602E" w:rsidRPr="00DF540D" w:rsidRDefault="000F602E" w:rsidP="003B0AAE">
      <w:pPr>
        <w:rPr>
          <w:rFonts w:ascii="Arial" w:hAnsi="Arial" w:cs="Arial"/>
          <w:noProof/>
        </w:rPr>
      </w:pPr>
    </w:p>
    <w:p w:rsidR="004F2A50" w:rsidRPr="00DF540D" w:rsidRDefault="004F2A50" w:rsidP="004F2A50">
      <w:pPr>
        <w:rPr>
          <w:b/>
        </w:rPr>
      </w:pPr>
      <w:r w:rsidRPr="00DF540D">
        <w:rPr>
          <w:b/>
        </w:rPr>
        <w:t xml:space="preserve">Recommendation </w:t>
      </w:r>
      <w:r w:rsidR="00EF3B6C">
        <w:rPr>
          <w:b/>
        </w:rPr>
        <w:t>6</w:t>
      </w:r>
    </w:p>
    <w:p w:rsidR="004F2A50" w:rsidRPr="009A4142" w:rsidRDefault="004F2A50" w:rsidP="004F2A50">
      <w:pPr>
        <w:rPr>
          <w:b/>
        </w:rPr>
      </w:pPr>
      <w:r w:rsidRPr="00DF540D">
        <w:rPr>
          <w:b/>
        </w:rPr>
        <w:t>That, absent any compelling and immediate safety concern</w:t>
      </w:r>
      <w:r w:rsidRPr="00DF540D">
        <w:rPr>
          <w:rStyle w:val="FootnoteReference"/>
          <w:b/>
        </w:rPr>
        <w:footnoteReference w:id="7"/>
      </w:r>
      <w:r w:rsidRPr="00DF540D">
        <w:rPr>
          <w:b/>
        </w:rPr>
        <w:t>, any change to the regulatory framework should permit a grace period for industry adoption not less than twelve months for new models, and not less than six months for existing models, from the date new amendments enter into force.</w:t>
      </w:r>
    </w:p>
    <w:p w:rsidR="00B01B5C" w:rsidRDefault="00B01B5C" w:rsidP="003A4703">
      <w:pPr>
        <w:pStyle w:val="RecommendationStyle"/>
        <w:numPr>
          <w:ilvl w:val="0"/>
          <w:numId w:val="0"/>
        </w:numPr>
        <w:spacing w:before="0" w:after="0"/>
        <w:jc w:val="both"/>
        <w:rPr>
          <w:i w:val="0"/>
        </w:rPr>
      </w:pPr>
    </w:p>
    <w:p w:rsidR="00D71184" w:rsidRPr="008F1963" w:rsidRDefault="00D71184" w:rsidP="003A4703">
      <w:pPr>
        <w:pStyle w:val="RecommendationStyle"/>
        <w:numPr>
          <w:ilvl w:val="0"/>
          <w:numId w:val="0"/>
        </w:numPr>
        <w:spacing w:before="0" w:after="0"/>
        <w:jc w:val="both"/>
        <w:rPr>
          <w:i w:val="0"/>
        </w:rPr>
      </w:pPr>
    </w:p>
    <w:sectPr w:rsidR="00D71184" w:rsidRPr="008F1963" w:rsidSect="00A91411">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567" w:left="1134" w:header="703" w:footer="2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075" w:rsidRDefault="00307075" w:rsidP="000F3D9F">
      <w:r>
        <w:separator/>
      </w:r>
    </w:p>
  </w:endnote>
  <w:endnote w:type="continuationSeparator" w:id="0">
    <w:p w:rsidR="00307075" w:rsidRDefault="00307075" w:rsidP="000F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811" w:rsidRDefault="005128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75" w:rsidRPr="0062031D" w:rsidRDefault="00307075" w:rsidP="0062031D">
    <w:pPr>
      <w:ind w:right="-426"/>
      <w:jc w:val="center"/>
      <w:rPr>
        <w:rFonts w:ascii="Arial" w:hAnsi="Arial" w:cs="Arial"/>
        <w:smallCaps/>
        <w:noProof/>
        <w:sz w:val="18"/>
        <w:szCs w:val="18"/>
        <w:lang w:eastAsia="en-AU"/>
      </w:rPr>
    </w:pPr>
    <w:r>
      <w:rPr>
        <w:rFonts w:ascii="Arial" w:hAnsi="Arial" w:cs="Arial"/>
        <w:color w:val="17365D"/>
        <w:sz w:val="18"/>
        <w:szCs w:val="18"/>
      </w:rPr>
      <w:t xml:space="preserve"> </w:t>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sidRPr="0062031D">
      <w:rPr>
        <w:rFonts w:ascii="Arial" w:hAnsi="Arial" w:cs="Arial"/>
        <w:color w:val="17365D"/>
        <w:sz w:val="18"/>
        <w:szCs w:val="18"/>
      </w:rPr>
      <w:t xml:space="preserve"> </w:t>
    </w:r>
    <w:r w:rsidRPr="0062031D">
      <w:rPr>
        <w:rFonts w:ascii="Arial" w:hAnsi="Arial" w:cs="Arial"/>
        <w:smallCaps/>
        <w:noProof/>
        <w:sz w:val="18"/>
        <w:szCs w:val="18"/>
        <w:lang w:eastAsia="en-AU"/>
      </w:rPr>
      <w:drawing>
        <wp:inline distT="0" distB="0" distL="0" distR="0">
          <wp:extent cx="1951355" cy="846455"/>
          <wp:effectExtent l="19050" t="0" r="0" b="0"/>
          <wp:docPr id="8" name="Picture 1" descr="LHead Logo AC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ad Logo ACT RGB"/>
                  <pic:cNvPicPr>
                    <a:picLocks noChangeAspect="1" noChangeArrowheads="1"/>
                  </pic:cNvPicPr>
                </pic:nvPicPr>
                <pic:blipFill>
                  <a:blip r:embed="rId1"/>
                  <a:srcRect/>
                  <a:stretch>
                    <a:fillRect/>
                  </a:stretch>
                </pic:blipFill>
                <pic:spPr bwMode="auto">
                  <a:xfrm>
                    <a:off x="0" y="0"/>
                    <a:ext cx="1951355" cy="846455"/>
                  </a:xfrm>
                  <a:prstGeom prst="rect">
                    <a:avLst/>
                  </a:prstGeom>
                  <a:noFill/>
                  <a:ln w="9525">
                    <a:noFill/>
                    <a:miter lim="800000"/>
                    <a:headEnd/>
                    <a:tailEnd/>
                  </a:ln>
                </pic:spPr>
              </pic:pic>
            </a:graphicData>
          </a:graphic>
        </wp:inline>
      </w:drawing>
    </w:r>
  </w:p>
  <w:p w:rsidR="00307075" w:rsidRPr="0062031D" w:rsidRDefault="00307075" w:rsidP="0062031D">
    <w:pPr>
      <w:ind w:right="-426"/>
      <w:jc w:val="right"/>
      <w:rPr>
        <w:rFonts w:ascii="Arial" w:hAnsi="Arial" w:cs="Arial"/>
        <w:smallCaps/>
        <w:noProof/>
        <w:sz w:val="18"/>
        <w:szCs w:val="18"/>
        <w:lang w:eastAsia="en-AU"/>
      </w:rPr>
    </w:pPr>
    <w:r w:rsidRPr="0062031D">
      <w:rPr>
        <w:rFonts w:ascii="Arial" w:hAnsi="Arial" w:cs="Arial"/>
        <w:smallCaps/>
        <w:noProof/>
        <w:sz w:val="18"/>
        <w:szCs w:val="18"/>
        <w:lang w:eastAsia="en-AU"/>
      </w:rPr>
      <w:t>Minter Ellison Building, 25 National Circuit, Forrest ACT 2603</w:t>
    </w:r>
  </w:p>
  <w:p w:rsidR="00307075" w:rsidRPr="0062031D" w:rsidRDefault="00307075" w:rsidP="0062031D">
    <w:pPr>
      <w:ind w:right="-426"/>
      <w:jc w:val="right"/>
      <w:rPr>
        <w:rFonts w:ascii="Arial" w:hAnsi="Arial" w:cs="Arial"/>
        <w:smallCaps/>
        <w:noProof/>
        <w:sz w:val="18"/>
        <w:szCs w:val="18"/>
        <w:lang w:eastAsia="en-AU"/>
      </w:rPr>
    </w:pPr>
    <w:r w:rsidRPr="0062031D">
      <w:rPr>
        <w:rFonts w:ascii="Arial" w:hAnsi="Arial" w:cs="Arial"/>
        <w:b/>
        <w:smallCaps/>
        <w:noProof/>
        <w:sz w:val="18"/>
        <w:szCs w:val="18"/>
        <w:lang w:eastAsia="en-AU"/>
      </w:rPr>
      <w:t>P</w:t>
    </w:r>
    <w:r w:rsidRPr="0062031D">
      <w:rPr>
        <w:rFonts w:ascii="Arial" w:hAnsi="Arial" w:cs="Arial"/>
        <w:smallCaps/>
        <w:noProof/>
        <w:sz w:val="18"/>
        <w:szCs w:val="18"/>
        <w:lang w:eastAsia="en-AU"/>
      </w:rPr>
      <w:t xml:space="preserve"> 02 6253 6900 </w:t>
    </w:r>
    <w:r w:rsidRPr="0062031D">
      <w:rPr>
        <w:rFonts w:ascii="Arial" w:hAnsi="Arial" w:cs="Arial"/>
        <w:b/>
        <w:smallCaps/>
        <w:noProof/>
        <w:sz w:val="18"/>
        <w:szCs w:val="18"/>
        <w:lang w:eastAsia="en-AU"/>
      </w:rPr>
      <w:t>F</w:t>
    </w:r>
    <w:r w:rsidRPr="0062031D">
      <w:rPr>
        <w:rFonts w:ascii="Arial" w:hAnsi="Arial" w:cs="Arial"/>
        <w:smallCaps/>
        <w:noProof/>
        <w:sz w:val="18"/>
        <w:szCs w:val="18"/>
        <w:lang w:eastAsia="en-AU"/>
      </w:rPr>
      <w:t xml:space="preserve"> 02 6253 6999 </w:t>
    </w:r>
    <w:r w:rsidRPr="0062031D">
      <w:rPr>
        <w:rFonts w:ascii="Arial" w:hAnsi="Arial" w:cs="Arial"/>
        <w:b/>
        <w:smallCaps/>
        <w:noProof/>
        <w:sz w:val="18"/>
        <w:szCs w:val="18"/>
        <w:lang w:eastAsia="en-AU"/>
      </w:rPr>
      <w:t>E</w:t>
    </w:r>
    <w:r w:rsidRPr="0062031D">
      <w:rPr>
        <w:rFonts w:ascii="Arial" w:hAnsi="Arial" w:cs="Arial"/>
        <w:smallCaps/>
        <w:noProof/>
        <w:sz w:val="18"/>
        <w:szCs w:val="18"/>
        <w:lang w:eastAsia="en-AU"/>
      </w:rPr>
      <w:t xml:space="preserve"> </w:t>
    </w:r>
    <w:r w:rsidRPr="0062031D">
      <w:rPr>
        <w:rFonts w:ascii="Arial" w:hAnsi="Arial" w:cs="Arial"/>
        <w:bCs/>
        <w:smallCaps/>
        <w:noProof/>
        <w:sz w:val="18"/>
        <w:szCs w:val="18"/>
        <w:lang w:eastAsia="en-AU"/>
      </w:rPr>
      <w:t>ata@truck.net.au</w:t>
    </w:r>
    <w:r w:rsidRPr="0062031D">
      <w:rPr>
        <w:rFonts w:ascii="Arial" w:hAnsi="Arial" w:cs="Arial"/>
        <w:b/>
        <w:smallCaps/>
        <w:noProof/>
        <w:sz w:val="18"/>
        <w:szCs w:val="18"/>
        <w:lang w:eastAsia="en-AU"/>
      </w:rPr>
      <w:t xml:space="preserve"> W</w:t>
    </w:r>
    <w:r w:rsidRPr="0062031D">
      <w:rPr>
        <w:rFonts w:ascii="Arial" w:hAnsi="Arial" w:cs="Arial"/>
        <w:smallCaps/>
        <w:noProof/>
        <w:sz w:val="18"/>
        <w:szCs w:val="18"/>
        <w:lang w:eastAsia="en-AU"/>
      </w:rPr>
      <w:t xml:space="preserve"> </w:t>
    </w:r>
    <w:r w:rsidRPr="0062031D">
      <w:rPr>
        <w:rFonts w:ascii="Arial" w:hAnsi="Arial" w:cs="Arial"/>
        <w:bCs/>
        <w:smallCaps/>
        <w:noProof/>
        <w:sz w:val="18"/>
        <w:szCs w:val="18"/>
        <w:lang w:eastAsia="en-AU"/>
      </w:rPr>
      <w:t>www.truck.net.au</w:t>
    </w:r>
  </w:p>
  <w:p w:rsidR="00307075" w:rsidRPr="00E8056B" w:rsidRDefault="00307075" w:rsidP="0062031D">
    <w:pPr>
      <w:ind w:right="-426"/>
      <w:jc w:val="right"/>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75" w:rsidRDefault="00307075">
    <w:pPr>
      <w:pStyle w:val="Footer"/>
      <w:jc w:val="right"/>
    </w:pPr>
    <w:r>
      <w:fldChar w:fldCharType="begin"/>
    </w:r>
    <w:r>
      <w:instrText xml:space="preserve"> PAGE   \* MERGEFORMAT </w:instrText>
    </w:r>
    <w:r>
      <w:fldChar w:fldCharType="separate"/>
    </w:r>
    <w:r>
      <w:rPr>
        <w:noProof/>
      </w:rPr>
      <w:t>7</w:t>
    </w:r>
    <w:r>
      <w:rPr>
        <w:noProof/>
      </w:rPr>
      <w:fldChar w:fldCharType="end"/>
    </w:r>
  </w:p>
  <w:p w:rsidR="00307075" w:rsidRDefault="0030707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75" w:rsidRDefault="0030707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000000"/>
        <w:insideH w:val="single" w:sz="4" w:space="0" w:color="000000"/>
      </w:tblBorders>
      <w:tblLook w:val="04A0" w:firstRow="1" w:lastRow="0" w:firstColumn="1" w:lastColumn="0" w:noHBand="0" w:noVBand="1"/>
    </w:tblPr>
    <w:tblGrid>
      <w:gridCol w:w="4824"/>
      <w:gridCol w:w="4814"/>
    </w:tblGrid>
    <w:tr w:rsidR="00307075" w:rsidRPr="00A91411" w:rsidTr="00D735FF">
      <w:trPr>
        <w:trHeight w:val="278"/>
      </w:trPr>
      <w:tc>
        <w:tcPr>
          <w:tcW w:w="4927" w:type="dxa"/>
          <w:vAlign w:val="center"/>
        </w:tcPr>
        <w:p w:rsidR="00307075" w:rsidRPr="00A91411" w:rsidRDefault="00307075" w:rsidP="00BD4B01">
          <w:pPr>
            <w:pStyle w:val="Footer"/>
            <w:rPr>
              <w:rFonts w:ascii="Arial" w:hAnsi="Arial" w:cs="Arial"/>
              <w:sz w:val="14"/>
              <w:szCs w:val="14"/>
            </w:rPr>
          </w:pPr>
          <w:r>
            <w:rPr>
              <w:rFonts w:ascii="Arial" w:hAnsi="Arial" w:cs="Arial"/>
              <w:sz w:val="14"/>
              <w:szCs w:val="14"/>
            </w:rPr>
            <w:t xml:space="preserve">ATA </w:t>
          </w:r>
          <w:r w:rsidRPr="00A91411">
            <w:rPr>
              <w:rFonts w:ascii="Arial" w:hAnsi="Arial" w:cs="Arial"/>
              <w:sz w:val="14"/>
              <w:szCs w:val="14"/>
            </w:rPr>
            <w:t>Submission</w:t>
          </w:r>
          <w:r>
            <w:rPr>
              <w:rFonts w:ascii="Arial" w:hAnsi="Arial" w:cs="Arial"/>
              <w:sz w:val="14"/>
              <w:szCs w:val="14"/>
            </w:rPr>
            <w:t xml:space="preserve"> - 2014 Review of t</w:t>
          </w:r>
          <w:r w:rsidRPr="008F1963">
            <w:rPr>
              <w:rFonts w:ascii="Arial" w:hAnsi="Arial" w:cs="Arial"/>
              <w:sz w:val="14"/>
              <w:szCs w:val="14"/>
            </w:rPr>
            <w:t xml:space="preserve">he </w:t>
          </w:r>
          <w:r w:rsidRPr="004B23B8">
            <w:rPr>
              <w:rFonts w:ascii="Arial" w:hAnsi="Arial" w:cs="Arial"/>
              <w:i/>
              <w:sz w:val="14"/>
              <w:szCs w:val="14"/>
            </w:rPr>
            <w:t>Motor Vehicle Standards Act 1989</w:t>
          </w:r>
        </w:p>
      </w:tc>
      <w:tc>
        <w:tcPr>
          <w:tcW w:w="4927" w:type="dxa"/>
          <w:vAlign w:val="center"/>
        </w:tcPr>
        <w:p w:rsidR="00307075" w:rsidRPr="00A91411" w:rsidRDefault="00307075" w:rsidP="00D735FF">
          <w:pPr>
            <w:pStyle w:val="Footer"/>
            <w:jc w:val="right"/>
            <w:rPr>
              <w:rFonts w:ascii="Arial" w:hAnsi="Arial" w:cs="Arial"/>
              <w:sz w:val="14"/>
              <w:szCs w:val="14"/>
            </w:rPr>
          </w:pPr>
          <w:r w:rsidRPr="00A91411">
            <w:rPr>
              <w:rFonts w:ascii="Arial" w:hAnsi="Arial" w:cs="Arial"/>
              <w:sz w:val="14"/>
              <w:szCs w:val="14"/>
            </w:rPr>
            <w:t xml:space="preserve">Page </w:t>
          </w:r>
          <w:r w:rsidRPr="00A91411">
            <w:rPr>
              <w:rFonts w:ascii="Arial" w:hAnsi="Arial" w:cs="Arial"/>
              <w:sz w:val="14"/>
              <w:szCs w:val="14"/>
            </w:rPr>
            <w:fldChar w:fldCharType="begin"/>
          </w:r>
          <w:r w:rsidRPr="00A91411">
            <w:rPr>
              <w:rFonts w:ascii="Arial" w:hAnsi="Arial" w:cs="Arial"/>
              <w:sz w:val="14"/>
              <w:szCs w:val="14"/>
            </w:rPr>
            <w:instrText xml:space="preserve"> PAGE   \* MERGEFORMAT </w:instrText>
          </w:r>
          <w:r w:rsidRPr="00A91411">
            <w:rPr>
              <w:rFonts w:ascii="Arial" w:hAnsi="Arial" w:cs="Arial"/>
              <w:sz w:val="14"/>
              <w:szCs w:val="14"/>
            </w:rPr>
            <w:fldChar w:fldCharType="separate"/>
          </w:r>
          <w:r w:rsidR="00832820">
            <w:rPr>
              <w:rFonts w:ascii="Arial" w:hAnsi="Arial" w:cs="Arial"/>
              <w:noProof/>
              <w:sz w:val="14"/>
              <w:szCs w:val="14"/>
            </w:rPr>
            <w:t>11</w:t>
          </w:r>
          <w:r w:rsidRPr="00A91411">
            <w:rPr>
              <w:rFonts w:ascii="Arial" w:hAnsi="Arial" w:cs="Arial"/>
              <w:sz w:val="14"/>
              <w:szCs w:val="14"/>
            </w:rPr>
            <w:fldChar w:fldCharType="end"/>
          </w:r>
        </w:p>
      </w:tc>
    </w:tr>
  </w:tbl>
  <w:p w:rsidR="00307075" w:rsidRPr="00A91411" w:rsidRDefault="00307075">
    <w:pP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75" w:rsidRDefault="003070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075" w:rsidRDefault="00307075" w:rsidP="000F3D9F">
      <w:r>
        <w:separator/>
      </w:r>
    </w:p>
  </w:footnote>
  <w:footnote w:type="continuationSeparator" w:id="0">
    <w:p w:rsidR="00307075" w:rsidRDefault="00307075" w:rsidP="000F3D9F">
      <w:r>
        <w:continuationSeparator/>
      </w:r>
    </w:p>
  </w:footnote>
  <w:footnote w:id="1">
    <w:p w:rsidR="00307075" w:rsidRPr="00F71734" w:rsidRDefault="00307075">
      <w:pPr>
        <w:pStyle w:val="FootnoteText"/>
        <w:rPr>
          <w:sz w:val="16"/>
          <w:szCs w:val="16"/>
        </w:rPr>
      </w:pPr>
      <w:r>
        <w:rPr>
          <w:rStyle w:val="FootnoteReference"/>
        </w:rPr>
        <w:footnoteRef/>
      </w:r>
      <w:r>
        <w:t xml:space="preserve"> </w:t>
      </w:r>
      <w:r w:rsidRPr="00F71734">
        <w:rPr>
          <w:sz w:val="16"/>
          <w:szCs w:val="16"/>
        </w:rPr>
        <w:t xml:space="preserve">Although thanks to effective anti-theft devices, </w:t>
      </w:r>
      <w:r>
        <w:rPr>
          <w:sz w:val="16"/>
          <w:szCs w:val="16"/>
        </w:rPr>
        <w:t>one of the Act’s objects -</w:t>
      </w:r>
      <w:r w:rsidRPr="00F71734">
        <w:rPr>
          <w:sz w:val="16"/>
          <w:szCs w:val="16"/>
        </w:rPr>
        <w:t>vehicle security is less critical than when it was introduced in 1989.</w:t>
      </w:r>
    </w:p>
  </w:footnote>
  <w:footnote w:id="2">
    <w:p w:rsidR="00307075" w:rsidRDefault="00307075" w:rsidP="004A4990">
      <w:pPr>
        <w:pStyle w:val="FootnoteText"/>
      </w:pPr>
      <w:r>
        <w:rPr>
          <w:rStyle w:val="FootnoteReference"/>
        </w:rPr>
        <w:footnoteRef/>
      </w:r>
      <w:r>
        <w:t xml:space="preserve"> </w:t>
      </w:r>
      <w:r>
        <w:rPr>
          <w:sz w:val="16"/>
          <w:szCs w:val="16"/>
        </w:rPr>
        <w:t>To m</w:t>
      </w:r>
      <w:r w:rsidRPr="00C8129F">
        <w:rPr>
          <w:sz w:val="16"/>
          <w:szCs w:val="16"/>
        </w:rPr>
        <w:t>itigat</w:t>
      </w:r>
      <w:r>
        <w:rPr>
          <w:sz w:val="16"/>
          <w:szCs w:val="16"/>
        </w:rPr>
        <w:t>e</w:t>
      </w:r>
      <w:r w:rsidRPr="00C8129F">
        <w:rPr>
          <w:sz w:val="16"/>
          <w:szCs w:val="16"/>
        </w:rPr>
        <w:t xml:space="preserve"> a crash outcome </w:t>
      </w:r>
      <w:r>
        <w:rPr>
          <w:sz w:val="16"/>
          <w:szCs w:val="16"/>
        </w:rPr>
        <w:t xml:space="preserve">thought to </w:t>
      </w:r>
      <w:r w:rsidRPr="00C8129F">
        <w:rPr>
          <w:sz w:val="16"/>
          <w:szCs w:val="16"/>
        </w:rPr>
        <w:t>account for at least 10 per cent of deaths</w:t>
      </w:r>
      <w:r>
        <w:rPr>
          <w:sz w:val="16"/>
          <w:szCs w:val="16"/>
        </w:rPr>
        <w:t xml:space="preserve"> and an even higher percentage of serious permanent injury</w:t>
      </w:r>
      <w:r w:rsidRPr="00C8129F">
        <w:rPr>
          <w:sz w:val="16"/>
          <w:szCs w:val="16"/>
        </w:rPr>
        <w:t>.</w:t>
      </w:r>
    </w:p>
  </w:footnote>
  <w:footnote w:id="3">
    <w:p w:rsidR="00307075" w:rsidRDefault="00307075">
      <w:pPr>
        <w:pStyle w:val="FootnoteText"/>
      </w:pPr>
      <w:r>
        <w:rPr>
          <w:rStyle w:val="FootnoteReference"/>
        </w:rPr>
        <w:footnoteRef/>
      </w:r>
      <w:r>
        <w:t xml:space="preserve"> </w:t>
      </w:r>
      <w:r w:rsidRPr="0092430C">
        <w:rPr>
          <w:sz w:val="16"/>
          <w:szCs w:val="16"/>
        </w:rPr>
        <w:t>Including</w:t>
      </w:r>
      <w:r>
        <w:rPr>
          <w:sz w:val="16"/>
          <w:szCs w:val="16"/>
        </w:rPr>
        <w:t xml:space="preserve"> but not only</w:t>
      </w:r>
      <w:r w:rsidRPr="0092430C">
        <w:rPr>
          <w:sz w:val="16"/>
          <w:szCs w:val="16"/>
        </w:rPr>
        <w:t xml:space="preserve"> </w:t>
      </w:r>
      <w:hyperlink r:id="rId1" w:history="1">
        <w:r w:rsidRPr="0092430C">
          <w:rPr>
            <w:rStyle w:val="Hyperlink"/>
            <w:sz w:val="16"/>
            <w:szCs w:val="16"/>
          </w:rPr>
          <w:t>FMVSS</w:t>
        </w:r>
      </w:hyperlink>
      <w:r w:rsidRPr="0092430C">
        <w:rPr>
          <w:sz w:val="16"/>
          <w:szCs w:val="16"/>
        </w:rPr>
        <w:t xml:space="preserve"> </w:t>
      </w:r>
      <w:hyperlink r:id="rId2" w:history="1">
        <w:r w:rsidRPr="0092430C">
          <w:rPr>
            <w:rStyle w:val="Hyperlink"/>
            <w:sz w:val="16"/>
            <w:szCs w:val="16"/>
          </w:rPr>
          <w:t>SAE</w:t>
        </w:r>
      </w:hyperlink>
      <w:r w:rsidRPr="0092430C">
        <w:rPr>
          <w:sz w:val="16"/>
          <w:szCs w:val="16"/>
        </w:rPr>
        <w:t xml:space="preserve"> </w:t>
      </w:r>
      <w:hyperlink r:id="rId3" w:history="1">
        <w:r w:rsidRPr="0092430C">
          <w:rPr>
            <w:rStyle w:val="Hyperlink"/>
            <w:sz w:val="16"/>
            <w:szCs w:val="16"/>
          </w:rPr>
          <w:t>JIS</w:t>
        </w:r>
      </w:hyperlink>
      <w:r w:rsidRPr="0092430C">
        <w:rPr>
          <w:sz w:val="16"/>
          <w:szCs w:val="16"/>
        </w:rPr>
        <w:t>.</w:t>
      </w:r>
    </w:p>
  </w:footnote>
  <w:footnote w:id="4">
    <w:p w:rsidR="00307075" w:rsidRPr="0092430C" w:rsidRDefault="00307075" w:rsidP="004D6B58">
      <w:pPr>
        <w:pStyle w:val="FootnoteText"/>
        <w:rPr>
          <w:sz w:val="16"/>
          <w:szCs w:val="16"/>
        </w:rPr>
      </w:pPr>
      <w:r>
        <w:rPr>
          <w:rStyle w:val="FootnoteReference"/>
        </w:rPr>
        <w:footnoteRef/>
      </w:r>
      <w:r>
        <w:t xml:space="preserve"> </w:t>
      </w:r>
      <w:r w:rsidRPr="0092430C">
        <w:rPr>
          <w:sz w:val="16"/>
          <w:szCs w:val="16"/>
        </w:rPr>
        <w:t xml:space="preserve">Including </w:t>
      </w:r>
      <w:hyperlink r:id="rId4" w:history="1">
        <w:r w:rsidRPr="0092430C">
          <w:rPr>
            <w:rStyle w:val="Hyperlink"/>
            <w:sz w:val="16"/>
            <w:szCs w:val="16"/>
          </w:rPr>
          <w:t>FMVSS</w:t>
        </w:r>
      </w:hyperlink>
      <w:r w:rsidRPr="0092430C">
        <w:rPr>
          <w:sz w:val="16"/>
          <w:szCs w:val="16"/>
        </w:rPr>
        <w:t xml:space="preserve"> </w:t>
      </w:r>
      <w:hyperlink r:id="rId5" w:history="1">
        <w:r w:rsidRPr="0092430C">
          <w:rPr>
            <w:rStyle w:val="Hyperlink"/>
            <w:sz w:val="16"/>
            <w:szCs w:val="16"/>
          </w:rPr>
          <w:t>SAE</w:t>
        </w:r>
      </w:hyperlink>
      <w:r w:rsidRPr="0092430C">
        <w:rPr>
          <w:sz w:val="16"/>
          <w:szCs w:val="16"/>
        </w:rPr>
        <w:t xml:space="preserve"> </w:t>
      </w:r>
      <w:hyperlink r:id="rId6" w:history="1">
        <w:r w:rsidRPr="0092430C">
          <w:rPr>
            <w:rStyle w:val="Hyperlink"/>
            <w:sz w:val="16"/>
            <w:szCs w:val="16"/>
          </w:rPr>
          <w:t>JIS</w:t>
        </w:r>
      </w:hyperlink>
      <w:r w:rsidRPr="0092430C">
        <w:rPr>
          <w:sz w:val="16"/>
          <w:szCs w:val="16"/>
        </w:rPr>
        <w:t xml:space="preserve"> etc.</w:t>
      </w:r>
    </w:p>
  </w:footnote>
  <w:footnote w:id="5">
    <w:p w:rsidR="00307075" w:rsidRPr="009A4142" w:rsidRDefault="00307075">
      <w:pPr>
        <w:pStyle w:val="FootnoteText"/>
        <w:rPr>
          <w:sz w:val="16"/>
          <w:szCs w:val="16"/>
        </w:rPr>
      </w:pPr>
      <w:r>
        <w:rPr>
          <w:rStyle w:val="FootnoteReference"/>
        </w:rPr>
        <w:footnoteRef/>
      </w:r>
      <w:r>
        <w:t xml:space="preserve"> </w:t>
      </w:r>
      <w:r w:rsidRPr="009A4142">
        <w:rPr>
          <w:sz w:val="16"/>
          <w:szCs w:val="16"/>
        </w:rPr>
        <w:t>Such as NHV or noise handling vibration technology.</w:t>
      </w:r>
    </w:p>
  </w:footnote>
  <w:footnote w:id="6">
    <w:p w:rsidR="00307075" w:rsidRDefault="00307075">
      <w:pPr>
        <w:pStyle w:val="FootnoteText"/>
      </w:pPr>
      <w:r>
        <w:rPr>
          <w:rStyle w:val="FootnoteReference"/>
        </w:rPr>
        <w:footnoteRef/>
      </w:r>
      <w:r>
        <w:t xml:space="preserve"> </w:t>
      </w:r>
      <w:r w:rsidRPr="0092430C">
        <w:rPr>
          <w:sz w:val="16"/>
          <w:szCs w:val="16"/>
        </w:rPr>
        <w:t>Such as pedestrian devices, disability devices and low emissions vehicles without appropriate safety features.</w:t>
      </w:r>
    </w:p>
  </w:footnote>
  <w:footnote w:id="7">
    <w:p w:rsidR="00307075" w:rsidRDefault="00307075" w:rsidP="004F2A50">
      <w:pPr>
        <w:pStyle w:val="FootnoteText"/>
      </w:pPr>
      <w:r>
        <w:rPr>
          <w:rStyle w:val="FootnoteReference"/>
        </w:rPr>
        <w:footnoteRef/>
      </w:r>
      <w:r>
        <w:t xml:space="preserve"> </w:t>
      </w:r>
      <w:r w:rsidRPr="004F2038">
        <w:rPr>
          <w:sz w:val="16"/>
          <w:szCs w:val="16"/>
        </w:rPr>
        <w:t xml:space="preserve">Such as </w:t>
      </w:r>
      <w:r w:rsidRPr="004F2038">
        <w:rPr>
          <w:b/>
          <w:sz w:val="16"/>
          <w:szCs w:val="16"/>
        </w:rPr>
        <w:t>ADR 38/04</w:t>
      </w:r>
      <w:r w:rsidRPr="004F2038">
        <w:rPr>
          <w:sz w:val="16"/>
          <w:szCs w:val="16"/>
        </w:rPr>
        <w:t xml:space="preserve"> and</w:t>
      </w:r>
      <w:r>
        <w:rPr>
          <w:sz w:val="16"/>
          <w:szCs w:val="16"/>
        </w:rPr>
        <w:t xml:space="preserve"> industry concern</w:t>
      </w:r>
      <w:r w:rsidRPr="004F2038">
        <w:rPr>
          <w:sz w:val="16"/>
          <w:szCs w:val="16"/>
        </w:rPr>
        <w:t xml:space="preserve"> </w:t>
      </w:r>
      <w:r>
        <w:rPr>
          <w:sz w:val="16"/>
          <w:szCs w:val="16"/>
        </w:rPr>
        <w:t xml:space="preserve">with </w:t>
      </w:r>
      <w:r w:rsidRPr="004F2038">
        <w:rPr>
          <w:sz w:val="16"/>
          <w:szCs w:val="16"/>
        </w:rPr>
        <w:t>trailer braking safety</w:t>
      </w:r>
      <w:r>
        <w:rPr>
          <w:sz w:val="16"/>
          <w:szCs w:val="16"/>
        </w:rPr>
        <w:t xml:space="preserve"> </w:t>
      </w:r>
      <w:r w:rsidRPr="004F2038">
        <w:rPr>
          <w:sz w:val="16"/>
          <w:szCs w:val="16"/>
        </w:rPr>
        <w:t>in Australia.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811" w:rsidRDefault="005128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811" w:rsidRDefault="005128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75" w:rsidRPr="00E8056B" w:rsidRDefault="00307075" w:rsidP="001C3659">
    <w:pPr>
      <w:jc w:val="right"/>
      <w:rPr>
        <w:rFonts w:ascii="Arial" w:hAnsi="Arial" w:cs="Arial"/>
        <w:color w:val="FF0000"/>
        <w:sz w:val="18"/>
        <w:szCs w:val="18"/>
      </w:rPr>
    </w:pPr>
    <w:r w:rsidRPr="00E8056B">
      <w:rPr>
        <w:rFonts w:ascii="Arial" w:hAnsi="Arial" w:cs="Arial"/>
        <w:color w:val="000064"/>
        <w:sz w:val="18"/>
        <w:szCs w:val="18"/>
      </w:rPr>
      <w:t xml:space="preserve">AUSTRALIAN TRUCKING </w:t>
    </w:r>
    <w:r w:rsidRPr="00E8056B">
      <w:rPr>
        <w:rFonts w:ascii="Arial" w:hAnsi="Arial" w:cs="Arial"/>
        <w:color w:val="FF0000"/>
        <w:sz w:val="18"/>
        <w:szCs w:val="18"/>
      </w:rPr>
      <w:t>ASSOCIATION</w:t>
    </w:r>
  </w:p>
  <w:p w:rsidR="00307075" w:rsidRDefault="0030707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75" w:rsidRDefault="0030707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75" w:rsidRPr="0062031D" w:rsidRDefault="00307075" w:rsidP="0062031D">
    <w:pPr>
      <w:pStyle w:val="Header"/>
      <w:rPr>
        <w:rFonts w:ascii="Arial" w:hAnsi="Arial" w:cs="Arial"/>
        <w:color w:val="000064"/>
        <w:sz w:val="18"/>
        <w:szCs w:val="18"/>
      </w:rPr>
    </w:pPr>
    <w:r>
      <w:rPr>
        <w:rFonts w:ascii="Arial" w:hAnsi="Arial" w:cs="Arial"/>
        <w:color w:val="000064"/>
        <w:sz w:val="18"/>
        <w:szCs w:val="18"/>
      </w:rPr>
      <w:tab/>
    </w:r>
    <w:r>
      <w:rPr>
        <w:rFonts w:ascii="Arial" w:hAnsi="Arial" w:cs="Arial"/>
        <w:color w:val="000064"/>
        <w:sz w:val="18"/>
        <w:szCs w:val="18"/>
      </w:rPr>
      <w:tab/>
      <w:t xml:space="preserve">   </w:t>
    </w:r>
    <w:r w:rsidRPr="0062031D">
      <w:rPr>
        <w:rFonts w:ascii="Arial" w:hAnsi="Arial" w:cs="Arial"/>
        <w:color w:val="000064"/>
        <w:sz w:val="18"/>
        <w:szCs w:val="18"/>
      </w:rPr>
      <w:t xml:space="preserve">AUSTRALIAN TRUCKING </w:t>
    </w:r>
    <w:r w:rsidRPr="0062031D">
      <w:rPr>
        <w:rFonts w:ascii="Arial" w:hAnsi="Arial" w:cs="Arial"/>
        <w:color w:val="FF0000"/>
        <w:sz w:val="18"/>
        <w:szCs w:val="18"/>
      </w:rPr>
      <w:t>ASSOCIATION</w:t>
    </w:r>
  </w:p>
  <w:p w:rsidR="00307075" w:rsidRPr="0062031D" w:rsidRDefault="00307075" w:rsidP="0062031D">
    <w:pPr>
      <w:pStyle w:val="Header"/>
      <w:rPr>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75" w:rsidRDefault="003070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4646E"/>
    <w:multiLevelType w:val="hybridMultilevel"/>
    <w:tmpl w:val="49F84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9B650F"/>
    <w:multiLevelType w:val="hybridMultilevel"/>
    <w:tmpl w:val="F7229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A67DF4"/>
    <w:multiLevelType w:val="hybridMultilevel"/>
    <w:tmpl w:val="9A0AF2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05027F"/>
    <w:multiLevelType w:val="hybridMultilevel"/>
    <w:tmpl w:val="A44A1D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B7D3678"/>
    <w:multiLevelType w:val="hybridMultilevel"/>
    <w:tmpl w:val="A3546D9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41E3A5B"/>
    <w:multiLevelType w:val="hybridMultilevel"/>
    <w:tmpl w:val="083AE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B212A05"/>
    <w:multiLevelType w:val="hybridMultilevel"/>
    <w:tmpl w:val="7834D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DA35423"/>
    <w:multiLevelType w:val="hybridMultilevel"/>
    <w:tmpl w:val="8968C0E4"/>
    <w:lvl w:ilvl="0" w:tplc="815878FA">
      <w:start w:val="1"/>
      <w:numFmt w:val="decimal"/>
      <w:pStyle w:val="RecommendationStyle"/>
      <w:lvlText w:val="Recommendation %1"/>
      <w:lvlJc w:val="left"/>
      <w:pPr>
        <w:tabs>
          <w:tab w:val="num" w:pos="1192"/>
        </w:tabs>
      </w:pPr>
      <w:rPr>
        <w:rFonts w:ascii="Arial" w:hAnsi="Arial" w:cs="Times New Roman" w:hint="default"/>
        <w:b/>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nsid w:val="43AE38E8"/>
    <w:multiLevelType w:val="hybridMultilevel"/>
    <w:tmpl w:val="AABCA13E"/>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51573737"/>
    <w:multiLevelType w:val="hybridMultilevel"/>
    <w:tmpl w:val="FBD266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59C0633B"/>
    <w:multiLevelType w:val="hybridMultilevel"/>
    <w:tmpl w:val="25C6A3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D554ED9"/>
    <w:multiLevelType w:val="multilevel"/>
    <w:tmpl w:val="652E1C90"/>
    <w:lvl w:ilvl="0">
      <w:start w:val="1"/>
      <w:numFmt w:val="decimal"/>
      <w:pStyle w:val="Heading1"/>
      <w:lvlText w:val="%1."/>
      <w:lvlJc w:val="left"/>
      <w:pPr>
        <w:ind w:left="360" w:hanging="360"/>
      </w:pPr>
      <w:rPr>
        <w:rFonts w:cs="Times New Roman" w:hint="default"/>
      </w:rPr>
    </w:lvl>
    <w:lvl w:ilvl="1">
      <w:start w:val="1"/>
      <w:numFmt w:val="decimal"/>
      <w:pStyle w:val="ATAHeading2"/>
      <w:lvlText w:val="%1.%2."/>
      <w:lvlJc w:val="left"/>
      <w:pPr>
        <w:ind w:left="792" w:hanging="432"/>
      </w:pPr>
      <w:rPr>
        <w:rFonts w:cs="Times New Roman" w:hint="default"/>
      </w:rPr>
    </w:lvl>
    <w:lvl w:ilvl="2">
      <w:start w:val="1"/>
      <w:numFmt w:val="decimal"/>
      <w:pStyle w:val="ATAHeading3"/>
      <w:lvlText w:val="%1.%2.%3."/>
      <w:lvlJc w:val="left"/>
      <w:pPr>
        <w:ind w:left="1224" w:hanging="504"/>
      </w:pPr>
      <w:rPr>
        <w:rFonts w:cs="Times New Roman" w:hint="default"/>
        <w:b/>
        <w:color w:val="00006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611F3167"/>
    <w:multiLevelType w:val="hybridMultilevel"/>
    <w:tmpl w:val="E28E0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AB91A83"/>
    <w:multiLevelType w:val="multilevel"/>
    <w:tmpl w:val="6FFA4322"/>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7"/>
  </w:num>
  <w:num w:numId="3">
    <w:abstractNumId w:val="13"/>
  </w:num>
  <w:num w:numId="4">
    <w:abstractNumId w:val="7"/>
  </w:num>
  <w:num w:numId="5">
    <w:abstractNumId w:val="11"/>
  </w:num>
  <w:num w:numId="6">
    <w:abstractNumId w:val="11"/>
  </w:num>
  <w:num w:numId="7">
    <w:abstractNumId w:val="4"/>
  </w:num>
  <w:num w:numId="8">
    <w:abstractNumId w:val="8"/>
  </w:num>
  <w:num w:numId="9">
    <w:abstractNumId w:val="1"/>
  </w:num>
  <w:num w:numId="10">
    <w:abstractNumId w:val="5"/>
  </w:num>
  <w:num w:numId="11">
    <w:abstractNumId w:val="3"/>
  </w:num>
  <w:num w:numId="12">
    <w:abstractNumId w:val="2"/>
  </w:num>
  <w:num w:numId="13">
    <w:abstractNumId w:val="0"/>
  </w:num>
  <w:num w:numId="14">
    <w:abstractNumId w:val="10"/>
  </w:num>
  <w:num w:numId="15">
    <w:abstractNumId w:val="9"/>
  </w:num>
  <w:num w:numId="16">
    <w:abstractNumId w:val="12"/>
  </w:num>
  <w:num w:numId="17">
    <w:abstractNumId w:val="6"/>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27A"/>
    <w:rsid w:val="0000159D"/>
    <w:rsid w:val="00004DB4"/>
    <w:rsid w:val="00005E0D"/>
    <w:rsid w:val="00007B50"/>
    <w:rsid w:val="000118F7"/>
    <w:rsid w:val="00011D52"/>
    <w:rsid w:val="000156D1"/>
    <w:rsid w:val="00020F50"/>
    <w:rsid w:val="00023B28"/>
    <w:rsid w:val="00026AC2"/>
    <w:rsid w:val="00030CF9"/>
    <w:rsid w:val="000319F8"/>
    <w:rsid w:val="0003219A"/>
    <w:rsid w:val="000347E3"/>
    <w:rsid w:val="00035CFC"/>
    <w:rsid w:val="0004076B"/>
    <w:rsid w:val="00040876"/>
    <w:rsid w:val="00040D26"/>
    <w:rsid w:val="0004192B"/>
    <w:rsid w:val="000425DE"/>
    <w:rsid w:val="00043430"/>
    <w:rsid w:val="00043AF0"/>
    <w:rsid w:val="00044533"/>
    <w:rsid w:val="00045EB0"/>
    <w:rsid w:val="00046042"/>
    <w:rsid w:val="000460DD"/>
    <w:rsid w:val="00050881"/>
    <w:rsid w:val="00052E9C"/>
    <w:rsid w:val="00061291"/>
    <w:rsid w:val="000614BF"/>
    <w:rsid w:val="0006283B"/>
    <w:rsid w:val="0007406F"/>
    <w:rsid w:val="0007542B"/>
    <w:rsid w:val="00075E7B"/>
    <w:rsid w:val="00076C90"/>
    <w:rsid w:val="00076E15"/>
    <w:rsid w:val="00077967"/>
    <w:rsid w:val="00083C15"/>
    <w:rsid w:val="000848A1"/>
    <w:rsid w:val="000868C6"/>
    <w:rsid w:val="000875E7"/>
    <w:rsid w:val="00091242"/>
    <w:rsid w:val="000917DC"/>
    <w:rsid w:val="00095C3B"/>
    <w:rsid w:val="000963BE"/>
    <w:rsid w:val="000A151F"/>
    <w:rsid w:val="000A2BCF"/>
    <w:rsid w:val="000A2C7F"/>
    <w:rsid w:val="000A33E3"/>
    <w:rsid w:val="000A3F4E"/>
    <w:rsid w:val="000A4EB0"/>
    <w:rsid w:val="000A62F7"/>
    <w:rsid w:val="000B00D5"/>
    <w:rsid w:val="000B069A"/>
    <w:rsid w:val="000B351D"/>
    <w:rsid w:val="000B4161"/>
    <w:rsid w:val="000B4942"/>
    <w:rsid w:val="000B6D2A"/>
    <w:rsid w:val="000B773A"/>
    <w:rsid w:val="000B7C27"/>
    <w:rsid w:val="000B7D23"/>
    <w:rsid w:val="000C01AC"/>
    <w:rsid w:val="000C0C35"/>
    <w:rsid w:val="000C15B7"/>
    <w:rsid w:val="000C22D4"/>
    <w:rsid w:val="000C310A"/>
    <w:rsid w:val="000C58B5"/>
    <w:rsid w:val="000C594D"/>
    <w:rsid w:val="000D0FE5"/>
    <w:rsid w:val="000D13F6"/>
    <w:rsid w:val="000D274C"/>
    <w:rsid w:val="000D528B"/>
    <w:rsid w:val="000D589E"/>
    <w:rsid w:val="000D6381"/>
    <w:rsid w:val="000D7ED1"/>
    <w:rsid w:val="000E408F"/>
    <w:rsid w:val="000E67CA"/>
    <w:rsid w:val="000E7B14"/>
    <w:rsid w:val="000F080E"/>
    <w:rsid w:val="000F0F7B"/>
    <w:rsid w:val="000F30FF"/>
    <w:rsid w:val="000F3D9F"/>
    <w:rsid w:val="000F53C2"/>
    <w:rsid w:val="000F566E"/>
    <w:rsid w:val="000F602E"/>
    <w:rsid w:val="000F73A8"/>
    <w:rsid w:val="000F7F6F"/>
    <w:rsid w:val="00100ED4"/>
    <w:rsid w:val="001019C0"/>
    <w:rsid w:val="001025C9"/>
    <w:rsid w:val="00110610"/>
    <w:rsid w:val="001137DF"/>
    <w:rsid w:val="001202C1"/>
    <w:rsid w:val="00121A53"/>
    <w:rsid w:val="00121A86"/>
    <w:rsid w:val="00125795"/>
    <w:rsid w:val="0013041A"/>
    <w:rsid w:val="001368EB"/>
    <w:rsid w:val="00137113"/>
    <w:rsid w:val="0013765E"/>
    <w:rsid w:val="00141274"/>
    <w:rsid w:val="001412D5"/>
    <w:rsid w:val="001415EA"/>
    <w:rsid w:val="001426CA"/>
    <w:rsid w:val="001438FA"/>
    <w:rsid w:val="0014437E"/>
    <w:rsid w:val="00145022"/>
    <w:rsid w:val="001463C2"/>
    <w:rsid w:val="0014683D"/>
    <w:rsid w:val="00150065"/>
    <w:rsid w:val="0015168F"/>
    <w:rsid w:val="00151950"/>
    <w:rsid w:val="00151F88"/>
    <w:rsid w:val="00152A71"/>
    <w:rsid w:val="001533EC"/>
    <w:rsid w:val="00155B97"/>
    <w:rsid w:val="00156060"/>
    <w:rsid w:val="00157A68"/>
    <w:rsid w:val="00160FE3"/>
    <w:rsid w:val="001611AB"/>
    <w:rsid w:val="00164A4D"/>
    <w:rsid w:val="00170107"/>
    <w:rsid w:val="00170FC2"/>
    <w:rsid w:val="001727E8"/>
    <w:rsid w:val="001811B8"/>
    <w:rsid w:val="0018136A"/>
    <w:rsid w:val="001817F5"/>
    <w:rsid w:val="001821B0"/>
    <w:rsid w:val="00184A28"/>
    <w:rsid w:val="001943BE"/>
    <w:rsid w:val="0019542E"/>
    <w:rsid w:val="001A024F"/>
    <w:rsid w:val="001A0DC3"/>
    <w:rsid w:val="001A33CC"/>
    <w:rsid w:val="001A3DF6"/>
    <w:rsid w:val="001A5FE2"/>
    <w:rsid w:val="001A6510"/>
    <w:rsid w:val="001A7BF4"/>
    <w:rsid w:val="001B3E52"/>
    <w:rsid w:val="001B46F6"/>
    <w:rsid w:val="001B5564"/>
    <w:rsid w:val="001B6B29"/>
    <w:rsid w:val="001B7B44"/>
    <w:rsid w:val="001C121B"/>
    <w:rsid w:val="001C125D"/>
    <w:rsid w:val="001C13A5"/>
    <w:rsid w:val="001C150C"/>
    <w:rsid w:val="001C3659"/>
    <w:rsid w:val="001D038B"/>
    <w:rsid w:val="001D1836"/>
    <w:rsid w:val="001D50C7"/>
    <w:rsid w:val="001D77A8"/>
    <w:rsid w:val="001D7817"/>
    <w:rsid w:val="001E0A75"/>
    <w:rsid w:val="001E1665"/>
    <w:rsid w:val="001E232E"/>
    <w:rsid w:val="001E3126"/>
    <w:rsid w:val="001E4D9A"/>
    <w:rsid w:val="001F187C"/>
    <w:rsid w:val="001F2FD4"/>
    <w:rsid w:val="001F32AB"/>
    <w:rsid w:val="001F4144"/>
    <w:rsid w:val="001F5A9B"/>
    <w:rsid w:val="001F5BCB"/>
    <w:rsid w:val="001F5CDF"/>
    <w:rsid w:val="001F6FC7"/>
    <w:rsid w:val="00201D98"/>
    <w:rsid w:val="00202A6B"/>
    <w:rsid w:val="00202B82"/>
    <w:rsid w:val="0020419D"/>
    <w:rsid w:val="002041FF"/>
    <w:rsid w:val="0020791B"/>
    <w:rsid w:val="0021180A"/>
    <w:rsid w:val="00212465"/>
    <w:rsid w:val="00212936"/>
    <w:rsid w:val="00213C59"/>
    <w:rsid w:val="00213FE3"/>
    <w:rsid w:val="002158C8"/>
    <w:rsid w:val="00216CE6"/>
    <w:rsid w:val="00225056"/>
    <w:rsid w:val="00230DFC"/>
    <w:rsid w:val="002317DA"/>
    <w:rsid w:val="002327F8"/>
    <w:rsid w:val="002352EB"/>
    <w:rsid w:val="00240467"/>
    <w:rsid w:val="00241C15"/>
    <w:rsid w:val="00243126"/>
    <w:rsid w:val="00244543"/>
    <w:rsid w:val="002502EF"/>
    <w:rsid w:val="00250E06"/>
    <w:rsid w:val="002517F0"/>
    <w:rsid w:val="00252BD7"/>
    <w:rsid w:val="0025356A"/>
    <w:rsid w:val="00253E0B"/>
    <w:rsid w:val="002543DF"/>
    <w:rsid w:val="00262C0A"/>
    <w:rsid w:val="00266149"/>
    <w:rsid w:val="0026620C"/>
    <w:rsid w:val="00266915"/>
    <w:rsid w:val="00267103"/>
    <w:rsid w:val="00267830"/>
    <w:rsid w:val="0027391C"/>
    <w:rsid w:val="00277F32"/>
    <w:rsid w:val="00277F95"/>
    <w:rsid w:val="002819AA"/>
    <w:rsid w:val="00283485"/>
    <w:rsid w:val="00286DB5"/>
    <w:rsid w:val="002875B7"/>
    <w:rsid w:val="00294E3C"/>
    <w:rsid w:val="002958CF"/>
    <w:rsid w:val="00295968"/>
    <w:rsid w:val="00296633"/>
    <w:rsid w:val="002966F8"/>
    <w:rsid w:val="002A010F"/>
    <w:rsid w:val="002A136A"/>
    <w:rsid w:val="002A237B"/>
    <w:rsid w:val="002A3B76"/>
    <w:rsid w:val="002A43F0"/>
    <w:rsid w:val="002A4859"/>
    <w:rsid w:val="002A71FB"/>
    <w:rsid w:val="002B027E"/>
    <w:rsid w:val="002B1F61"/>
    <w:rsid w:val="002B2136"/>
    <w:rsid w:val="002B24A2"/>
    <w:rsid w:val="002B381D"/>
    <w:rsid w:val="002B3AEF"/>
    <w:rsid w:val="002B618E"/>
    <w:rsid w:val="002B6CC2"/>
    <w:rsid w:val="002B7863"/>
    <w:rsid w:val="002C1799"/>
    <w:rsid w:val="002C2F49"/>
    <w:rsid w:val="002C7D3E"/>
    <w:rsid w:val="002C7FF6"/>
    <w:rsid w:val="002D592D"/>
    <w:rsid w:val="002D5D45"/>
    <w:rsid w:val="002D7C76"/>
    <w:rsid w:val="002D7FDB"/>
    <w:rsid w:val="002E06E3"/>
    <w:rsid w:val="002E453E"/>
    <w:rsid w:val="002E4E20"/>
    <w:rsid w:val="002E53A1"/>
    <w:rsid w:val="002E550E"/>
    <w:rsid w:val="002E5D82"/>
    <w:rsid w:val="002E782F"/>
    <w:rsid w:val="002E7897"/>
    <w:rsid w:val="002E7F28"/>
    <w:rsid w:val="002F0939"/>
    <w:rsid w:val="002F0EBE"/>
    <w:rsid w:val="002F2F65"/>
    <w:rsid w:val="002F422D"/>
    <w:rsid w:val="002F42BE"/>
    <w:rsid w:val="002F45B3"/>
    <w:rsid w:val="002F4F5D"/>
    <w:rsid w:val="002F6212"/>
    <w:rsid w:val="002F632C"/>
    <w:rsid w:val="002F7D2A"/>
    <w:rsid w:val="003016C4"/>
    <w:rsid w:val="00303296"/>
    <w:rsid w:val="00304BCD"/>
    <w:rsid w:val="00306FBF"/>
    <w:rsid w:val="00307075"/>
    <w:rsid w:val="00307AF8"/>
    <w:rsid w:val="00310166"/>
    <w:rsid w:val="0031301A"/>
    <w:rsid w:val="003168CE"/>
    <w:rsid w:val="00320AFE"/>
    <w:rsid w:val="00320F07"/>
    <w:rsid w:val="00321A43"/>
    <w:rsid w:val="0032308F"/>
    <w:rsid w:val="0032571D"/>
    <w:rsid w:val="00325A6C"/>
    <w:rsid w:val="003273E8"/>
    <w:rsid w:val="00333F0D"/>
    <w:rsid w:val="003340FB"/>
    <w:rsid w:val="00334926"/>
    <w:rsid w:val="00334DA7"/>
    <w:rsid w:val="00336760"/>
    <w:rsid w:val="00341FEC"/>
    <w:rsid w:val="00342826"/>
    <w:rsid w:val="0034321B"/>
    <w:rsid w:val="00343FCD"/>
    <w:rsid w:val="003505C4"/>
    <w:rsid w:val="00352490"/>
    <w:rsid w:val="003533CA"/>
    <w:rsid w:val="00354394"/>
    <w:rsid w:val="0035493A"/>
    <w:rsid w:val="00356D4F"/>
    <w:rsid w:val="0035759F"/>
    <w:rsid w:val="00360759"/>
    <w:rsid w:val="0036151D"/>
    <w:rsid w:val="00362AA0"/>
    <w:rsid w:val="00367AA3"/>
    <w:rsid w:val="00372153"/>
    <w:rsid w:val="00372E26"/>
    <w:rsid w:val="003740CB"/>
    <w:rsid w:val="00374216"/>
    <w:rsid w:val="00380E64"/>
    <w:rsid w:val="0038394F"/>
    <w:rsid w:val="00384772"/>
    <w:rsid w:val="0039063B"/>
    <w:rsid w:val="003911E4"/>
    <w:rsid w:val="00392F21"/>
    <w:rsid w:val="003958D9"/>
    <w:rsid w:val="003A2034"/>
    <w:rsid w:val="003A269C"/>
    <w:rsid w:val="003A447E"/>
    <w:rsid w:val="003A4703"/>
    <w:rsid w:val="003A56FE"/>
    <w:rsid w:val="003A6F8D"/>
    <w:rsid w:val="003B0AAE"/>
    <w:rsid w:val="003B0E35"/>
    <w:rsid w:val="003B1937"/>
    <w:rsid w:val="003B2A16"/>
    <w:rsid w:val="003B6150"/>
    <w:rsid w:val="003B74E4"/>
    <w:rsid w:val="003C03EB"/>
    <w:rsid w:val="003C0A77"/>
    <w:rsid w:val="003C0ACA"/>
    <w:rsid w:val="003C2311"/>
    <w:rsid w:val="003C2335"/>
    <w:rsid w:val="003C7369"/>
    <w:rsid w:val="003D4283"/>
    <w:rsid w:val="003D63C9"/>
    <w:rsid w:val="003D6FA8"/>
    <w:rsid w:val="003E022B"/>
    <w:rsid w:val="003E269D"/>
    <w:rsid w:val="003E2B20"/>
    <w:rsid w:val="003F1027"/>
    <w:rsid w:val="003F17F7"/>
    <w:rsid w:val="003F3FEB"/>
    <w:rsid w:val="003F6CA9"/>
    <w:rsid w:val="004008C7"/>
    <w:rsid w:val="004011BA"/>
    <w:rsid w:val="00402268"/>
    <w:rsid w:val="00403823"/>
    <w:rsid w:val="00403AB5"/>
    <w:rsid w:val="00404731"/>
    <w:rsid w:val="004053D4"/>
    <w:rsid w:val="004115B6"/>
    <w:rsid w:val="00413868"/>
    <w:rsid w:val="00413F6B"/>
    <w:rsid w:val="00415126"/>
    <w:rsid w:val="004164B0"/>
    <w:rsid w:val="00417A6F"/>
    <w:rsid w:val="004205EF"/>
    <w:rsid w:val="00421306"/>
    <w:rsid w:val="00422BB7"/>
    <w:rsid w:val="004230BE"/>
    <w:rsid w:val="00423CCC"/>
    <w:rsid w:val="00424D3E"/>
    <w:rsid w:val="0042557B"/>
    <w:rsid w:val="00430756"/>
    <w:rsid w:val="004318DC"/>
    <w:rsid w:val="004353C2"/>
    <w:rsid w:val="00440231"/>
    <w:rsid w:val="00440F44"/>
    <w:rsid w:val="0044265D"/>
    <w:rsid w:val="004456CC"/>
    <w:rsid w:val="00445CDC"/>
    <w:rsid w:val="00450702"/>
    <w:rsid w:val="00450FF8"/>
    <w:rsid w:val="004533ED"/>
    <w:rsid w:val="004552A2"/>
    <w:rsid w:val="0045642B"/>
    <w:rsid w:val="00456D91"/>
    <w:rsid w:val="00461C8E"/>
    <w:rsid w:val="004640D1"/>
    <w:rsid w:val="0047036B"/>
    <w:rsid w:val="00470721"/>
    <w:rsid w:val="00472115"/>
    <w:rsid w:val="00474384"/>
    <w:rsid w:val="00474A56"/>
    <w:rsid w:val="00475C39"/>
    <w:rsid w:val="004777B2"/>
    <w:rsid w:val="004803E5"/>
    <w:rsid w:val="00482A22"/>
    <w:rsid w:val="00484068"/>
    <w:rsid w:val="00487F0F"/>
    <w:rsid w:val="00491862"/>
    <w:rsid w:val="0049414B"/>
    <w:rsid w:val="004977DE"/>
    <w:rsid w:val="004A1AED"/>
    <w:rsid w:val="004A2F6F"/>
    <w:rsid w:val="004A4990"/>
    <w:rsid w:val="004B10F5"/>
    <w:rsid w:val="004B23B8"/>
    <w:rsid w:val="004B26EB"/>
    <w:rsid w:val="004B312F"/>
    <w:rsid w:val="004B50BC"/>
    <w:rsid w:val="004B6187"/>
    <w:rsid w:val="004B7FFA"/>
    <w:rsid w:val="004C0182"/>
    <w:rsid w:val="004C21BB"/>
    <w:rsid w:val="004C2EB3"/>
    <w:rsid w:val="004C3CC3"/>
    <w:rsid w:val="004C4418"/>
    <w:rsid w:val="004C625A"/>
    <w:rsid w:val="004C697F"/>
    <w:rsid w:val="004D0E1D"/>
    <w:rsid w:val="004D43D2"/>
    <w:rsid w:val="004D652E"/>
    <w:rsid w:val="004D674B"/>
    <w:rsid w:val="004D6B58"/>
    <w:rsid w:val="004E0CAD"/>
    <w:rsid w:val="004E1EBB"/>
    <w:rsid w:val="004E3959"/>
    <w:rsid w:val="004E5A77"/>
    <w:rsid w:val="004E5EA3"/>
    <w:rsid w:val="004E7F7D"/>
    <w:rsid w:val="004F0DFD"/>
    <w:rsid w:val="004F112A"/>
    <w:rsid w:val="004F1B89"/>
    <w:rsid w:val="004F2038"/>
    <w:rsid w:val="004F2A50"/>
    <w:rsid w:val="004F3B07"/>
    <w:rsid w:val="004F42DC"/>
    <w:rsid w:val="0050428E"/>
    <w:rsid w:val="00510952"/>
    <w:rsid w:val="00511550"/>
    <w:rsid w:val="00512811"/>
    <w:rsid w:val="00513B12"/>
    <w:rsid w:val="005223FD"/>
    <w:rsid w:val="00525303"/>
    <w:rsid w:val="00527304"/>
    <w:rsid w:val="0053137B"/>
    <w:rsid w:val="005323C6"/>
    <w:rsid w:val="00532BFB"/>
    <w:rsid w:val="005365E0"/>
    <w:rsid w:val="005377C3"/>
    <w:rsid w:val="0054240A"/>
    <w:rsid w:val="00542479"/>
    <w:rsid w:val="0054356C"/>
    <w:rsid w:val="00544362"/>
    <w:rsid w:val="005470A7"/>
    <w:rsid w:val="00550256"/>
    <w:rsid w:val="00556219"/>
    <w:rsid w:val="00557D15"/>
    <w:rsid w:val="00557F88"/>
    <w:rsid w:val="00560034"/>
    <w:rsid w:val="0056179B"/>
    <w:rsid w:val="0056448B"/>
    <w:rsid w:val="00565F92"/>
    <w:rsid w:val="00567E64"/>
    <w:rsid w:val="00571E75"/>
    <w:rsid w:val="00573408"/>
    <w:rsid w:val="00576ED0"/>
    <w:rsid w:val="00576F0D"/>
    <w:rsid w:val="00580BDF"/>
    <w:rsid w:val="00582D39"/>
    <w:rsid w:val="00583EC7"/>
    <w:rsid w:val="00586C72"/>
    <w:rsid w:val="00587C8F"/>
    <w:rsid w:val="00593217"/>
    <w:rsid w:val="0059537B"/>
    <w:rsid w:val="005959F9"/>
    <w:rsid w:val="005975FE"/>
    <w:rsid w:val="00597E18"/>
    <w:rsid w:val="005A0D15"/>
    <w:rsid w:val="005A18D7"/>
    <w:rsid w:val="005A1976"/>
    <w:rsid w:val="005A2A86"/>
    <w:rsid w:val="005A4466"/>
    <w:rsid w:val="005A4BB5"/>
    <w:rsid w:val="005A5AE9"/>
    <w:rsid w:val="005A6891"/>
    <w:rsid w:val="005B3729"/>
    <w:rsid w:val="005B5ADE"/>
    <w:rsid w:val="005B703F"/>
    <w:rsid w:val="005C154E"/>
    <w:rsid w:val="005C31A0"/>
    <w:rsid w:val="005C35BE"/>
    <w:rsid w:val="005C3C06"/>
    <w:rsid w:val="005C4952"/>
    <w:rsid w:val="005C602F"/>
    <w:rsid w:val="005C63F7"/>
    <w:rsid w:val="005C74C9"/>
    <w:rsid w:val="005D2355"/>
    <w:rsid w:val="005D2565"/>
    <w:rsid w:val="005D4746"/>
    <w:rsid w:val="005D6CD2"/>
    <w:rsid w:val="005D6E23"/>
    <w:rsid w:val="005E0895"/>
    <w:rsid w:val="005E11FC"/>
    <w:rsid w:val="005E16F9"/>
    <w:rsid w:val="005E1A1B"/>
    <w:rsid w:val="005E28FB"/>
    <w:rsid w:val="005E5130"/>
    <w:rsid w:val="005E6294"/>
    <w:rsid w:val="005E6D8B"/>
    <w:rsid w:val="005F1009"/>
    <w:rsid w:val="005F1298"/>
    <w:rsid w:val="005F21D1"/>
    <w:rsid w:val="005F5ACC"/>
    <w:rsid w:val="005F622F"/>
    <w:rsid w:val="005F6288"/>
    <w:rsid w:val="005F69CC"/>
    <w:rsid w:val="005F76B2"/>
    <w:rsid w:val="006005FC"/>
    <w:rsid w:val="00601651"/>
    <w:rsid w:val="00604648"/>
    <w:rsid w:val="00605DDD"/>
    <w:rsid w:val="00605E06"/>
    <w:rsid w:val="00607663"/>
    <w:rsid w:val="006104D6"/>
    <w:rsid w:val="006109E9"/>
    <w:rsid w:val="00610CFE"/>
    <w:rsid w:val="00611E68"/>
    <w:rsid w:val="00617B32"/>
    <w:rsid w:val="0062031D"/>
    <w:rsid w:val="006203DB"/>
    <w:rsid w:val="006231E7"/>
    <w:rsid w:val="0062389F"/>
    <w:rsid w:val="006244DA"/>
    <w:rsid w:val="0062473C"/>
    <w:rsid w:val="00624B75"/>
    <w:rsid w:val="00633FA0"/>
    <w:rsid w:val="00634850"/>
    <w:rsid w:val="00635031"/>
    <w:rsid w:val="00635235"/>
    <w:rsid w:val="00635D66"/>
    <w:rsid w:val="00640940"/>
    <w:rsid w:val="00640AF8"/>
    <w:rsid w:val="00640DAD"/>
    <w:rsid w:val="00640F10"/>
    <w:rsid w:val="0064190A"/>
    <w:rsid w:val="0064657E"/>
    <w:rsid w:val="0064671B"/>
    <w:rsid w:val="0064764D"/>
    <w:rsid w:val="00656517"/>
    <w:rsid w:val="00656561"/>
    <w:rsid w:val="00662536"/>
    <w:rsid w:val="00667E08"/>
    <w:rsid w:val="00670210"/>
    <w:rsid w:val="0067077C"/>
    <w:rsid w:val="006724CC"/>
    <w:rsid w:val="00674463"/>
    <w:rsid w:val="00683D7C"/>
    <w:rsid w:val="006859F7"/>
    <w:rsid w:val="00687BEF"/>
    <w:rsid w:val="0069019B"/>
    <w:rsid w:val="00693363"/>
    <w:rsid w:val="00693D92"/>
    <w:rsid w:val="0069518F"/>
    <w:rsid w:val="00696A94"/>
    <w:rsid w:val="006A2651"/>
    <w:rsid w:val="006A2C95"/>
    <w:rsid w:val="006A386A"/>
    <w:rsid w:val="006A41AF"/>
    <w:rsid w:val="006A52B9"/>
    <w:rsid w:val="006A797E"/>
    <w:rsid w:val="006B4380"/>
    <w:rsid w:val="006B66CD"/>
    <w:rsid w:val="006B7D84"/>
    <w:rsid w:val="006C1B88"/>
    <w:rsid w:val="006C38AD"/>
    <w:rsid w:val="006C6B74"/>
    <w:rsid w:val="006C6FAB"/>
    <w:rsid w:val="006D09EF"/>
    <w:rsid w:val="006D4B39"/>
    <w:rsid w:val="006D4D41"/>
    <w:rsid w:val="006D5F4A"/>
    <w:rsid w:val="006D69E7"/>
    <w:rsid w:val="006E6516"/>
    <w:rsid w:val="006E6527"/>
    <w:rsid w:val="006F050F"/>
    <w:rsid w:val="006F1641"/>
    <w:rsid w:val="006F2940"/>
    <w:rsid w:val="006F3537"/>
    <w:rsid w:val="006F3ACC"/>
    <w:rsid w:val="006F513F"/>
    <w:rsid w:val="007022FB"/>
    <w:rsid w:val="00703EBF"/>
    <w:rsid w:val="007043FE"/>
    <w:rsid w:val="007055B2"/>
    <w:rsid w:val="00706BB2"/>
    <w:rsid w:val="00706BFC"/>
    <w:rsid w:val="00707255"/>
    <w:rsid w:val="00712385"/>
    <w:rsid w:val="007146E0"/>
    <w:rsid w:val="007162A5"/>
    <w:rsid w:val="00717559"/>
    <w:rsid w:val="0071762D"/>
    <w:rsid w:val="007248AA"/>
    <w:rsid w:val="00725BC0"/>
    <w:rsid w:val="00726797"/>
    <w:rsid w:val="00726CB4"/>
    <w:rsid w:val="00733700"/>
    <w:rsid w:val="00740005"/>
    <w:rsid w:val="007403FF"/>
    <w:rsid w:val="00740DF8"/>
    <w:rsid w:val="00745849"/>
    <w:rsid w:val="007471C7"/>
    <w:rsid w:val="00750F7C"/>
    <w:rsid w:val="00753381"/>
    <w:rsid w:val="0075427A"/>
    <w:rsid w:val="00754BEC"/>
    <w:rsid w:val="007617CA"/>
    <w:rsid w:val="00761C8B"/>
    <w:rsid w:val="0076304F"/>
    <w:rsid w:val="007650C9"/>
    <w:rsid w:val="00766E32"/>
    <w:rsid w:val="007811CE"/>
    <w:rsid w:val="00781DD0"/>
    <w:rsid w:val="007845EE"/>
    <w:rsid w:val="00784B86"/>
    <w:rsid w:val="007878E5"/>
    <w:rsid w:val="00791216"/>
    <w:rsid w:val="00792CEB"/>
    <w:rsid w:val="00797654"/>
    <w:rsid w:val="007A3E56"/>
    <w:rsid w:val="007A5671"/>
    <w:rsid w:val="007A5771"/>
    <w:rsid w:val="007A69C1"/>
    <w:rsid w:val="007A6C36"/>
    <w:rsid w:val="007B2075"/>
    <w:rsid w:val="007B2559"/>
    <w:rsid w:val="007B2917"/>
    <w:rsid w:val="007B3B54"/>
    <w:rsid w:val="007B3BE2"/>
    <w:rsid w:val="007B4E3A"/>
    <w:rsid w:val="007B6A76"/>
    <w:rsid w:val="007B711A"/>
    <w:rsid w:val="007C3F49"/>
    <w:rsid w:val="007C434F"/>
    <w:rsid w:val="007C5B64"/>
    <w:rsid w:val="007C5BF9"/>
    <w:rsid w:val="007C65D4"/>
    <w:rsid w:val="007D0E21"/>
    <w:rsid w:val="007D532E"/>
    <w:rsid w:val="007D608A"/>
    <w:rsid w:val="007D7069"/>
    <w:rsid w:val="007D7B4B"/>
    <w:rsid w:val="007E0B76"/>
    <w:rsid w:val="007E131F"/>
    <w:rsid w:val="007E257F"/>
    <w:rsid w:val="007E2FFB"/>
    <w:rsid w:val="007E4008"/>
    <w:rsid w:val="007E68E9"/>
    <w:rsid w:val="007E6A7B"/>
    <w:rsid w:val="007F09A1"/>
    <w:rsid w:val="007F4404"/>
    <w:rsid w:val="007F44BE"/>
    <w:rsid w:val="007F4C48"/>
    <w:rsid w:val="007F5166"/>
    <w:rsid w:val="007F7702"/>
    <w:rsid w:val="00802108"/>
    <w:rsid w:val="00802465"/>
    <w:rsid w:val="00802A51"/>
    <w:rsid w:val="00802CA7"/>
    <w:rsid w:val="00803E85"/>
    <w:rsid w:val="00804BE3"/>
    <w:rsid w:val="00806EFF"/>
    <w:rsid w:val="008130B6"/>
    <w:rsid w:val="00821537"/>
    <w:rsid w:val="00822893"/>
    <w:rsid w:val="00825C08"/>
    <w:rsid w:val="00826B77"/>
    <w:rsid w:val="0083058C"/>
    <w:rsid w:val="00832121"/>
    <w:rsid w:val="00832820"/>
    <w:rsid w:val="008344FF"/>
    <w:rsid w:val="00834ACA"/>
    <w:rsid w:val="00834B1C"/>
    <w:rsid w:val="00835672"/>
    <w:rsid w:val="00835DE7"/>
    <w:rsid w:val="00836304"/>
    <w:rsid w:val="0083631A"/>
    <w:rsid w:val="00840E08"/>
    <w:rsid w:val="00842339"/>
    <w:rsid w:val="00843301"/>
    <w:rsid w:val="0084540A"/>
    <w:rsid w:val="00846097"/>
    <w:rsid w:val="00852A83"/>
    <w:rsid w:val="00852CAE"/>
    <w:rsid w:val="00852F6C"/>
    <w:rsid w:val="00853473"/>
    <w:rsid w:val="00853E1F"/>
    <w:rsid w:val="00854D3E"/>
    <w:rsid w:val="00854F65"/>
    <w:rsid w:val="00860480"/>
    <w:rsid w:val="00861D20"/>
    <w:rsid w:val="00865F30"/>
    <w:rsid w:val="00872E19"/>
    <w:rsid w:val="0087443A"/>
    <w:rsid w:val="00874AAE"/>
    <w:rsid w:val="00874E03"/>
    <w:rsid w:val="00875BF1"/>
    <w:rsid w:val="00875E89"/>
    <w:rsid w:val="00877FD8"/>
    <w:rsid w:val="00881A97"/>
    <w:rsid w:val="00884504"/>
    <w:rsid w:val="00885F8A"/>
    <w:rsid w:val="00890346"/>
    <w:rsid w:val="00891979"/>
    <w:rsid w:val="0089433D"/>
    <w:rsid w:val="008A08D1"/>
    <w:rsid w:val="008A1D1F"/>
    <w:rsid w:val="008A2027"/>
    <w:rsid w:val="008A2CD6"/>
    <w:rsid w:val="008A5088"/>
    <w:rsid w:val="008A58A6"/>
    <w:rsid w:val="008A5C86"/>
    <w:rsid w:val="008A5CDA"/>
    <w:rsid w:val="008A61F2"/>
    <w:rsid w:val="008A7B12"/>
    <w:rsid w:val="008B0D6E"/>
    <w:rsid w:val="008B0EEF"/>
    <w:rsid w:val="008B1786"/>
    <w:rsid w:val="008B353D"/>
    <w:rsid w:val="008B4328"/>
    <w:rsid w:val="008B4B63"/>
    <w:rsid w:val="008B72CA"/>
    <w:rsid w:val="008B7312"/>
    <w:rsid w:val="008B7F9F"/>
    <w:rsid w:val="008C0FA9"/>
    <w:rsid w:val="008C1818"/>
    <w:rsid w:val="008C1A63"/>
    <w:rsid w:val="008C3057"/>
    <w:rsid w:val="008C38B7"/>
    <w:rsid w:val="008C3EF1"/>
    <w:rsid w:val="008D2B1B"/>
    <w:rsid w:val="008D2B93"/>
    <w:rsid w:val="008D5426"/>
    <w:rsid w:val="008E128C"/>
    <w:rsid w:val="008E1721"/>
    <w:rsid w:val="008E3865"/>
    <w:rsid w:val="008E3CD2"/>
    <w:rsid w:val="008E55FF"/>
    <w:rsid w:val="008E78BD"/>
    <w:rsid w:val="008F11A3"/>
    <w:rsid w:val="008F14B0"/>
    <w:rsid w:val="008F1963"/>
    <w:rsid w:val="008F3744"/>
    <w:rsid w:val="0090183B"/>
    <w:rsid w:val="00902BA3"/>
    <w:rsid w:val="00905A43"/>
    <w:rsid w:val="00906F1D"/>
    <w:rsid w:val="00907060"/>
    <w:rsid w:val="00907274"/>
    <w:rsid w:val="00907971"/>
    <w:rsid w:val="00907A6F"/>
    <w:rsid w:val="00910636"/>
    <w:rsid w:val="00910C5A"/>
    <w:rsid w:val="00911A81"/>
    <w:rsid w:val="009132E3"/>
    <w:rsid w:val="009148AC"/>
    <w:rsid w:val="00914C1D"/>
    <w:rsid w:val="0092430C"/>
    <w:rsid w:val="00924E31"/>
    <w:rsid w:val="009333F1"/>
    <w:rsid w:val="00934A18"/>
    <w:rsid w:val="00934CC8"/>
    <w:rsid w:val="0093579C"/>
    <w:rsid w:val="00936600"/>
    <w:rsid w:val="0093720E"/>
    <w:rsid w:val="00937832"/>
    <w:rsid w:val="0094026A"/>
    <w:rsid w:val="00940D05"/>
    <w:rsid w:val="009415DB"/>
    <w:rsid w:val="00943829"/>
    <w:rsid w:val="00943C95"/>
    <w:rsid w:val="009441ED"/>
    <w:rsid w:val="00945910"/>
    <w:rsid w:val="0094622B"/>
    <w:rsid w:val="00946E17"/>
    <w:rsid w:val="009533CC"/>
    <w:rsid w:val="00954D09"/>
    <w:rsid w:val="00955AD3"/>
    <w:rsid w:val="00957DDF"/>
    <w:rsid w:val="00960FE0"/>
    <w:rsid w:val="00964194"/>
    <w:rsid w:val="00964D25"/>
    <w:rsid w:val="00966A2E"/>
    <w:rsid w:val="00966E35"/>
    <w:rsid w:val="00973AF4"/>
    <w:rsid w:val="00974684"/>
    <w:rsid w:val="00983F22"/>
    <w:rsid w:val="0098465E"/>
    <w:rsid w:val="00986804"/>
    <w:rsid w:val="00990131"/>
    <w:rsid w:val="00990F9E"/>
    <w:rsid w:val="00991AD6"/>
    <w:rsid w:val="00992BD3"/>
    <w:rsid w:val="00993038"/>
    <w:rsid w:val="00993BAE"/>
    <w:rsid w:val="0099546D"/>
    <w:rsid w:val="009960F9"/>
    <w:rsid w:val="00997588"/>
    <w:rsid w:val="0099770C"/>
    <w:rsid w:val="00997A56"/>
    <w:rsid w:val="009A3853"/>
    <w:rsid w:val="009A4142"/>
    <w:rsid w:val="009B029F"/>
    <w:rsid w:val="009B0520"/>
    <w:rsid w:val="009B19FF"/>
    <w:rsid w:val="009B4220"/>
    <w:rsid w:val="009B785D"/>
    <w:rsid w:val="009C2A3C"/>
    <w:rsid w:val="009C3D48"/>
    <w:rsid w:val="009C4CAC"/>
    <w:rsid w:val="009C5B87"/>
    <w:rsid w:val="009D07EF"/>
    <w:rsid w:val="009D23E9"/>
    <w:rsid w:val="009D2BC0"/>
    <w:rsid w:val="009D2F28"/>
    <w:rsid w:val="009D327F"/>
    <w:rsid w:val="009D3731"/>
    <w:rsid w:val="009D3F25"/>
    <w:rsid w:val="009D4B8E"/>
    <w:rsid w:val="009D56D7"/>
    <w:rsid w:val="009D7F5D"/>
    <w:rsid w:val="009E044E"/>
    <w:rsid w:val="009E41D3"/>
    <w:rsid w:val="009E5E25"/>
    <w:rsid w:val="009E77F2"/>
    <w:rsid w:val="009F124F"/>
    <w:rsid w:val="009F235A"/>
    <w:rsid w:val="009F2FF9"/>
    <w:rsid w:val="009F3DF5"/>
    <w:rsid w:val="00A0156A"/>
    <w:rsid w:val="00A02972"/>
    <w:rsid w:val="00A0493F"/>
    <w:rsid w:val="00A05C28"/>
    <w:rsid w:val="00A06C96"/>
    <w:rsid w:val="00A072AE"/>
    <w:rsid w:val="00A10889"/>
    <w:rsid w:val="00A109D4"/>
    <w:rsid w:val="00A12D70"/>
    <w:rsid w:val="00A1430A"/>
    <w:rsid w:val="00A14A51"/>
    <w:rsid w:val="00A2215A"/>
    <w:rsid w:val="00A2275D"/>
    <w:rsid w:val="00A22DDB"/>
    <w:rsid w:val="00A25AFB"/>
    <w:rsid w:val="00A300E2"/>
    <w:rsid w:val="00A317B8"/>
    <w:rsid w:val="00A31C8A"/>
    <w:rsid w:val="00A36B6F"/>
    <w:rsid w:val="00A36C35"/>
    <w:rsid w:val="00A37A93"/>
    <w:rsid w:val="00A42BC2"/>
    <w:rsid w:val="00A438B7"/>
    <w:rsid w:val="00A44995"/>
    <w:rsid w:val="00A44D65"/>
    <w:rsid w:val="00A45F83"/>
    <w:rsid w:val="00A463BE"/>
    <w:rsid w:val="00A51C30"/>
    <w:rsid w:val="00A54248"/>
    <w:rsid w:val="00A552D6"/>
    <w:rsid w:val="00A57D2F"/>
    <w:rsid w:val="00A61231"/>
    <w:rsid w:val="00A6297F"/>
    <w:rsid w:val="00A65139"/>
    <w:rsid w:val="00A65515"/>
    <w:rsid w:val="00A71253"/>
    <w:rsid w:val="00A71876"/>
    <w:rsid w:val="00A76D9B"/>
    <w:rsid w:val="00A832A0"/>
    <w:rsid w:val="00A87317"/>
    <w:rsid w:val="00A91411"/>
    <w:rsid w:val="00A93D76"/>
    <w:rsid w:val="00A94647"/>
    <w:rsid w:val="00AA0463"/>
    <w:rsid w:val="00AA0612"/>
    <w:rsid w:val="00AA21B4"/>
    <w:rsid w:val="00AA2D57"/>
    <w:rsid w:val="00AA3F14"/>
    <w:rsid w:val="00AA3F39"/>
    <w:rsid w:val="00AA61B9"/>
    <w:rsid w:val="00AA6C46"/>
    <w:rsid w:val="00AB29C7"/>
    <w:rsid w:val="00AB538B"/>
    <w:rsid w:val="00AB6D11"/>
    <w:rsid w:val="00AC2FD9"/>
    <w:rsid w:val="00AC5753"/>
    <w:rsid w:val="00AC72F0"/>
    <w:rsid w:val="00AD0E7C"/>
    <w:rsid w:val="00AD265B"/>
    <w:rsid w:val="00AD29E4"/>
    <w:rsid w:val="00AD320B"/>
    <w:rsid w:val="00AD3A50"/>
    <w:rsid w:val="00AD51CE"/>
    <w:rsid w:val="00AD735D"/>
    <w:rsid w:val="00AD7650"/>
    <w:rsid w:val="00AE51CF"/>
    <w:rsid w:val="00AE565F"/>
    <w:rsid w:val="00AE7959"/>
    <w:rsid w:val="00AF406E"/>
    <w:rsid w:val="00AF6336"/>
    <w:rsid w:val="00AF76B9"/>
    <w:rsid w:val="00B005E5"/>
    <w:rsid w:val="00B01724"/>
    <w:rsid w:val="00B01B5C"/>
    <w:rsid w:val="00B04623"/>
    <w:rsid w:val="00B05F83"/>
    <w:rsid w:val="00B07BC7"/>
    <w:rsid w:val="00B11307"/>
    <w:rsid w:val="00B11D79"/>
    <w:rsid w:val="00B13B6B"/>
    <w:rsid w:val="00B15CA5"/>
    <w:rsid w:val="00B160D6"/>
    <w:rsid w:val="00B221AD"/>
    <w:rsid w:val="00B31461"/>
    <w:rsid w:val="00B31649"/>
    <w:rsid w:val="00B363D6"/>
    <w:rsid w:val="00B369D6"/>
    <w:rsid w:val="00B372E6"/>
    <w:rsid w:val="00B37B7F"/>
    <w:rsid w:val="00B43E2A"/>
    <w:rsid w:val="00B4425C"/>
    <w:rsid w:val="00B4550A"/>
    <w:rsid w:val="00B50C38"/>
    <w:rsid w:val="00B53589"/>
    <w:rsid w:val="00B53FBA"/>
    <w:rsid w:val="00B55023"/>
    <w:rsid w:val="00B55488"/>
    <w:rsid w:val="00B556AC"/>
    <w:rsid w:val="00B56443"/>
    <w:rsid w:val="00B60F95"/>
    <w:rsid w:val="00B615F9"/>
    <w:rsid w:val="00B62605"/>
    <w:rsid w:val="00B63232"/>
    <w:rsid w:val="00B632B4"/>
    <w:rsid w:val="00B636DC"/>
    <w:rsid w:val="00B64312"/>
    <w:rsid w:val="00B64B1F"/>
    <w:rsid w:val="00B65E04"/>
    <w:rsid w:val="00B668E7"/>
    <w:rsid w:val="00B73CD8"/>
    <w:rsid w:val="00B751A7"/>
    <w:rsid w:val="00B75AB6"/>
    <w:rsid w:val="00B763D7"/>
    <w:rsid w:val="00B8030B"/>
    <w:rsid w:val="00B81B6D"/>
    <w:rsid w:val="00B81FCB"/>
    <w:rsid w:val="00B867DD"/>
    <w:rsid w:val="00B90EA0"/>
    <w:rsid w:val="00B913DF"/>
    <w:rsid w:val="00B914D3"/>
    <w:rsid w:val="00B96747"/>
    <w:rsid w:val="00B96FC9"/>
    <w:rsid w:val="00B97B51"/>
    <w:rsid w:val="00BA0B54"/>
    <w:rsid w:val="00BA0CE8"/>
    <w:rsid w:val="00BA19BE"/>
    <w:rsid w:val="00BB3AB8"/>
    <w:rsid w:val="00BC0B49"/>
    <w:rsid w:val="00BC3BB4"/>
    <w:rsid w:val="00BC5E44"/>
    <w:rsid w:val="00BC63F3"/>
    <w:rsid w:val="00BC7879"/>
    <w:rsid w:val="00BD4B01"/>
    <w:rsid w:val="00BD751C"/>
    <w:rsid w:val="00BE1D26"/>
    <w:rsid w:val="00BE46AC"/>
    <w:rsid w:val="00BE639D"/>
    <w:rsid w:val="00BF0939"/>
    <w:rsid w:val="00BF44C4"/>
    <w:rsid w:val="00BF5C66"/>
    <w:rsid w:val="00BF5D91"/>
    <w:rsid w:val="00BF6BE2"/>
    <w:rsid w:val="00C0160C"/>
    <w:rsid w:val="00C02F16"/>
    <w:rsid w:val="00C04619"/>
    <w:rsid w:val="00C05652"/>
    <w:rsid w:val="00C058D4"/>
    <w:rsid w:val="00C05A4F"/>
    <w:rsid w:val="00C05E5B"/>
    <w:rsid w:val="00C061E3"/>
    <w:rsid w:val="00C119C2"/>
    <w:rsid w:val="00C120E8"/>
    <w:rsid w:val="00C121D2"/>
    <w:rsid w:val="00C122D5"/>
    <w:rsid w:val="00C12B1C"/>
    <w:rsid w:val="00C14967"/>
    <w:rsid w:val="00C1627A"/>
    <w:rsid w:val="00C23789"/>
    <w:rsid w:val="00C23DBC"/>
    <w:rsid w:val="00C26E47"/>
    <w:rsid w:val="00C2750C"/>
    <w:rsid w:val="00C3083F"/>
    <w:rsid w:val="00C31985"/>
    <w:rsid w:val="00C33404"/>
    <w:rsid w:val="00C34A8C"/>
    <w:rsid w:val="00C41377"/>
    <w:rsid w:val="00C42CE4"/>
    <w:rsid w:val="00C431BB"/>
    <w:rsid w:val="00C43BDE"/>
    <w:rsid w:val="00C44773"/>
    <w:rsid w:val="00C502B8"/>
    <w:rsid w:val="00C51774"/>
    <w:rsid w:val="00C53EDB"/>
    <w:rsid w:val="00C62334"/>
    <w:rsid w:val="00C629EE"/>
    <w:rsid w:val="00C676E5"/>
    <w:rsid w:val="00C7079D"/>
    <w:rsid w:val="00C70E5B"/>
    <w:rsid w:val="00C71638"/>
    <w:rsid w:val="00C71A96"/>
    <w:rsid w:val="00C732F0"/>
    <w:rsid w:val="00C7374A"/>
    <w:rsid w:val="00C766EB"/>
    <w:rsid w:val="00C8086D"/>
    <w:rsid w:val="00C8129F"/>
    <w:rsid w:val="00C81D29"/>
    <w:rsid w:val="00C84914"/>
    <w:rsid w:val="00C86566"/>
    <w:rsid w:val="00C917EB"/>
    <w:rsid w:val="00C926AD"/>
    <w:rsid w:val="00C93193"/>
    <w:rsid w:val="00C97FF4"/>
    <w:rsid w:val="00CA0ADF"/>
    <w:rsid w:val="00CA3A14"/>
    <w:rsid w:val="00CA5938"/>
    <w:rsid w:val="00CA5EBF"/>
    <w:rsid w:val="00CB04F8"/>
    <w:rsid w:val="00CB284F"/>
    <w:rsid w:val="00CB642F"/>
    <w:rsid w:val="00CB72BD"/>
    <w:rsid w:val="00CB7F0D"/>
    <w:rsid w:val="00CC1DF7"/>
    <w:rsid w:val="00CC28C6"/>
    <w:rsid w:val="00CC4808"/>
    <w:rsid w:val="00CC4C0C"/>
    <w:rsid w:val="00CD0489"/>
    <w:rsid w:val="00CD1B6F"/>
    <w:rsid w:val="00CD30AA"/>
    <w:rsid w:val="00CD3D90"/>
    <w:rsid w:val="00CD4A55"/>
    <w:rsid w:val="00CD56F8"/>
    <w:rsid w:val="00CD67E1"/>
    <w:rsid w:val="00CE0D2C"/>
    <w:rsid w:val="00CE0EFD"/>
    <w:rsid w:val="00CE1B8A"/>
    <w:rsid w:val="00CE4936"/>
    <w:rsid w:val="00CE5A65"/>
    <w:rsid w:val="00CF0867"/>
    <w:rsid w:val="00CF2A80"/>
    <w:rsid w:val="00CF32F4"/>
    <w:rsid w:val="00CF3600"/>
    <w:rsid w:val="00CF5E07"/>
    <w:rsid w:val="00CF65B7"/>
    <w:rsid w:val="00D003B0"/>
    <w:rsid w:val="00D06F27"/>
    <w:rsid w:val="00D07877"/>
    <w:rsid w:val="00D104D6"/>
    <w:rsid w:val="00D10CC3"/>
    <w:rsid w:val="00D15807"/>
    <w:rsid w:val="00D17563"/>
    <w:rsid w:val="00D22919"/>
    <w:rsid w:val="00D23A88"/>
    <w:rsid w:val="00D24520"/>
    <w:rsid w:val="00D24FB9"/>
    <w:rsid w:val="00D262EA"/>
    <w:rsid w:val="00D302F5"/>
    <w:rsid w:val="00D31595"/>
    <w:rsid w:val="00D31DFE"/>
    <w:rsid w:val="00D378A3"/>
    <w:rsid w:val="00D40AAD"/>
    <w:rsid w:val="00D40DEC"/>
    <w:rsid w:val="00D4403D"/>
    <w:rsid w:val="00D4526A"/>
    <w:rsid w:val="00D454E8"/>
    <w:rsid w:val="00D47ACC"/>
    <w:rsid w:val="00D51066"/>
    <w:rsid w:val="00D51FE7"/>
    <w:rsid w:val="00D52F32"/>
    <w:rsid w:val="00D5620F"/>
    <w:rsid w:val="00D60807"/>
    <w:rsid w:val="00D60E2B"/>
    <w:rsid w:val="00D611A0"/>
    <w:rsid w:val="00D61332"/>
    <w:rsid w:val="00D64D1F"/>
    <w:rsid w:val="00D66519"/>
    <w:rsid w:val="00D71184"/>
    <w:rsid w:val="00D7160E"/>
    <w:rsid w:val="00D73280"/>
    <w:rsid w:val="00D735FF"/>
    <w:rsid w:val="00D73A3C"/>
    <w:rsid w:val="00D74FF1"/>
    <w:rsid w:val="00D82E72"/>
    <w:rsid w:val="00D830B9"/>
    <w:rsid w:val="00D903A6"/>
    <w:rsid w:val="00D9098B"/>
    <w:rsid w:val="00D91BC7"/>
    <w:rsid w:val="00D9288B"/>
    <w:rsid w:val="00D938F7"/>
    <w:rsid w:val="00D953AA"/>
    <w:rsid w:val="00D961B4"/>
    <w:rsid w:val="00DA0765"/>
    <w:rsid w:val="00DA3060"/>
    <w:rsid w:val="00DA61E9"/>
    <w:rsid w:val="00DA6F20"/>
    <w:rsid w:val="00DA775F"/>
    <w:rsid w:val="00DB17ED"/>
    <w:rsid w:val="00DC25A7"/>
    <w:rsid w:val="00DC2D7A"/>
    <w:rsid w:val="00DC2E2B"/>
    <w:rsid w:val="00DD14E1"/>
    <w:rsid w:val="00DE0959"/>
    <w:rsid w:val="00DE1245"/>
    <w:rsid w:val="00DE3A75"/>
    <w:rsid w:val="00DE637D"/>
    <w:rsid w:val="00DF25CE"/>
    <w:rsid w:val="00DF53D7"/>
    <w:rsid w:val="00DF540D"/>
    <w:rsid w:val="00DF54C2"/>
    <w:rsid w:val="00DF5787"/>
    <w:rsid w:val="00DF7733"/>
    <w:rsid w:val="00E019D5"/>
    <w:rsid w:val="00E02771"/>
    <w:rsid w:val="00E02DF9"/>
    <w:rsid w:val="00E03E14"/>
    <w:rsid w:val="00E06474"/>
    <w:rsid w:val="00E10948"/>
    <w:rsid w:val="00E138B2"/>
    <w:rsid w:val="00E13A95"/>
    <w:rsid w:val="00E14C76"/>
    <w:rsid w:val="00E14F64"/>
    <w:rsid w:val="00E14F84"/>
    <w:rsid w:val="00E15FD6"/>
    <w:rsid w:val="00E1630A"/>
    <w:rsid w:val="00E16AED"/>
    <w:rsid w:val="00E205B3"/>
    <w:rsid w:val="00E21CCE"/>
    <w:rsid w:val="00E22DA3"/>
    <w:rsid w:val="00E23208"/>
    <w:rsid w:val="00E24A15"/>
    <w:rsid w:val="00E24F4E"/>
    <w:rsid w:val="00E275CC"/>
    <w:rsid w:val="00E3023E"/>
    <w:rsid w:val="00E315FF"/>
    <w:rsid w:val="00E31AA9"/>
    <w:rsid w:val="00E338FA"/>
    <w:rsid w:val="00E33CB2"/>
    <w:rsid w:val="00E34B78"/>
    <w:rsid w:val="00E353F3"/>
    <w:rsid w:val="00E42723"/>
    <w:rsid w:val="00E43867"/>
    <w:rsid w:val="00E44C58"/>
    <w:rsid w:val="00E4608F"/>
    <w:rsid w:val="00E46F71"/>
    <w:rsid w:val="00E47019"/>
    <w:rsid w:val="00E50A44"/>
    <w:rsid w:val="00E51FE7"/>
    <w:rsid w:val="00E52C7E"/>
    <w:rsid w:val="00E53AD3"/>
    <w:rsid w:val="00E56A2C"/>
    <w:rsid w:val="00E6281F"/>
    <w:rsid w:val="00E6681C"/>
    <w:rsid w:val="00E7585E"/>
    <w:rsid w:val="00E760B6"/>
    <w:rsid w:val="00E7692F"/>
    <w:rsid w:val="00E8056B"/>
    <w:rsid w:val="00E8228A"/>
    <w:rsid w:val="00E85AEF"/>
    <w:rsid w:val="00E8626D"/>
    <w:rsid w:val="00E94FD6"/>
    <w:rsid w:val="00E96AA4"/>
    <w:rsid w:val="00EA10FE"/>
    <w:rsid w:val="00EA1831"/>
    <w:rsid w:val="00EA2204"/>
    <w:rsid w:val="00EA258A"/>
    <w:rsid w:val="00EA2746"/>
    <w:rsid w:val="00EA3251"/>
    <w:rsid w:val="00EB0C47"/>
    <w:rsid w:val="00EB0E80"/>
    <w:rsid w:val="00EB39FF"/>
    <w:rsid w:val="00EB4857"/>
    <w:rsid w:val="00EB52D8"/>
    <w:rsid w:val="00EC3571"/>
    <w:rsid w:val="00EC5AD5"/>
    <w:rsid w:val="00EC6498"/>
    <w:rsid w:val="00EC751A"/>
    <w:rsid w:val="00EC7FDA"/>
    <w:rsid w:val="00ED06E4"/>
    <w:rsid w:val="00ED0B80"/>
    <w:rsid w:val="00ED1DB0"/>
    <w:rsid w:val="00ED2995"/>
    <w:rsid w:val="00ED34CE"/>
    <w:rsid w:val="00ED41E0"/>
    <w:rsid w:val="00ED582F"/>
    <w:rsid w:val="00ED6831"/>
    <w:rsid w:val="00EE07EE"/>
    <w:rsid w:val="00EE2D2D"/>
    <w:rsid w:val="00EE4129"/>
    <w:rsid w:val="00EE4228"/>
    <w:rsid w:val="00EE49C2"/>
    <w:rsid w:val="00EF1B2D"/>
    <w:rsid w:val="00EF247E"/>
    <w:rsid w:val="00EF3B6C"/>
    <w:rsid w:val="00EF6EED"/>
    <w:rsid w:val="00F00BBD"/>
    <w:rsid w:val="00F019AA"/>
    <w:rsid w:val="00F03BE7"/>
    <w:rsid w:val="00F0610C"/>
    <w:rsid w:val="00F06E9C"/>
    <w:rsid w:val="00F105BF"/>
    <w:rsid w:val="00F11C55"/>
    <w:rsid w:val="00F151DD"/>
    <w:rsid w:val="00F16C2D"/>
    <w:rsid w:val="00F17E6F"/>
    <w:rsid w:val="00F17EC7"/>
    <w:rsid w:val="00F20633"/>
    <w:rsid w:val="00F21CE8"/>
    <w:rsid w:val="00F23F7C"/>
    <w:rsid w:val="00F24101"/>
    <w:rsid w:val="00F26132"/>
    <w:rsid w:val="00F26863"/>
    <w:rsid w:val="00F26CFA"/>
    <w:rsid w:val="00F26D5F"/>
    <w:rsid w:val="00F32BD9"/>
    <w:rsid w:val="00F33008"/>
    <w:rsid w:val="00F3687A"/>
    <w:rsid w:val="00F37828"/>
    <w:rsid w:val="00F470A7"/>
    <w:rsid w:val="00F47FDE"/>
    <w:rsid w:val="00F506FD"/>
    <w:rsid w:val="00F51B8C"/>
    <w:rsid w:val="00F51DD2"/>
    <w:rsid w:val="00F52310"/>
    <w:rsid w:val="00F52EAD"/>
    <w:rsid w:val="00F52FB6"/>
    <w:rsid w:val="00F551E7"/>
    <w:rsid w:val="00F56935"/>
    <w:rsid w:val="00F60AB2"/>
    <w:rsid w:val="00F637DB"/>
    <w:rsid w:val="00F66A3C"/>
    <w:rsid w:val="00F70859"/>
    <w:rsid w:val="00F71734"/>
    <w:rsid w:val="00F729E0"/>
    <w:rsid w:val="00F73FD9"/>
    <w:rsid w:val="00F748B9"/>
    <w:rsid w:val="00F74A6D"/>
    <w:rsid w:val="00F759C3"/>
    <w:rsid w:val="00F769BB"/>
    <w:rsid w:val="00F80E00"/>
    <w:rsid w:val="00F829EC"/>
    <w:rsid w:val="00F83C66"/>
    <w:rsid w:val="00F83E5B"/>
    <w:rsid w:val="00F85113"/>
    <w:rsid w:val="00F85530"/>
    <w:rsid w:val="00F861A5"/>
    <w:rsid w:val="00F862C3"/>
    <w:rsid w:val="00F86426"/>
    <w:rsid w:val="00F87DB9"/>
    <w:rsid w:val="00F91F03"/>
    <w:rsid w:val="00F9546E"/>
    <w:rsid w:val="00F971D6"/>
    <w:rsid w:val="00FA1E1F"/>
    <w:rsid w:val="00FA26A5"/>
    <w:rsid w:val="00FA4DA2"/>
    <w:rsid w:val="00FA5275"/>
    <w:rsid w:val="00FB2CC5"/>
    <w:rsid w:val="00FB3029"/>
    <w:rsid w:val="00FB3E18"/>
    <w:rsid w:val="00FB4AB9"/>
    <w:rsid w:val="00FB4DD4"/>
    <w:rsid w:val="00FB5163"/>
    <w:rsid w:val="00FC0E8F"/>
    <w:rsid w:val="00FC1688"/>
    <w:rsid w:val="00FC3859"/>
    <w:rsid w:val="00FC561A"/>
    <w:rsid w:val="00FD290A"/>
    <w:rsid w:val="00FD2E25"/>
    <w:rsid w:val="00FD34D6"/>
    <w:rsid w:val="00FD681D"/>
    <w:rsid w:val="00FE4B4F"/>
    <w:rsid w:val="00FF114D"/>
    <w:rsid w:val="00FF4F15"/>
    <w:rsid w:val="00FF6962"/>
    <w:rsid w:val="00FF73E6"/>
    <w:rsid w:val="00FF75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5:docId w15:val="{D80D26DF-0CC0-437B-8A77-9E475650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27A"/>
    <w:rPr>
      <w:sz w:val="22"/>
      <w:szCs w:val="22"/>
      <w:lang w:eastAsia="en-US"/>
    </w:rPr>
  </w:style>
  <w:style w:type="paragraph" w:styleId="Heading1">
    <w:name w:val="heading 1"/>
    <w:aliases w:val="ATA Submission Heading 1"/>
    <w:basedOn w:val="Normal"/>
    <w:next w:val="Normal"/>
    <w:link w:val="Heading1Char"/>
    <w:uiPriority w:val="99"/>
    <w:qFormat/>
    <w:rsid w:val="003B74E4"/>
    <w:pPr>
      <w:numPr>
        <w:numId w:val="1"/>
      </w:numPr>
      <w:outlineLvl w:val="0"/>
    </w:pPr>
    <w:rPr>
      <w:rFonts w:ascii="Arial" w:hAnsi="Arial" w:cs="Arial"/>
      <w:b/>
      <w:color w:val="000064"/>
      <w:sz w:val="28"/>
      <w:szCs w:val="28"/>
    </w:rPr>
  </w:style>
  <w:style w:type="paragraph" w:styleId="Heading2">
    <w:name w:val="heading 2"/>
    <w:basedOn w:val="Normal"/>
    <w:next w:val="Normal"/>
    <w:link w:val="Heading2Char"/>
    <w:semiHidden/>
    <w:unhideWhenUsed/>
    <w:qFormat/>
    <w:locked/>
    <w:rsid w:val="006859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0F53C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TA Submission Heading 1 Char"/>
    <w:basedOn w:val="DefaultParagraphFont"/>
    <w:link w:val="Heading1"/>
    <w:uiPriority w:val="99"/>
    <w:locked/>
    <w:rsid w:val="003B74E4"/>
    <w:rPr>
      <w:rFonts w:ascii="Arial" w:hAnsi="Arial" w:cs="Arial"/>
      <w:b/>
      <w:color w:val="000064"/>
      <w:sz w:val="28"/>
      <w:szCs w:val="28"/>
      <w:lang w:eastAsia="en-US"/>
    </w:rPr>
  </w:style>
  <w:style w:type="character" w:customStyle="1" w:styleId="Heading2Char">
    <w:name w:val="Heading 2 Char"/>
    <w:basedOn w:val="DefaultParagraphFont"/>
    <w:link w:val="Heading2"/>
    <w:semiHidden/>
    <w:rsid w:val="006859F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9"/>
    <w:locked/>
    <w:rsid w:val="000F53C2"/>
    <w:rPr>
      <w:rFonts w:ascii="Cambria" w:hAnsi="Cambria" w:cs="Times New Roman"/>
      <w:b/>
      <w:bCs/>
      <w:sz w:val="26"/>
      <w:szCs w:val="26"/>
      <w:lang w:eastAsia="en-US"/>
    </w:rPr>
  </w:style>
  <w:style w:type="table" w:styleId="TableGrid">
    <w:name w:val="Table Grid"/>
    <w:basedOn w:val="TableNormal"/>
    <w:uiPriority w:val="59"/>
    <w:rsid w:val="00C162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semiHidden/>
    <w:rsid w:val="004B6187"/>
    <w:rPr>
      <w:rFonts w:ascii="Arial" w:eastAsia="Times New Roman" w:hAnsi="Arial" w:cs="Arial"/>
      <w:b/>
      <w:bCs/>
      <w:szCs w:val="20"/>
    </w:rPr>
  </w:style>
  <w:style w:type="character" w:customStyle="1" w:styleId="BodyText2Char">
    <w:name w:val="Body Text 2 Char"/>
    <w:basedOn w:val="DefaultParagraphFont"/>
    <w:link w:val="BodyText2"/>
    <w:uiPriority w:val="99"/>
    <w:semiHidden/>
    <w:locked/>
    <w:rsid w:val="004B6187"/>
    <w:rPr>
      <w:rFonts w:ascii="Arial" w:hAnsi="Arial" w:cs="Arial"/>
      <w:b/>
      <w:bCs/>
      <w:sz w:val="20"/>
      <w:szCs w:val="20"/>
    </w:rPr>
  </w:style>
  <w:style w:type="paragraph" w:styleId="Header">
    <w:name w:val="header"/>
    <w:basedOn w:val="Normal"/>
    <w:link w:val="HeaderChar"/>
    <w:uiPriority w:val="99"/>
    <w:rsid w:val="000F3D9F"/>
    <w:pPr>
      <w:tabs>
        <w:tab w:val="center" w:pos="4513"/>
        <w:tab w:val="right" w:pos="9026"/>
      </w:tabs>
    </w:pPr>
  </w:style>
  <w:style w:type="character" w:customStyle="1" w:styleId="HeaderChar">
    <w:name w:val="Header Char"/>
    <w:basedOn w:val="DefaultParagraphFont"/>
    <w:link w:val="Header"/>
    <w:uiPriority w:val="99"/>
    <w:locked/>
    <w:rsid w:val="000F3D9F"/>
    <w:rPr>
      <w:rFonts w:cs="Times New Roman"/>
      <w:sz w:val="22"/>
      <w:szCs w:val="22"/>
      <w:lang w:eastAsia="en-US"/>
    </w:rPr>
  </w:style>
  <w:style w:type="paragraph" w:styleId="Footer">
    <w:name w:val="footer"/>
    <w:basedOn w:val="Normal"/>
    <w:link w:val="FooterChar"/>
    <w:uiPriority w:val="99"/>
    <w:rsid w:val="000F3D9F"/>
    <w:pPr>
      <w:tabs>
        <w:tab w:val="center" w:pos="4513"/>
        <w:tab w:val="right" w:pos="9026"/>
      </w:tabs>
    </w:pPr>
  </w:style>
  <w:style w:type="character" w:customStyle="1" w:styleId="FooterChar">
    <w:name w:val="Footer Char"/>
    <w:basedOn w:val="DefaultParagraphFont"/>
    <w:link w:val="Footer"/>
    <w:uiPriority w:val="99"/>
    <w:locked/>
    <w:rsid w:val="000F3D9F"/>
    <w:rPr>
      <w:rFonts w:cs="Times New Roman"/>
      <w:sz w:val="22"/>
      <w:szCs w:val="22"/>
      <w:lang w:eastAsia="en-US"/>
    </w:rPr>
  </w:style>
  <w:style w:type="paragraph" w:styleId="ListParagraph">
    <w:name w:val="List Paragraph"/>
    <w:basedOn w:val="Normal"/>
    <w:uiPriority w:val="34"/>
    <w:qFormat/>
    <w:rsid w:val="000F53C2"/>
    <w:pPr>
      <w:spacing w:after="200" w:line="276" w:lineRule="auto"/>
      <w:ind w:left="720"/>
      <w:contextualSpacing/>
    </w:pPr>
  </w:style>
  <w:style w:type="paragraph" w:styleId="FootnoteText">
    <w:name w:val="footnote text"/>
    <w:basedOn w:val="Normal"/>
    <w:link w:val="FootnoteTextChar"/>
    <w:uiPriority w:val="99"/>
    <w:semiHidden/>
    <w:rsid w:val="000F53C2"/>
    <w:rPr>
      <w:sz w:val="20"/>
      <w:szCs w:val="20"/>
    </w:rPr>
  </w:style>
  <w:style w:type="character" w:customStyle="1" w:styleId="FootnoteTextChar">
    <w:name w:val="Footnote Text Char"/>
    <w:basedOn w:val="DefaultParagraphFont"/>
    <w:link w:val="FootnoteText"/>
    <w:uiPriority w:val="99"/>
    <w:semiHidden/>
    <w:locked/>
    <w:rsid w:val="000F53C2"/>
    <w:rPr>
      <w:rFonts w:cs="Times New Roman"/>
      <w:lang w:eastAsia="en-US"/>
    </w:rPr>
  </w:style>
  <w:style w:type="character" w:styleId="FootnoteReference">
    <w:name w:val="footnote reference"/>
    <w:basedOn w:val="DefaultParagraphFont"/>
    <w:uiPriority w:val="99"/>
    <w:semiHidden/>
    <w:rsid w:val="000F53C2"/>
    <w:rPr>
      <w:rFonts w:cs="Times New Roman"/>
      <w:vertAlign w:val="superscript"/>
    </w:rPr>
  </w:style>
  <w:style w:type="paragraph" w:customStyle="1" w:styleId="Default">
    <w:name w:val="Default"/>
    <w:link w:val="DefaultChar"/>
    <w:rsid w:val="000F53C2"/>
    <w:pPr>
      <w:autoSpaceDE w:val="0"/>
      <w:autoSpaceDN w:val="0"/>
      <w:adjustRightInd w:val="0"/>
    </w:pPr>
    <w:rPr>
      <w:rFonts w:ascii="Times New Roman" w:hAnsi="Times New Roman"/>
      <w:color w:val="000000"/>
      <w:sz w:val="24"/>
      <w:szCs w:val="24"/>
    </w:rPr>
  </w:style>
  <w:style w:type="character" w:customStyle="1" w:styleId="DefaultChar">
    <w:name w:val="Default Char"/>
    <w:basedOn w:val="DefaultParagraphFont"/>
    <w:link w:val="Default"/>
    <w:uiPriority w:val="99"/>
    <w:locked/>
    <w:rsid w:val="000F53C2"/>
    <w:rPr>
      <w:rFonts w:ascii="Times New Roman" w:hAnsi="Times New Roman"/>
      <w:color w:val="000000"/>
      <w:sz w:val="24"/>
      <w:szCs w:val="24"/>
      <w:lang w:val="en-AU" w:eastAsia="en-AU" w:bidi="ar-SA"/>
    </w:rPr>
  </w:style>
  <w:style w:type="paragraph" w:customStyle="1" w:styleId="ATAHeading2">
    <w:name w:val="ATA Heading 2"/>
    <w:basedOn w:val="Normal"/>
    <w:link w:val="ATAHeading2Char"/>
    <w:uiPriority w:val="99"/>
    <w:rsid w:val="00B13B6B"/>
    <w:pPr>
      <w:numPr>
        <w:ilvl w:val="1"/>
        <w:numId w:val="1"/>
      </w:numPr>
      <w:spacing w:before="120" w:after="120" w:line="276" w:lineRule="auto"/>
    </w:pPr>
    <w:rPr>
      <w:rFonts w:ascii="Arial" w:hAnsi="Arial" w:cs="Arial"/>
      <w:b/>
      <w:color w:val="000064"/>
      <w:sz w:val="26"/>
      <w:szCs w:val="26"/>
    </w:rPr>
  </w:style>
  <w:style w:type="character" w:customStyle="1" w:styleId="ATAHeading2Char">
    <w:name w:val="ATA Heading 2 Char"/>
    <w:basedOn w:val="DefaultParagraphFont"/>
    <w:link w:val="ATAHeading2"/>
    <w:uiPriority w:val="99"/>
    <w:locked/>
    <w:rsid w:val="00B13B6B"/>
    <w:rPr>
      <w:rFonts w:ascii="Arial" w:hAnsi="Arial" w:cs="Arial"/>
      <w:b/>
      <w:color w:val="000064"/>
      <w:sz w:val="26"/>
      <w:szCs w:val="26"/>
      <w:lang w:eastAsia="en-US"/>
    </w:rPr>
  </w:style>
  <w:style w:type="paragraph" w:customStyle="1" w:styleId="ATAHeading3">
    <w:name w:val="ATA Heading 3"/>
    <w:basedOn w:val="ATAHeading2"/>
    <w:link w:val="ATAHeading3Char"/>
    <w:uiPriority w:val="99"/>
    <w:rsid w:val="00D40AAD"/>
    <w:pPr>
      <w:numPr>
        <w:ilvl w:val="2"/>
      </w:numPr>
      <w:tabs>
        <w:tab w:val="left" w:pos="992"/>
      </w:tabs>
    </w:pPr>
    <w:rPr>
      <w:i/>
      <w:color w:val="0D0D0D" w:themeColor="text1" w:themeTint="F2"/>
      <w:sz w:val="22"/>
      <w:szCs w:val="22"/>
    </w:rPr>
  </w:style>
  <w:style w:type="character" w:customStyle="1" w:styleId="ATAHeading3Char">
    <w:name w:val="ATA Heading 3 Char"/>
    <w:basedOn w:val="DefaultParagraphFont"/>
    <w:link w:val="ATAHeading3"/>
    <w:uiPriority w:val="99"/>
    <w:locked/>
    <w:rsid w:val="00D40AAD"/>
    <w:rPr>
      <w:rFonts w:ascii="Arial" w:hAnsi="Arial" w:cs="Arial"/>
      <w:b/>
      <w:i/>
      <w:color w:val="0D0D0D" w:themeColor="text1" w:themeTint="F2"/>
      <w:sz w:val="22"/>
      <w:szCs w:val="22"/>
      <w:lang w:eastAsia="en-US"/>
    </w:rPr>
  </w:style>
  <w:style w:type="paragraph" w:customStyle="1" w:styleId="Quotes">
    <w:name w:val="Quotes"/>
    <w:basedOn w:val="Default"/>
    <w:link w:val="QuotesChar"/>
    <w:uiPriority w:val="99"/>
    <w:rsid w:val="000F53C2"/>
    <w:pPr>
      <w:ind w:left="851"/>
    </w:pPr>
    <w:rPr>
      <w:sz w:val="22"/>
      <w:szCs w:val="22"/>
    </w:rPr>
  </w:style>
  <w:style w:type="character" w:customStyle="1" w:styleId="QuotesChar">
    <w:name w:val="Quotes Char"/>
    <w:basedOn w:val="DefaultChar"/>
    <w:link w:val="Quotes"/>
    <w:uiPriority w:val="99"/>
    <w:locked/>
    <w:rsid w:val="000F53C2"/>
    <w:rPr>
      <w:rFonts w:ascii="Times New Roman" w:hAnsi="Times New Roman"/>
      <w:color w:val="000000"/>
      <w:sz w:val="22"/>
      <w:szCs w:val="22"/>
      <w:lang w:val="en-AU" w:eastAsia="en-AU" w:bidi="ar-SA"/>
    </w:rPr>
  </w:style>
  <w:style w:type="paragraph" w:customStyle="1" w:styleId="ATARecommendationHeading">
    <w:name w:val="ATA Recommendation Heading"/>
    <w:basedOn w:val="Normal"/>
    <w:link w:val="ATARecommendationHeadingChar"/>
    <w:uiPriority w:val="99"/>
    <w:rsid w:val="00740005"/>
    <w:rPr>
      <w:rFonts w:ascii="Arial" w:hAnsi="Arial" w:cs="Arial"/>
      <w:i/>
    </w:rPr>
  </w:style>
  <w:style w:type="character" w:customStyle="1" w:styleId="ATARecommendationHeadingChar">
    <w:name w:val="ATA Recommendation Heading Char"/>
    <w:basedOn w:val="DefaultParagraphFont"/>
    <w:link w:val="ATARecommendationHeading"/>
    <w:uiPriority w:val="99"/>
    <w:rsid w:val="006859F7"/>
    <w:rPr>
      <w:rFonts w:ascii="Arial" w:hAnsi="Arial" w:cs="Arial"/>
      <w:i/>
      <w:sz w:val="22"/>
      <w:szCs w:val="22"/>
      <w:lang w:eastAsia="en-US"/>
    </w:rPr>
  </w:style>
  <w:style w:type="paragraph" w:styleId="BalloonText">
    <w:name w:val="Balloon Text"/>
    <w:basedOn w:val="Normal"/>
    <w:link w:val="BalloonTextChar"/>
    <w:uiPriority w:val="99"/>
    <w:semiHidden/>
    <w:rsid w:val="007400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0005"/>
    <w:rPr>
      <w:rFonts w:ascii="Tahoma" w:hAnsi="Tahoma" w:cs="Tahoma"/>
      <w:sz w:val="16"/>
      <w:szCs w:val="16"/>
      <w:lang w:eastAsia="en-US"/>
    </w:rPr>
  </w:style>
  <w:style w:type="character" w:styleId="Strong">
    <w:name w:val="Strong"/>
    <w:basedOn w:val="DefaultParagraphFont"/>
    <w:uiPriority w:val="22"/>
    <w:qFormat/>
    <w:locked/>
    <w:rsid w:val="00960FE0"/>
    <w:rPr>
      <w:b/>
      <w:bCs/>
    </w:rPr>
  </w:style>
  <w:style w:type="paragraph" w:styleId="EndnoteText">
    <w:name w:val="endnote text"/>
    <w:basedOn w:val="Normal"/>
    <w:link w:val="EndnoteTextChar"/>
    <w:uiPriority w:val="99"/>
    <w:semiHidden/>
    <w:unhideWhenUsed/>
    <w:rsid w:val="00EE4129"/>
    <w:rPr>
      <w:sz w:val="20"/>
      <w:szCs w:val="20"/>
    </w:rPr>
  </w:style>
  <w:style w:type="character" w:customStyle="1" w:styleId="EndnoteTextChar">
    <w:name w:val="Endnote Text Char"/>
    <w:basedOn w:val="DefaultParagraphFont"/>
    <w:link w:val="EndnoteText"/>
    <w:uiPriority w:val="99"/>
    <w:semiHidden/>
    <w:rsid w:val="00EE4129"/>
    <w:rPr>
      <w:lang w:eastAsia="en-US"/>
    </w:rPr>
  </w:style>
  <w:style w:type="character" w:styleId="EndnoteReference">
    <w:name w:val="endnote reference"/>
    <w:basedOn w:val="DefaultParagraphFont"/>
    <w:uiPriority w:val="99"/>
    <w:semiHidden/>
    <w:unhideWhenUsed/>
    <w:rsid w:val="00EE4129"/>
    <w:rPr>
      <w:vertAlign w:val="superscript"/>
    </w:rPr>
  </w:style>
  <w:style w:type="paragraph" w:styleId="TOC1">
    <w:name w:val="toc 1"/>
    <w:basedOn w:val="Normal"/>
    <w:next w:val="Normal"/>
    <w:autoRedefine/>
    <w:uiPriority w:val="39"/>
    <w:locked/>
    <w:rsid w:val="00CF0867"/>
    <w:pPr>
      <w:tabs>
        <w:tab w:val="left" w:pos="442"/>
        <w:tab w:val="right" w:leader="dot" w:pos="9628"/>
      </w:tabs>
      <w:spacing w:before="360" w:after="100"/>
    </w:pPr>
    <w:rPr>
      <w:rFonts w:ascii="Arial" w:hAnsi="Arial"/>
      <w:b/>
      <w:noProof/>
      <w:color w:val="000000" w:themeColor="text1"/>
      <w:sz w:val="20"/>
      <w:szCs w:val="20"/>
    </w:rPr>
  </w:style>
  <w:style w:type="paragraph" w:styleId="TOC2">
    <w:name w:val="toc 2"/>
    <w:basedOn w:val="Normal"/>
    <w:next w:val="Normal"/>
    <w:autoRedefine/>
    <w:uiPriority w:val="39"/>
    <w:locked/>
    <w:rsid w:val="00C86566"/>
    <w:pPr>
      <w:tabs>
        <w:tab w:val="left" w:pos="880"/>
        <w:tab w:val="right" w:leader="dot" w:pos="9628"/>
      </w:tabs>
      <w:spacing w:after="120"/>
      <w:ind w:left="851" w:hanging="630"/>
    </w:pPr>
    <w:rPr>
      <w:rFonts w:ascii="Arial" w:hAnsi="Arial"/>
      <w:sz w:val="20"/>
    </w:rPr>
  </w:style>
  <w:style w:type="paragraph" w:customStyle="1" w:styleId="RecommendationStyle">
    <w:name w:val="Recommendation Style"/>
    <w:basedOn w:val="ATARecommendationHeading"/>
    <w:link w:val="RecommendationStyleChar"/>
    <w:qFormat/>
    <w:rsid w:val="00907971"/>
    <w:pPr>
      <w:numPr>
        <w:numId w:val="2"/>
      </w:numPr>
      <w:tabs>
        <w:tab w:val="left" w:pos="2098"/>
      </w:tabs>
      <w:spacing w:before="240" w:after="120"/>
    </w:pPr>
    <w:rPr>
      <w:b/>
      <w:sz w:val="20"/>
      <w:szCs w:val="20"/>
    </w:rPr>
  </w:style>
  <w:style w:type="character" w:customStyle="1" w:styleId="RecommendationStyleChar">
    <w:name w:val="Recommendation Style Char"/>
    <w:basedOn w:val="ATARecommendationHeadingChar"/>
    <w:link w:val="RecommendationStyle"/>
    <w:rsid w:val="00907971"/>
    <w:rPr>
      <w:rFonts w:ascii="Arial" w:hAnsi="Arial" w:cs="Arial"/>
      <w:b/>
      <w:i/>
      <w:sz w:val="22"/>
      <w:szCs w:val="22"/>
      <w:lang w:eastAsia="en-US"/>
    </w:rPr>
  </w:style>
  <w:style w:type="paragraph" w:customStyle="1" w:styleId="RecommendationStyle2">
    <w:name w:val="Recommendation Style 2"/>
    <w:basedOn w:val="Normal"/>
    <w:link w:val="RecommendationStyle2Char"/>
    <w:qFormat/>
    <w:rsid w:val="006859F7"/>
    <w:pPr>
      <w:jc w:val="both"/>
    </w:pPr>
    <w:rPr>
      <w:rFonts w:ascii="Arial" w:hAnsi="Arial" w:cs="Arial"/>
      <w:b/>
      <w:sz w:val="20"/>
      <w:szCs w:val="20"/>
    </w:rPr>
  </w:style>
  <w:style w:type="character" w:customStyle="1" w:styleId="RecommendationStyle2Char">
    <w:name w:val="Recommendation Style 2 Char"/>
    <w:basedOn w:val="DefaultParagraphFont"/>
    <w:link w:val="RecommendationStyle2"/>
    <w:rsid w:val="006859F7"/>
    <w:rPr>
      <w:rFonts w:ascii="Arial" w:hAnsi="Arial" w:cs="Arial"/>
      <w:b/>
      <w:lang w:eastAsia="en-US"/>
    </w:rPr>
  </w:style>
  <w:style w:type="character" w:styleId="Hyperlink">
    <w:name w:val="Hyperlink"/>
    <w:basedOn w:val="DefaultParagraphFont"/>
    <w:uiPriority w:val="99"/>
    <w:unhideWhenUsed/>
    <w:rsid w:val="009E77F2"/>
    <w:rPr>
      <w:color w:val="0000FF" w:themeColor="hyperlink"/>
      <w:u w:val="single"/>
    </w:rPr>
  </w:style>
  <w:style w:type="paragraph" w:customStyle="1" w:styleId="RecommendationStyle3">
    <w:name w:val="Recommendation Style 3"/>
    <w:basedOn w:val="RecommendationStyle2"/>
    <w:link w:val="RecommendationStyle3Char"/>
    <w:qFormat/>
    <w:rsid w:val="00907971"/>
    <w:rPr>
      <w:color w:val="FFFFFF" w:themeColor="background1"/>
    </w:rPr>
  </w:style>
  <w:style w:type="paragraph" w:styleId="TOC3">
    <w:name w:val="toc 3"/>
    <w:basedOn w:val="Normal"/>
    <w:next w:val="Normal"/>
    <w:autoRedefine/>
    <w:uiPriority w:val="39"/>
    <w:locked/>
    <w:rsid w:val="00907971"/>
    <w:pPr>
      <w:tabs>
        <w:tab w:val="right" w:leader="dot" w:pos="9628"/>
      </w:tabs>
      <w:ind w:left="442"/>
    </w:pPr>
    <w:rPr>
      <w:noProof/>
      <w:color w:val="FFFFFF" w:themeColor="background1"/>
    </w:rPr>
  </w:style>
  <w:style w:type="character" w:customStyle="1" w:styleId="RecommendationStyle3Char">
    <w:name w:val="Recommendation Style 3 Char"/>
    <w:basedOn w:val="RecommendationStyle2Char"/>
    <w:link w:val="RecommendationStyle3"/>
    <w:rsid w:val="00907971"/>
    <w:rPr>
      <w:rFonts w:ascii="Arial" w:hAnsi="Arial" w:cs="Arial"/>
      <w:b/>
      <w:color w:val="FFFFFF" w:themeColor="background1"/>
      <w:lang w:eastAsia="en-US"/>
    </w:rPr>
  </w:style>
  <w:style w:type="paragraph" w:customStyle="1" w:styleId="ATASubHead1">
    <w:name w:val="ATASubHead1"/>
    <w:basedOn w:val="Normal"/>
    <w:link w:val="ATASubHead1Char"/>
    <w:qFormat/>
    <w:rsid w:val="004008C7"/>
    <w:pPr>
      <w:tabs>
        <w:tab w:val="left" w:pos="851"/>
      </w:tabs>
      <w:spacing w:before="240" w:after="120"/>
    </w:pPr>
    <w:rPr>
      <w:rFonts w:ascii="Arial" w:hAnsi="Arial" w:cs="Arial"/>
      <w:b/>
      <w:color w:val="000064"/>
      <w:sz w:val="28"/>
      <w:szCs w:val="28"/>
    </w:rPr>
  </w:style>
  <w:style w:type="character" w:customStyle="1" w:styleId="ATASubHead1Char">
    <w:name w:val="ATASubHead1 Char"/>
    <w:link w:val="ATASubHead1"/>
    <w:rsid w:val="004008C7"/>
    <w:rPr>
      <w:rFonts w:ascii="Arial" w:hAnsi="Arial" w:cs="Arial"/>
      <w:b/>
      <w:color w:val="000064"/>
      <w:sz w:val="28"/>
      <w:szCs w:val="28"/>
      <w:lang w:eastAsia="en-US"/>
    </w:rPr>
  </w:style>
  <w:style w:type="table" w:customStyle="1" w:styleId="LightList-Accent11">
    <w:name w:val="Light List - Accent 11"/>
    <w:basedOn w:val="TableNormal"/>
    <w:uiPriority w:val="61"/>
    <w:rsid w:val="004008C7"/>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style61">
    <w:name w:val="style61"/>
    <w:basedOn w:val="DefaultParagraphFont"/>
    <w:rsid w:val="0004192B"/>
    <w:rPr>
      <w:i/>
      <w:iCs/>
      <w:color w:val="333333"/>
    </w:rPr>
  </w:style>
  <w:style w:type="character" w:styleId="CommentReference">
    <w:name w:val="annotation reference"/>
    <w:basedOn w:val="DefaultParagraphFont"/>
    <w:uiPriority w:val="99"/>
    <w:semiHidden/>
    <w:unhideWhenUsed/>
    <w:rsid w:val="000E408F"/>
    <w:rPr>
      <w:sz w:val="16"/>
      <w:szCs w:val="16"/>
    </w:rPr>
  </w:style>
  <w:style w:type="paragraph" w:styleId="CommentText">
    <w:name w:val="annotation text"/>
    <w:basedOn w:val="Normal"/>
    <w:link w:val="CommentTextChar"/>
    <w:uiPriority w:val="99"/>
    <w:semiHidden/>
    <w:unhideWhenUsed/>
    <w:rsid w:val="000E408F"/>
    <w:rPr>
      <w:sz w:val="20"/>
      <w:szCs w:val="20"/>
    </w:rPr>
  </w:style>
  <w:style w:type="character" w:customStyle="1" w:styleId="CommentTextChar">
    <w:name w:val="Comment Text Char"/>
    <w:basedOn w:val="DefaultParagraphFont"/>
    <w:link w:val="CommentText"/>
    <w:uiPriority w:val="99"/>
    <w:semiHidden/>
    <w:rsid w:val="000E408F"/>
    <w:rPr>
      <w:lang w:eastAsia="en-US"/>
    </w:rPr>
  </w:style>
  <w:style w:type="paragraph" w:styleId="CommentSubject">
    <w:name w:val="annotation subject"/>
    <w:basedOn w:val="CommentText"/>
    <w:next w:val="CommentText"/>
    <w:link w:val="CommentSubjectChar"/>
    <w:uiPriority w:val="99"/>
    <w:semiHidden/>
    <w:unhideWhenUsed/>
    <w:rsid w:val="000E408F"/>
    <w:rPr>
      <w:b/>
      <w:bCs/>
    </w:rPr>
  </w:style>
  <w:style w:type="character" w:customStyle="1" w:styleId="CommentSubjectChar">
    <w:name w:val="Comment Subject Char"/>
    <w:basedOn w:val="CommentTextChar"/>
    <w:link w:val="CommentSubject"/>
    <w:uiPriority w:val="99"/>
    <w:semiHidden/>
    <w:rsid w:val="000E408F"/>
    <w:rPr>
      <w:b/>
      <w:bCs/>
      <w:lang w:eastAsia="en-US"/>
    </w:rPr>
  </w:style>
  <w:style w:type="paragraph" w:styleId="Quote">
    <w:name w:val="Quote"/>
    <w:basedOn w:val="Normal"/>
    <w:next w:val="Normal"/>
    <w:link w:val="QuoteChar"/>
    <w:uiPriority w:val="29"/>
    <w:qFormat/>
    <w:rsid w:val="00A45F83"/>
    <w:pPr>
      <w:ind w:left="567" w:right="1230"/>
    </w:pPr>
    <w:rPr>
      <w:rFonts w:asciiTheme="minorHAnsi" w:eastAsiaTheme="minorHAnsi" w:hAnsiTheme="minorHAnsi" w:cstheme="minorBidi"/>
      <w:iCs/>
      <w:color w:val="000000" w:themeColor="text1"/>
      <w:sz w:val="21"/>
      <w:szCs w:val="21"/>
    </w:rPr>
  </w:style>
  <w:style w:type="character" w:customStyle="1" w:styleId="QuoteChar">
    <w:name w:val="Quote Char"/>
    <w:basedOn w:val="DefaultParagraphFont"/>
    <w:link w:val="Quote"/>
    <w:uiPriority w:val="29"/>
    <w:rsid w:val="00A45F83"/>
    <w:rPr>
      <w:rFonts w:asciiTheme="minorHAnsi" w:eastAsiaTheme="minorHAnsi" w:hAnsiTheme="minorHAnsi" w:cstheme="minorBidi"/>
      <w:iCs/>
      <w:color w:val="000000" w:themeColor="text1"/>
      <w:sz w:val="21"/>
      <w:szCs w:val="21"/>
      <w:lang w:eastAsia="en-US"/>
    </w:rPr>
  </w:style>
  <w:style w:type="character" w:customStyle="1" w:styleId="st">
    <w:name w:val="st"/>
    <w:basedOn w:val="DefaultParagraphFont"/>
    <w:rsid w:val="000A3F4E"/>
  </w:style>
  <w:style w:type="character" w:styleId="FollowedHyperlink">
    <w:name w:val="FollowedHyperlink"/>
    <w:basedOn w:val="DefaultParagraphFont"/>
    <w:uiPriority w:val="99"/>
    <w:semiHidden/>
    <w:unhideWhenUsed/>
    <w:rsid w:val="0062389F"/>
    <w:rPr>
      <w:color w:val="800080" w:themeColor="followedHyperlink"/>
      <w:u w:val="single"/>
    </w:rPr>
  </w:style>
  <w:style w:type="character" w:styleId="Emphasis">
    <w:name w:val="Emphasis"/>
    <w:basedOn w:val="DefaultParagraphFont"/>
    <w:qFormat/>
    <w:locked/>
    <w:rsid w:val="006467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35435">
      <w:bodyDiv w:val="1"/>
      <w:marLeft w:val="0"/>
      <w:marRight w:val="0"/>
      <w:marTop w:val="0"/>
      <w:marBottom w:val="0"/>
      <w:divBdr>
        <w:top w:val="none" w:sz="0" w:space="0" w:color="auto"/>
        <w:left w:val="none" w:sz="0" w:space="0" w:color="auto"/>
        <w:bottom w:val="none" w:sz="0" w:space="0" w:color="auto"/>
        <w:right w:val="none" w:sz="0" w:space="0" w:color="auto"/>
      </w:divBdr>
    </w:div>
    <w:div w:id="251940546">
      <w:bodyDiv w:val="1"/>
      <w:marLeft w:val="0"/>
      <w:marRight w:val="0"/>
      <w:marTop w:val="0"/>
      <w:marBottom w:val="0"/>
      <w:divBdr>
        <w:top w:val="none" w:sz="0" w:space="0" w:color="auto"/>
        <w:left w:val="none" w:sz="0" w:space="0" w:color="auto"/>
        <w:bottom w:val="none" w:sz="0" w:space="0" w:color="auto"/>
        <w:right w:val="none" w:sz="0" w:space="0" w:color="auto"/>
      </w:divBdr>
    </w:div>
    <w:div w:id="349381134">
      <w:bodyDiv w:val="1"/>
      <w:marLeft w:val="0"/>
      <w:marRight w:val="0"/>
      <w:marTop w:val="0"/>
      <w:marBottom w:val="0"/>
      <w:divBdr>
        <w:top w:val="none" w:sz="0" w:space="0" w:color="auto"/>
        <w:left w:val="none" w:sz="0" w:space="0" w:color="auto"/>
        <w:bottom w:val="none" w:sz="0" w:space="0" w:color="auto"/>
        <w:right w:val="none" w:sz="0" w:space="0" w:color="auto"/>
      </w:divBdr>
    </w:div>
    <w:div w:id="412705156">
      <w:bodyDiv w:val="1"/>
      <w:marLeft w:val="0"/>
      <w:marRight w:val="0"/>
      <w:marTop w:val="0"/>
      <w:marBottom w:val="0"/>
      <w:divBdr>
        <w:top w:val="none" w:sz="0" w:space="0" w:color="auto"/>
        <w:left w:val="none" w:sz="0" w:space="0" w:color="auto"/>
        <w:bottom w:val="none" w:sz="0" w:space="0" w:color="auto"/>
        <w:right w:val="none" w:sz="0" w:space="0" w:color="auto"/>
      </w:divBdr>
    </w:div>
    <w:div w:id="479808035">
      <w:bodyDiv w:val="1"/>
      <w:marLeft w:val="0"/>
      <w:marRight w:val="0"/>
      <w:marTop w:val="0"/>
      <w:marBottom w:val="0"/>
      <w:divBdr>
        <w:top w:val="none" w:sz="0" w:space="0" w:color="auto"/>
        <w:left w:val="none" w:sz="0" w:space="0" w:color="auto"/>
        <w:bottom w:val="none" w:sz="0" w:space="0" w:color="auto"/>
        <w:right w:val="none" w:sz="0" w:space="0" w:color="auto"/>
      </w:divBdr>
    </w:div>
    <w:div w:id="568002639">
      <w:bodyDiv w:val="1"/>
      <w:marLeft w:val="0"/>
      <w:marRight w:val="0"/>
      <w:marTop w:val="0"/>
      <w:marBottom w:val="0"/>
      <w:divBdr>
        <w:top w:val="none" w:sz="0" w:space="0" w:color="auto"/>
        <w:left w:val="none" w:sz="0" w:space="0" w:color="auto"/>
        <w:bottom w:val="none" w:sz="0" w:space="0" w:color="auto"/>
        <w:right w:val="none" w:sz="0" w:space="0" w:color="auto"/>
      </w:divBdr>
    </w:div>
    <w:div w:id="819469156">
      <w:bodyDiv w:val="1"/>
      <w:marLeft w:val="0"/>
      <w:marRight w:val="0"/>
      <w:marTop w:val="0"/>
      <w:marBottom w:val="0"/>
      <w:divBdr>
        <w:top w:val="none" w:sz="0" w:space="0" w:color="auto"/>
        <w:left w:val="none" w:sz="0" w:space="0" w:color="auto"/>
        <w:bottom w:val="none" w:sz="0" w:space="0" w:color="auto"/>
        <w:right w:val="none" w:sz="0" w:space="0" w:color="auto"/>
      </w:divBdr>
    </w:div>
    <w:div w:id="895626239">
      <w:bodyDiv w:val="1"/>
      <w:marLeft w:val="0"/>
      <w:marRight w:val="0"/>
      <w:marTop w:val="0"/>
      <w:marBottom w:val="0"/>
      <w:divBdr>
        <w:top w:val="none" w:sz="0" w:space="0" w:color="auto"/>
        <w:left w:val="none" w:sz="0" w:space="0" w:color="auto"/>
        <w:bottom w:val="none" w:sz="0" w:space="0" w:color="auto"/>
        <w:right w:val="none" w:sz="0" w:space="0" w:color="auto"/>
      </w:divBdr>
    </w:div>
    <w:div w:id="1033768610">
      <w:bodyDiv w:val="1"/>
      <w:marLeft w:val="0"/>
      <w:marRight w:val="0"/>
      <w:marTop w:val="0"/>
      <w:marBottom w:val="0"/>
      <w:divBdr>
        <w:top w:val="none" w:sz="0" w:space="0" w:color="auto"/>
        <w:left w:val="none" w:sz="0" w:space="0" w:color="auto"/>
        <w:bottom w:val="none" w:sz="0" w:space="0" w:color="auto"/>
        <w:right w:val="none" w:sz="0" w:space="0" w:color="auto"/>
      </w:divBdr>
    </w:div>
    <w:div w:id="1055546090">
      <w:bodyDiv w:val="1"/>
      <w:marLeft w:val="0"/>
      <w:marRight w:val="0"/>
      <w:marTop w:val="0"/>
      <w:marBottom w:val="0"/>
      <w:divBdr>
        <w:top w:val="none" w:sz="0" w:space="0" w:color="auto"/>
        <w:left w:val="none" w:sz="0" w:space="0" w:color="auto"/>
        <w:bottom w:val="none" w:sz="0" w:space="0" w:color="auto"/>
        <w:right w:val="none" w:sz="0" w:space="0" w:color="auto"/>
      </w:divBdr>
    </w:div>
    <w:div w:id="1124082810">
      <w:marLeft w:val="0"/>
      <w:marRight w:val="0"/>
      <w:marTop w:val="0"/>
      <w:marBottom w:val="0"/>
      <w:divBdr>
        <w:top w:val="none" w:sz="0" w:space="0" w:color="auto"/>
        <w:left w:val="none" w:sz="0" w:space="0" w:color="auto"/>
        <w:bottom w:val="none" w:sz="0" w:space="0" w:color="auto"/>
        <w:right w:val="none" w:sz="0" w:space="0" w:color="auto"/>
      </w:divBdr>
    </w:div>
    <w:div w:id="1124082811">
      <w:marLeft w:val="0"/>
      <w:marRight w:val="0"/>
      <w:marTop w:val="0"/>
      <w:marBottom w:val="0"/>
      <w:divBdr>
        <w:top w:val="none" w:sz="0" w:space="0" w:color="auto"/>
        <w:left w:val="none" w:sz="0" w:space="0" w:color="auto"/>
        <w:bottom w:val="none" w:sz="0" w:space="0" w:color="auto"/>
        <w:right w:val="none" w:sz="0" w:space="0" w:color="auto"/>
      </w:divBdr>
    </w:div>
    <w:div w:id="1215896090">
      <w:bodyDiv w:val="1"/>
      <w:marLeft w:val="0"/>
      <w:marRight w:val="0"/>
      <w:marTop w:val="0"/>
      <w:marBottom w:val="0"/>
      <w:divBdr>
        <w:top w:val="none" w:sz="0" w:space="0" w:color="auto"/>
        <w:left w:val="none" w:sz="0" w:space="0" w:color="auto"/>
        <w:bottom w:val="none" w:sz="0" w:space="0" w:color="auto"/>
        <w:right w:val="none" w:sz="0" w:space="0" w:color="auto"/>
      </w:divBdr>
    </w:div>
    <w:div w:id="1301036078">
      <w:bodyDiv w:val="1"/>
      <w:marLeft w:val="0"/>
      <w:marRight w:val="0"/>
      <w:marTop w:val="0"/>
      <w:marBottom w:val="0"/>
      <w:divBdr>
        <w:top w:val="none" w:sz="0" w:space="0" w:color="auto"/>
        <w:left w:val="none" w:sz="0" w:space="0" w:color="auto"/>
        <w:bottom w:val="none" w:sz="0" w:space="0" w:color="auto"/>
        <w:right w:val="none" w:sz="0" w:space="0" w:color="auto"/>
      </w:divBdr>
    </w:div>
    <w:div w:id="1324091239">
      <w:bodyDiv w:val="1"/>
      <w:marLeft w:val="0"/>
      <w:marRight w:val="0"/>
      <w:marTop w:val="0"/>
      <w:marBottom w:val="0"/>
      <w:divBdr>
        <w:top w:val="none" w:sz="0" w:space="0" w:color="auto"/>
        <w:left w:val="none" w:sz="0" w:space="0" w:color="auto"/>
        <w:bottom w:val="none" w:sz="0" w:space="0" w:color="auto"/>
        <w:right w:val="none" w:sz="0" w:space="0" w:color="auto"/>
      </w:divBdr>
    </w:div>
    <w:div w:id="1523207717">
      <w:bodyDiv w:val="1"/>
      <w:marLeft w:val="0"/>
      <w:marRight w:val="0"/>
      <w:marTop w:val="0"/>
      <w:marBottom w:val="0"/>
      <w:divBdr>
        <w:top w:val="none" w:sz="0" w:space="0" w:color="auto"/>
        <w:left w:val="none" w:sz="0" w:space="0" w:color="auto"/>
        <w:bottom w:val="none" w:sz="0" w:space="0" w:color="auto"/>
        <w:right w:val="none" w:sz="0" w:space="0" w:color="auto"/>
      </w:divBdr>
    </w:div>
    <w:div w:id="1535532365">
      <w:bodyDiv w:val="1"/>
      <w:marLeft w:val="0"/>
      <w:marRight w:val="0"/>
      <w:marTop w:val="0"/>
      <w:marBottom w:val="0"/>
      <w:divBdr>
        <w:top w:val="none" w:sz="0" w:space="0" w:color="auto"/>
        <w:left w:val="none" w:sz="0" w:space="0" w:color="auto"/>
        <w:bottom w:val="none" w:sz="0" w:space="0" w:color="auto"/>
        <w:right w:val="none" w:sz="0" w:space="0" w:color="auto"/>
      </w:divBdr>
    </w:div>
    <w:div w:id="1538666175">
      <w:bodyDiv w:val="1"/>
      <w:marLeft w:val="0"/>
      <w:marRight w:val="0"/>
      <w:marTop w:val="0"/>
      <w:marBottom w:val="0"/>
      <w:divBdr>
        <w:top w:val="none" w:sz="0" w:space="0" w:color="auto"/>
        <w:left w:val="none" w:sz="0" w:space="0" w:color="auto"/>
        <w:bottom w:val="none" w:sz="0" w:space="0" w:color="auto"/>
        <w:right w:val="none" w:sz="0" w:space="0" w:color="auto"/>
      </w:divBdr>
    </w:div>
    <w:div w:id="1561860367">
      <w:bodyDiv w:val="1"/>
      <w:marLeft w:val="0"/>
      <w:marRight w:val="0"/>
      <w:marTop w:val="0"/>
      <w:marBottom w:val="0"/>
      <w:divBdr>
        <w:top w:val="none" w:sz="0" w:space="0" w:color="auto"/>
        <w:left w:val="none" w:sz="0" w:space="0" w:color="auto"/>
        <w:bottom w:val="none" w:sz="0" w:space="0" w:color="auto"/>
        <w:right w:val="none" w:sz="0" w:space="0" w:color="auto"/>
      </w:divBdr>
    </w:div>
    <w:div w:id="1691175791">
      <w:bodyDiv w:val="1"/>
      <w:marLeft w:val="0"/>
      <w:marRight w:val="0"/>
      <w:marTop w:val="0"/>
      <w:marBottom w:val="0"/>
      <w:divBdr>
        <w:top w:val="none" w:sz="0" w:space="0" w:color="auto"/>
        <w:left w:val="none" w:sz="0" w:space="0" w:color="auto"/>
        <w:bottom w:val="none" w:sz="0" w:space="0" w:color="auto"/>
        <w:right w:val="none" w:sz="0" w:space="0" w:color="auto"/>
      </w:divBdr>
    </w:div>
    <w:div w:id="1733774192">
      <w:bodyDiv w:val="1"/>
      <w:marLeft w:val="0"/>
      <w:marRight w:val="0"/>
      <w:marTop w:val="0"/>
      <w:marBottom w:val="0"/>
      <w:divBdr>
        <w:top w:val="none" w:sz="0" w:space="0" w:color="auto"/>
        <w:left w:val="none" w:sz="0" w:space="0" w:color="auto"/>
        <w:bottom w:val="none" w:sz="0" w:space="0" w:color="auto"/>
        <w:right w:val="none" w:sz="0" w:space="0" w:color="auto"/>
      </w:divBdr>
    </w:div>
    <w:div w:id="213000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jsa.or.jp/default_english.asp" TargetMode="External"/><Relationship Id="rId2" Type="http://schemas.openxmlformats.org/officeDocument/2006/relationships/hyperlink" Target="http://standards.sae.org/wip/commercial-vehicle/" TargetMode="External"/><Relationship Id="rId1" Type="http://schemas.openxmlformats.org/officeDocument/2006/relationships/hyperlink" Target="http://www.nhtsa.gov/cars/rules/import/fmvss/" TargetMode="External"/><Relationship Id="rId6" Type="http://schemas.openxmlformats.org/officeDocument/2006/relationships/hyperlink" Target="http://www.jsa.or.jp/default_english.asp" TargetMode="External"/><Relationship Id="rId5" Type="http://schemas.openxmlformats.org/officeDocument/2006/relationships/hyperlink" Target="http://standards.sae.org/wip/commercial-vehicle/" TargetMode="External"/><Relationship Id="rId4" Type="http://schemas.openxmlformats.org/officeDocument/2006/relationships/hyperlink" Target="http://www.nhtsa.gov/cars/rules/import/fmv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C2844-B83D-47F4-9CC5-B3DA08E97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11</Pages>
  <Words>4586</Words>
  <Characters>26281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SUBMISSION PROPOSED HEAVY VEHICLE NATIONAL LAWS</vt:lpstr>
    </vt:vector>
  </TitlesOfParts>
  <Company>HP</Company>
  <LinksUpToDate>false</LinksUpToDate>
  <CharactersWithSpaces>30806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PROPOSED HEAVY VEHICLE NATIONAL LAWS</dc:title>
  <dc:creator>loydelld</dc:creator>
  <cp:lastModifiedBy>Bill McKinley</cp:lastModifiedBy>
  <cp:revision>253</cp:revision>
  <cp:lastPrinted>2014-10-23T23:31:00Z</cp:lastPrinted>
  <dcterms:created xsi:type="dcterms:W3CDTF">2014-10-14T07:09:00Z</dcterms:created>
  <dcterms:modified xsi:type="dcterms:W3CDTF">2014-10-23T23:42:00Z</dcterms:modified>
</cp:coreProperties>
</file>