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268"/>
        <w:gridCol w:w="7230"/>
      </w:tblGrid>
      <w:tr w:rsidR="00D735FF" w:rsidRPr="003740CB" w:rsidTr="00BD4B01">
        <w:trPr>
          <w:trHeight w:val="756"/>
        </w:trPr>
        <w:tc>
          <w:tcPr>
            <w:tcW w:w="2268" w:type="dxa"/>
            <w:vAlign w:val="center"/>
          </w:tcPr>
          <w:p w:rsidR="00D735FF" w:rsidRPr="003740CB" w:rsidRDefault="00D735FF" w:rsidP="001025C9">
            <w:pPr>
              <w:pStyle w:val="Header"/>
              <w:jc w:val="both"/>
              <w:rPr>
                <w:rFonts w:ascii="Arial" w:hAnsi="Arial" w:cs="Arial"/>
                <w:b/>
                <w:sz w:val="27"/>
                <w:szCs w:val="27"/>
              </w:rPr>
            </w:pPr>
            <w:bookmarkStart w:id="0" w:name="_GoBack"/>
            <w:bookmarkEnd w:id="0"/>
            <w:r w:rsidRPr="003740CB">
              <w:rPr>
                <w:rFonts w:ascii="Arial" w:hAnsi="Arial" w:cs="Arial"/>
                <w:b/>
                <w:sz w:val="27"/>
                <w:szCs w:val="27"/>
              </w:rPr>
              <w:t>Submission to:</w:t>
            </w:r>
          </w:p>
          <w:p w:rsidR="00BD4B01" w:rsidRPr="003740CB" w:rsidRDefault="00BD4B01" w:rsidP="001025C9">
            <w:pPr>
              <w:pStyle w:val="Header"/>
              <w:jc w:val="both"/>
              <w:rPr>
                <w:rFonts w:ascii="Arial" w:hAnsi="Arial" w:cs="Arial"/>
                <w:b/>
                <w:sz w:val="27"/>
                <w:szCs w:val="27"/>
              </w:rPr>
            </w:pPr>
          </w:p>
        </w:tc>
        <w:tc>
          <w:tcPr>
            <w:tcW w:w="7230" w:type="dxa"/>
            <w:vAlign w:val="center"/>
          </w:tcPr>
          <w:p w:rsidR="00D735FF" w:rsidRPr="003740CB" w:rsidRDefault="00A75B77" w:rsidP="003168CE">
            <w:pPr>
              <w:pStyle w:val="Header"/>
              <w:rPr>
                <w:rFonts w:ascii="Arial" w:hAnsi="Arial" w:cs="Arial"/>
                <w:sz w:val="27"/>
                <w:szCs w:val="27"/>
              </w:rPr>
            </w:pPr>
            <w:r>
              <w:rPr>
                <w:rFonts w:ascii="Arial" w:hAnsi="Arial" w:cs="Arial"/>
                <w:sz w:val="27"/>
                <w:szCs w:val="27"/>
              </w:rPr>
              <w:t>National Transport Commission</w:t>
            </w:r>
          </w:p>
          <w:p w:rsidR="00BD4B01" w:rsidRPr="003740CB" w:rsidRDefault="00BD4B01" w:rsidP="003168CE">
            <w:pPr>
              <w:pStyle w:val="Header"/>
              <w:rPr>
                <w:rFonts w:ascii="Arial" w:hAnsi="Arial" w:cs="Arial"/>
                <w:sz w:val="27"/>
                <w:szCs w:val="27"/>
              </w:rPr>
            </w:pPr>
          </w:p>
        </w:tc>
      </w:tr>
      <w:tr w:rsidR="00D735FF" w:rsidRPr="003740CB" w:rsidTr="00BD4B01">
        <w:trPr>
          <w:trHeight w:val="756"/>
        </w:trPr>
        <w:tc>
          <w:tcPr>
            <w:tcW w:w="2268" w:type="dxa"/>
          </w:tcPr>
          <w:p w:rsidR="00D735FF" w:rsidRPr="003740CB" w:rsidRDefault="00D735FF" w:rsidP="00FA5275">
            <w:pPr>
              <w:pStyle w:val="Header"/>
              <w:rPr>
                <w:rFonts w:ascii="Arial" w:hAnsi="Arial" w:cs="Arial"/>
                <w:b/>
                <w:sz w:val="27"/>
                <w:szCs w:val="27"/>
              </w:rPr>
            </w:pPr>
            <w:r w:rsidRPr="003740CB">
              <w:rPr>
                <w:rFonts w:ascii="Arial" w:hAnsi="Arial" w:cs="Arial"/>
                <w:b/>
                <w:sz w:val="27"/>
                <w:szCs w:val="27"/>
              </w:rPr>
              <w:t>Title:</w:t>
            </w:r>
          </w:p>
        </w:tc>
        <w:tc>
          <w:tcPr>
            <w:tcW w:w="7230" w:type="dxa"/>
          </w:tcPr>
          <w:p w:rsidR="00D735FF" w:rsidRPr="003740CB" w:rsidRDefault="00A75B77" w:rsidP="00FA5275">
            <w:pPr>
              <w:pStyle w:val="Header"/>
              <w:rPr>
                <w:rFonts w:ascii="Arial" w:hAnsi="Arial" w:cs="Arial"/>
                <w:sz w:val="27"/>
                <w:szCs w:val="27"/>
              </w:rPr>
            </w:pPr>
            <w:r w:rsidRPr="00A75B77">
              <w:rPr>
                <w:rFonts w:ascii="Arial" w:hAnsi="Arial" w:cs="Arial"/>
                <w:sz w:val="27"/>
                <w:szCs w:val="27"/>
              </w:rPr>
              <w:t>Access to PBS mass limits for truck and trailer combinations</w:t>
            </w:r>
          </w:p>
        </w:tc>
      </w:tr>
      <w:tr w:rsidR="00D735FF" w:rsidRPr="003740CB" w:rsidTr="00BD4B01">
        <w:trPr>
          <w:trHeight w:val="756"/>
        </w:trPr>
        <w:tc>
          <w:tcPr>
            <w:tcW w:w="2268" w:type="dxa"/>
          </w:tcPr>
          <w:p w:rsidR="003F17F7" w:rsidRPr="003740CB" w:rsidRDefault="003F17F7" w:rsidP="00FA5275">
            <w:pPr>
              <w:pStyle w:val="Header"/>
              <w:rPr>
                <w:rFonts w:ascii="Arial" w:hAnsi="Arial" w:cs="Arial"/>
                <w:b/>
                <w:sz w:val="27"/>
                <w:szCs w:val="27"/>
              </w:rPr>
            </w:pPr>
          </w:p>
          <w:p w:rsidR="00D735FF" w:rsidRPr="003740CB" w:rsidRDefault="00D735FF" w:rsidP="00FA5275">
            <w:pPr>
              <w:pStyle w:val="Header"/>
              <w:rPr>
                <w:rFonts w:ascii="Arial" w:hAnsi="Arial" w:cs="Arial"/>
                <w:b/>
                <w:sz w:val="27"/>
                <w:szCs w:val="27"/>
              </w:rPr>
            </w:pPr>
            <w:r w:rsidRPr="003740CB">
              <w:rPr>
                <w:rFonts w:ascii="Arial" w:hAnsi="Arial" w:cs="Arial"/>
                <w:b/>
                <w:sz w:val="27"/>
                <w:szCs w:val="27"/>
              </w:rPr>
              <w:t>Date:</w:t>
            </w:r>
          </w:p>
        </w:tc>
        <w:tc>
          <w:tcPr>
            <w:tcW w:w="7230" w:type="dxa"/>
          </w:tcPr>
          <w:p w:rsidR="003F17F7" w:rsidRPr="003740CB" w:rsidRDefault="003F17F7" w:rsidP="00BD4B01">
            <w:pPr>
              <w:pStyle w:val="Header"/>
              <w:rPr>
                <w:rFonts w:ascii="Arial" w:hAnsi="Arial" w:cs="Arial"/>
                <w:sz w:val="27"/>
                <w:szCs w:val="27"/>
              </w:rPr>
            </w:pPr>
          </w:p>
          <w:p w:rsidR="00D735FF" w:rsidRPr="003740CB" w:rsidRDefault="005335A9" w:rsidP="002B38DA">
            <w:pPr>
              <w:pStyle w:val="Header"/>
              <w:rPr>
                <w:rFonts w:ascii="Arial" w:hAnsi="Arial" w:cs="Arial"/>
                <w:sz w:val="27"/>
                <w:szCs w:val="27"/>
              </w:rPr>
            </w:pPr>
            <w:r>
              <w:rPr>
                <w:rFonts w:ascii="Arial" w:hAnsi="Arial" w:cs="Arial"/>
                <w:sz w:val="27"/>
                <w:szCs w:val="27"/>
              </w:rPr>
              <w:t>6</w:t>
            </w:r>
            <w:r w:rsidR="002F0939" w:rsidRPr="003740CB">
              <w:rPr>
                <w:rFonts w:ascii="Arial" w:hAnsi="Arial" w:cs="Arial"/>
                <w:sz w:val="27"/>
                <w:szCs w:val="27"/>
              </w:rPr>
              <w:t xml:space="preserve"> </w:t>
            </w:r>
            <w:r w:rsidR="00A75B77">
              <w:rPr>
                <w:rFonts w:ascii="Arial" w:hAnsi="Arial" w:cs="Arial"/>
                <w:sz w:val="27"/>
                <w:szCs w:val="27"/>
              </w:rPr>
              <w:t>Novem</w:t>
            </w:r>
            <w:r w:rsidR="00BD4B01" w:rsidRPr="003740CB">
              <w:rPr>
                <w:rFonts w:ascii="Arial" w:hAnsi="Arial" w:cs="Arial"/>
                <w:sz w:val="27"/>
                <w:szCs w:val="27"/>
              </w:rPr>
              <w:t>ber</w:t>
            </w:r>
            <w:r w:rsidR="002F0939" w:rsidRPr="003740CB">
              <w:rPr>
                <w:rFonts w:ascii="Arial" w:hAnsi="Arial" w:cs="Arial"/>
                <w:sz w:val="27"/>
                <w:szCs w:val="27"/>
              </w:rPr>
              <w:t xml:space="preserve"> </w:t>
            </w:r>
            <w:r w:rsidR="00693D92" w:rsidRPr="003740CB">
              <w:rPr>
                <w:rFonts w:ascii="Arial" w:hAnsi="Arial" w:cs="Arial"/>
                <w:sz w:val="27"/>
                <w:szCs w:val="27"/>
              </w:rPr>
              <w:t>201</w:t>
            </w:r>
            <w:r w:rsidR="00BD4B01" w:rsidRPr="003740CB">
              <w:rPr>
                <w:rFonts w:ascii="Arial" w:hAnsi="Arial" w:cs="Arial"/>
                <w:sz w:val="27"/>
                <w:szCs w:val="27"/>
              </w:rPr>
              <w:t>4</w:t>
            </w:r>
          </w:p>
        </w:tc>
      </w:tr>
    </w:tbl>
    <w:p w:rsidR="00D735FF" w:rsidRPr="00DF540D" w:rsidRDefault="00D735FF" w:rsidP="001025C9">
      <w:pPr>
        <w:pStyle w:val="Header"/>
        <w:jc w:val="both"/>
        <w:rPr>
          <w:rFonts w:ascii="Arial" w:hAnsi="Arial" w:cs="Arial"/>
          <w:sz w:val="20"/>
          <w:szCs w:val="20"/>
        </w:rPr>
      </w:pPr>
    </w:p>
    <w:p w:rsidR="00D735FF" w:rsidRPr="00DF540D" w:rsidRDefault="00D735FF" w:rsidP="001025C9">
      <w:pPr>
        <w:pStyle w:val="Header"/>
        <w:jc w:val="both"/>
        <w:rPr>
          <w:rFonts w:ascii="Arial" w:hAnsi="Arial" w:cs="Arial"/>
          <w:sz w:val="20"/>
          <w:szCs w:val="20"/>
        </w:rPr>
      </w:pPr>
    </w:p>
    <w:p w:rsidR="00576ED0" w:rsidRPr="00DF540D" w:rsidRDefault="00576ED0" w:rsidP="001025C9">
      <w:pPr>
        <w:pStyle w:val="Header"/>
        <w:jc w:val="both"/>
        <w:rPr>
          <w:rFonts w:ascii="Arial" w:hAnsi="Arial" w:cs="Arial"/>
          <w:sz w:val="20"/>
          <w:szCs w:val="20"/>
        </w:rPr>
      </w:pPr>
    </w:p>
    <w:p w:rsidR="00576ED0" w:rsidRPr="00DF540D" w:rsidRDefault="00A75B77" w:rsidP="001025C9">
      <w:pPr>
        <w:jc w:val="both"/>
        <w:rPr>
          <w:rFonts w:ascii="Arial" w:hAnsi="Arial" w:cs="Arial"/>
          <w:sz w:val="20"/>
          <w:szCs w:val="20"/>
          <w:lang w:val="en-GB"/>
        </w:rPr>
        <w:sectPr w:rsidR="00576ED0" w:rsidRPr="00DF540D" w:rsidSect="005F5ACC">
          <w:footerReference w:type="default" r:id="rId8"/>
          <w:headerReference w:type="first" r:id="rId9"/>
          <w:footerReference w:type="first" r:id="rId10"/>
          <w:pgSz w:w="11906" w:h="16838"/>
          <w:pgMar w:top="5103" w:right="1133" w:bottom="1418" w:left="1134" w:header="851" w:footer="651" w:gutter="0"/>
          <w:cols w:space="708"/>
          <w:docGrid w:linePitch="360"/>
        </w:sectPr>
      </w:pPr>
      <w:r>
        <w:rPr>
          <w:rFonts w:ascii="Arial" w:hAnsi="Arial" w:cs="Arial"/>
          <w:sz w:val="20"/>
          <w:szCs w:val="20"/>
          <w:lang w:val="en-GB"/>
        </w:rPr>
        <w:t xml:space="preserve"> </w:t>
      </w:r>
    </w:p>
    <w:p w:rsidR="00576ED0" w:rsidRPr="00DF540D" w:rsidRDefault="00576ED0" w:rsidP="001025C9">
      <w:pPr>
        <w:jc w:val="both"/>
        <w:rPr>
          <w:rFonts w:ascii="Arial" w:hAnsi="Arial" w:cs="Arial"/>
          <w:sz w:val="20"/>
          <w:szCs w:val="20"/>
        </w:rPr>
      </w:pPr>
    </w:p>
    <w:p w:rsidR="0035493A" w:rsidRPr="00DF540D" w:rsidRDefault="0035493A" w:rsidP="001025C9">
      <w:pPr>
        <w:jc w:val="both"/>
        <w:rPr>
          <w:rFonts w:ascii="Arial" w:hAnsi="Arial" w:cs="Arial"/>
          <w:sz w:val="20"/>
          <w:szCs w:val="20"/>
        </w:rPr>
      </w:pPr>
    </w:p>
    <w:p w:rsidR="0035493A" w:rsidRPr="00DF540D" w:rsidRDefault="0035493A" w:rsidP="001025C9">
      <w:pPr>
        <w:jc w:val="both"/>
        <w:rPr>
          <w:rFonts w:ascii="Arial" w:hAnsi="Arial" w:cs="Arial"/>
          <w:sz w:val="20"/>
          <w:szCs w:val="20"/>
        </w:rPr>
      </w:pPr>
    </w:p>
    <w:p w:rsidR="0035493A" w:rsidRPr="00DF540D" w:rsidRDefault="0035493A" w:rsidP="001025C9">
      <w:pPr>
        <w:jc w:val="both"/>
        <w:rPr>
          <w:rFonts w:ascii="Arial" w:hAnsi="Arial" w:cs="Arial"/>
          <w:sz w:val="20"/>
          <w:szCs w:val="20"/>
        </w:rPr>
      </w:pPr>
    </w:p>
    <w:p w:rsidR="0035493A" w:rsidRPr="00DF540D" w:rsidRDefault="0035493A" w:rsidP="001025C9">
      <w:pPr>
        <w:jc w:val="both"/>
        <w:rPr>
          <w:rFonts w:ascii="Arial" w:hAnsi="Arial" w:cs="Arial"/>
          <w:sz w:val="20"/>
          <w:szCs w:val="20"/>
        </w:rPr>
      </w:pPr>
    </w:p>
    <w:p w:rsidR="0035493A" w:rsidRPr="00DF540D" w:rsidRDefault="003B74E4" w:rsidP="001025C9">
      <w:pPr>
        <w:jc w:val="both"/>
        <w:rPr>
          <w:rFonts w:ascii="Arial" w:hAnsi="Arial" w:cs="Arial"/>
          <w:b/>
          <w:color w:val="000064"/>
          <w:sz w:val="28"/>
          <w:szCs w:val="28"/>
        </w:rPr>
      </w:pPr>
      <w:r w:rsidRPr="00DF540D">
        <w:rPr>
          <w:rFonts w:ascii="Arial" w:hAnsi="Arial" w:cs="Arial"/>
          <w:b/>
          <w:color w:val="000064"/>
          <w:sz w:val="28"/>
          <w:szCs w:val="28"/>
        </w:rPr>
        <w:t>Contents</w:t>
      </w:r>
    </w:p>
    <w:p w:rsidR="00576ED0" w:rsidRPr="00DF540D" w:rsidRDefault="00576ED0" w:rsidP="001025C9">
      <w:pPr>
        <w:jc w:val="both"/>
        <w:rPr>
          <w:rFonts w:ascii="Arial" w:hAnsi="Arial" w:cs="Arial"/>
          <w:sz w:val="20"/>
          <w:szCs w:val="20"/>
        </w:rPr>
      </w:pPr>
    </w:p>
    <w:p w:rsidR="009B0520" w:rsidRPr="00DF540D" w:rsidRDefault="009B0520" w:rsidP="001025C9">
      <w:pPr>
        <w:jc w:val="both"/>
        <w:rPr>
          <w:rFonts w:ascii="Arial" w:hAnsi="Arial" w:cs="Arial"/>
          <w:b/>
          <w:sz w:val="20"/>
          <w:szCs w:val="20"/>
        </w:rPr>
      </w:pPr>
    </w:p>
    <w:p w:rsidR="00BB3AB8" w:rsidRPr="00075B0E" w:rsidRDefault="005A5AE9" w:rsidP="00075B0E">
      <w:pPr>
        <w:pStyle w:val="TOC1"/>
        <w:rPr>
          <w:rFonts w:asciiTheme="minorHAnsi" w:eastAsiaTheme="minorEastAsia" w:hAnsiTheme="minorHAnsi" w:cstheme="minorBidi"/>
          <w:b/>
          <w:color w:val="auto"/>
          <w:sz w:val="22"/>
          <w:szCs w:val="22"/>
          <w:lang w:eastAsia="en-AU"/>
        </w:rPr>
      </w:pPr>
      <w:r w:rsidRPr="00075B0E">
        <w:rPr>
          <w:rFonts w:cs="Arial"/>
          <w:b/>
        </w:rPr>
        <w:fldChar w:fldCharType="begin"/>
      </w:r>
      <w:r w:rsidR="0035493A" w:rsidRPr="00075B0E">
        <w:rPr>
          <w:rFonts w:cs="Arial"/>
          <w:b/>
        </w:rPr>
        <w:instrText xml:space="preserve"> TOC \o "1-2" \t "ATA Heading 2,2" </w:instrText>
      </w:r>
      <w:r w:rsidRPr="00075B0E">
        <w:rPr>
          <w:rFonts w:cs="Arial"/>
          <w:b/>
        </w:rPr>
        <w:fldChar w:fldCharType="separate"/>
      </w:r>
      <w:r w:rsidR="00BB3AB8" w:rsidRPr="00075B0E">
        <w:rPr>
          <w:b/>
        </w:rPr>
        <w:t>1.</w:t>
      </w:r>
      <w:r w:rsidR="00BB3AB8" w:rsidRPr="00075B0E">
        <w:rPr>
          <w:rFonts w:asciiTheme="minorHAnsi" w:eastAsiaTheme="minorEastAsia" w:hAnsiTheme="minorHAnsi" w:cstheme="minorBidi"/>
          <w:b/>
          <w:color w:val="auto"/>
          <w:sz w:val="22"/>
          <w:szCs w:val="22"/>
          <w:lang w:eastAsia="en-AU"/>
        </w:rPr>
        <w:tab/>
      </w:r>
      <w:r w:rsidR="00BB3AB8" w:rsidRPr="00075B0E">
        <w:rPr>
          <w:b/>
        </w:rPr>
        <w:t>Introduction</w:t>
      </w:r>
      <w:r w:rsidR="00BB3AB8" w:rsidRPr="00075B0E">
        <w:rPr>
          <w:b/>
        </w:rPr>
        <w:tab/>
      </w:r>
      <w:r w:rsidR="00BB3AB8" w:rsidRPr="00075B0E">
        <w:rPr>
          <w:b/>
        </w:rPr>
        <w:fldChar w:fldCharType="begin"/>
      </w:r>
      <w:r w:rsidR="00BB3AB8" w:rsidRPr="00075B0E">
        <w:rPr>
          <w:b/>
        </w:rPr>
        <w:instrText xml:space="preserve"> PAGEREF _Toc401238973 \h </w:instrText>
      </w:r>
      <w:r w:rsidR="00BB3AB8" w:rsidRPr="00075B0E">
        <w:rPr>
          <w:b/>
        </w:rPr>
      </w:r>
      <w:r w:rsidR="00BB3AB8" w:rsidRPr="00075B0E">
        <w:rPr>
          <w:b/>
        </w:rPr>
        <w:fldChar w:fldCharType="separate"/>
      </w:r>
      <w:r w:rsidR="005E1B33">
        <w:rPr>
          <w:b/>
        </w:rPr>
        <w:t>3</w:t>
      </w:r>
      <w:r w:rsidR="00BB3AB8" w:rsidRPr="00075B0E">
        <w:rPr>
          <w:b/>
        </w:rPr>
        <w:fldChar w:fldCharType="end"/>
      </w:r>
    </w:p>
    <w:p w:rsidR="00BB3AB8" w:rsidRPr="00075B0E" w:rsidRDefault="00BB3AB8" w:rsidP="00075B0E">
      <w:pPr>
        <w:pStyle w:val="TOC1"/>
        <w:rPr>
          <w:rFonts w:asciiTheme="minorHAnsi" w:eastAsiaTheme="minorEastAsia" w:hAnsiTheme="minorHAnsi" w:cstheme="minorBidi"/>
          <w:b/>
          <w:color w:val="auto"/>
          <w:sz w:val="22"/>
          <w:szCs w:val="22"/>
          <w:lang w:eastAsia="en-AU"/>
        </w:rPr>
      </w:pPr>
      <w:r w:rsidRPr="00075B0E">
        <w:rPr>
          <w:b/>
        </w:rPr>
        <w:t>2.</w:t>
      </w:r>
      <w:r w:rsidRPr="00075B0E">
        <w:rPr>
          <w:rFonts w:asciiTheme="minorHAnsi" w:eastAsiaTheme="minorEastAsia" w:hAnsiTheme="minorHAnsi" w:cstheme="minorBidi"/>
          <w:b/>
          <w:color w:val="auto"/>
          <w:sz w:val="22"/>
          <w:szCs w:val="22"/>
          <w:lang w:eastAsia="en-AU"/>
        </w:rPr>
        <w:tab/>
      </w:r>
      <w:r w:rsidRPr="00075B0E">
        <w:rPr>
          <w:b/>
        </w:rPr>
        <w:t>Australian Trucking Association</w:t>
      </w:r>
      <w:r w:rsidRPr="00075B0E">
        <w:rPr>
          <w:b/>
        </w:rPr>
        <w:tab/>
      </w:r>
      <w:r w:rsidRPr="00075B0E">
        <w:rPr>
          <w:b/>
        </w:rPr>
        <w:fldChar w:fldCharType="begin"/>
      </w:r>
      <w:r w:rsidRPr="00075B0E">
        <w:rPr>
          <w:b/>
        </w:rPr>
        <w:instrText xml:space="preserve"> PAGEREF _Toc401238974 \h </w:instrText>
      </w:r>
      <w:r w:rsidRPr="00075B0E">
        <w:rPr>
          <w:b/>
        </w:rPr>
      </w:r>
      <w:r w:rsidRPr="00075B0E">
        <w:rPr>
          <w:b/>
        </w:rPr>
        <w:fldChar w:fldCharType="separate"/>
      </w:r>
      <w:r w:rsidR="005E1B33">
        <w:rPr>
          <w:b/>
        </w:rPr>
        <w:t>3</w:t>
      </w:r>
      <w:r w:rsidRPr="00075B0E">
        <w:rPr>
          <w:b/>
        </w:rPr>
        <w:fldChar w:fldCharType="end"/>
      </w:r>
    </w:p>
    <w:p w:rsidR="00BB3AB8" w:rsidRPr="00075B0E" w:rsidRDefault="00BB3AB8" w:rsidP="00075B0E">
      <w:pPr>
        <w:pStyle w:val="TOC1"/>
        <w:rPr>
          <w:rFonts w:asciiTheme="minorHAnsi" w:eastAsiaTheme="minorEastAsia" w:hAnsiTheme="minorHAnsi" w:cstheme="minorBidi"/>
          <w:b/>
          <w:color w:val="auto"/>
          <w:sz w:val="22"/>
          <w:szCs w:val="22"/>
          <w:lang w:eastAsia="en-AU"/>
        </w:rPr>
      </w:pPr>
      <w:r w:rsidRPr="00075B0E">
        <w:rPr>
          <w:b/>
        </w:rPr>
        <w:t>3.</w:t>
      </w:r>
      <w:r w:rsidRPr="00075B0E">
        <w:rPr>
          <w:rFonts w:asciiTheme="minorHAnsi" w:eastAsiaTheme="minorEastAsia" w:hAnsiTheme="minorHAnsi" w:cstheme="minorBidi"/>
          <w:b/>
          <w:color w:val="auto"/>
          <w:sz w:val="22"/>
          <w:szCs w:val="22"/>
          <w:lang w:eastAsia="en-AU"/>
        </w:rPr>
        <w:tab/>
      </w:r>
      <w:r w:rsidRPr="00075B0E">
        <w:rPr>
          <w:b/>
        </w:rPr>
        <w:t>Recommendations</w:t>
      </w:r>
      <w:r w:rsidRPr="00075B0E">
        <w:rPr>
          <w:b/>
        </w:rPr>
        <w:tab/>
      </w:r>
      <w:r w:rsidRPr="00075B0E">
        <w:rPr>
          <w:b/>
        </w:rPr>
        <w:fldChar w:fldCharType="begin"/>
      </w:r>
      <w:r w:rsidRPr="00075B0E">
        <w:rPr>
          <w:b/>
        </w:rPr>
        <w:instrText xml:space="preserve"> PAGEREF _Toc401238975 \h </w:instrText>
      </w:r>
      <w:r w:rsidRPr="00075B0E">
        <w:rPr>
          <w:b/>
        </w:rPr>
      </w:r>
      <w:r w:rsidRPr="00075B0E">
        <w:rPr>
          <w:b/>
        </w:rPr>
        <w:fldChar w:fldCharType="separate"/>
      </w:r>
      <w:r w:rsidR="005E1B33">
        <w:rPr>
          <w:b/>
        </w:rPr>
        <w:t>4</w:t>
      </w:r>
      <w:r w:rsidRPr="00075B0E">
        <w:rPr>
          <w:b/>
        </w:rPr>
        <w:fldChar w:fldCharType="end"/>
      </w:r>
    </w:p>
    <w:p w:rsidR="00BB3AB8" w:rsidRPr="00075B0E" w:rsidRDefault="00BB3AB8" w:rsidP="00075B0E">
      <w:pPr>
        <w:pStyle w:val="TOC1"/>
        <w:rPr>
          <w:b/>
        </w:rPr>
      </w:pPr>
      <w:r w:rsidRPr="00075B0E">
        <w:rPr>
          <w:b/>
        </w:rPr>
        <w:t>4.</w:t>
      </w:r>
      <w:r w:rsidRPr="00075B0E">
        <w:rPr>
          <w:rFonts w:asciiTheme="minorHAnsi" w:eastAsiaTheme="minorEastAsia" w:hAnsiTheme="minorHAnsi" w:cstheme="minorBidi"/>
          <w:b/>
          <w:color w:val="auto"/>
          <w:sz w:val="22"/>
          <w:szCs w:val="22"/>
          <w:lang w:eastAsia="en-AU"/>
        </w:rPr>
        <w:tab/>
      </w:r>
      <w:r w:rsidR="0020419D" w:rsidRPr="00075B0E">
        <w:rPr>
          <w:b/>
        </w:rPr>
        <w:t xml:space="preserve">ATA </w:t>
      </w:r>
      <w:r w:rsidR="00E751B6" w:rsidRPr="00075B0E">
        <w:rPr>
          <w:b/>
        </w:rPr>
        <w:t>Responses to NTC questions</w:t>
      </w:r>
      <w:r w:rsidRPr="00075B0E">
        <w:rPr>
          <w:b/>
        </w:rPr>
        <w:tab/>
      </w:r>
      <w:r w:rsidRPr="00075B0E">
        <w:rPr>
          <w:b/>
        </w:rPr>
        <w:fldChar w:fldCharType="begin"/>
      </w:r>
      <w:r w:rsidRPr="00075B0E">
        <w:rPr>
          <w:b/>
        </w:rPr>
        <w:instrText xml:space="preserve"> PAGEREF _Toc401238976 \h </w:instrText>
      </w:r>
      <w:r w:rsidRPr="00075B0E">
        <w:rPr>
          <w:b/>
        </w:rPr>
      </w:r>
      <w:r w:rsidRPr="00075B0E">
        <w:rPr>
          <w:b/>
        </w:rPr>
        <w:fldChar w:fldCharType="separate"/>
      </w:r>
      <w:r w:rsidR="005E1B33">
        <w:rPr>
          <w:b/>
        </w:rPr>
        <w:t>4</w:t>
      </w:r>
      <w:r w:rsidRPr="00075B0E">
        <w:rPr>
          <w:b/>
        </w:rPr>
        <w:fldChar w:fldCharType="end"/>
      </w:r>
    </w:p>
    <w:p w:rsidR="0020419D" w:rsidRPr="00075B0E" w:rsidRDefault="005A5AE9" w:rsidP="00075B0E">
      <w:pPr>
        <w:pStyle w:val="TOC1"/>
        <w:rPr>
          <w:b/>
        </w:rPr>
      </w:pPr>
      <w:r w:rsidRPr="00075B0E">
        <w:rPr>
          <w:rFonts w:cs="Arial"/>
          <w:b/>
        </w:rPr>
        <w:fldChar w:fldCharType="end"/>
      </w:r>
      <w:r w:rsidR="0020419D" w:rsidRPr="00075B0E">
        <w:rPr>
          <w:b/>
        </w:rPr>
        <w:t>5.</w:t>
      </w:r>
      <w:r w:rsidR="0020419D" w:rsidRPr="00075B0E">
        <w:rPr>
          <w:rFonts w:asciiTheme="minorHAnsi" w:eastAsiaTheme="minorEastAsia" w:hAnsiTheme="minorHAnsi" w:cstheme="minorBidi"/>
          <w:b/>
          <w:color w:val="auto"/>
          <w:sz w:val="22"/>
          <w:szCs w:val="22"/>
          <w:lang w:eastAsia="en-AU"/>
        </w:rPr>
        <w:tab/>
      </w:r>
      <w:r w:rsidR="00E751B6" w:rsidRPr="00075B0E">
        <w:rPr>
          <w:rFonts w:asciiTheme="minorHAnsi" w:eastAsiaTheme="minorEastAsia" w:hAnsiTheme="minorHAnsi" w:cstheme="minorBidi"/>
          <w:b/>
          <w:color w:val="auto"/>
          <w:sz w:val="22"/>
          <w:szCs w:val="22"/>
          <w:lang w:eastAsia="en-AU"/>
        </w:rPr>
        <w:t xml:space="preserve">Appendix 1 - </w:t>
      </w:r>
      <w:r w:rsidR="00E751B6" w:rsidRPr="00075B0E">
        <w:rPr>
          <w:b/>
        </w:rPr>
        <w:t>Truck and dog combinations – Full PBS assessment</w:t>
      </w:r>
      <w:r w:rsidR="0020419D" w:rsidRPr="00075B0E">
        <w:rPr>
          <w:b/>
        </w:rPr>
        <w:tab/>
      </w:r>
      <w:r w:rsidR="009B0F81">
        <w:rPr>
          <w:b/>
        </w:rPr>
        <w:t>10</w:t>
      </w:r>
    </w:p>
    <w:p w:rsidR="0045642B" w:rsidRPr="00DF540D" w:rsidRDefault="0045642B" w:rsidP="001025C9">
      <w:pPr>
        <w:tabs>
          <w:tab w:val="right" w:leader="dot" w:pos="9645"/>
        </w:tabs>
        <w:jc w:val="both"/>
        <w:rPr>
          <w:rFonts w:ascii="Arial" w:hAnsi="Arial" w:cs="Arial"/>
          <w:b/>
          <w:sz w:val="20"/>
          <w:szCs w:val="20"/>
        </w:rPr>
      </w:pPr>
    </w:p>
    <w:p w:rsidR="0045642B" w:rsidRPr="00DF540D" w:rsidRDefault="0045642B" w:rsidP="001025C9">
      <w:pPr>
        <w:tabs>
          <w:tab w:val="right" w:leader="dot" w:pos="9645"/>
        </w:tabs>
        <w:jc w:val="both"/>
        <w:rPr>
          <w:rFonts w:ascii="Arial" w:hAnsi="Arial" w:cs="Arial"/>
          <w:b/>
          <w:sz w:val="20"/>
          <w:szCs w:val="20"/>
        </w:rPr>
      </w:pPr>
    </w:p>
    <w:p w:rsidR="0045642B" w:rsidRPr="00DF540D" w:rsidRDefault="0045642B" w:rsidP="001025C9">
      <w:pPr>
        <w:tabs>
          <w:tab w:val="right" w:leader="dot" w:pos="9645"/>
        </w:tabs>
        <w:jc w:val="both"/>
        <w:rPr>
          <w:rFonts w:ascii="Arial" w:hAnsi="Arial" w:cs="Arial"/>
          <w:b/>
          <w:sz w:val="20"/>
          <w:szCs w:val="20"/>
        </w:rPr>
      </w:pPr>
    </w:p>
    <w:p w:rsidR="0045642B" w:rsidRPr="00DF540D" w:rsidRDefault="0045642B" w:rsidP="001025C9">
      <w:pPr>
        <w:tabs>
          <w:tab w:val="right" w:leader="dot" w:pos="9645"/>
        </w:tabs>
        <w:jc w:val="both"/>
        <w:rPr>
          <w:rFonts w:ascii="Arial" w:hAnsi="Arial" w:cs="Arial"/>
          <w:b/>
          <w:sz w:val="20"/>
          <w:szCs w:val="20"/>
        </w:rPr>
      </w:pPr>
    </w:p>
    <w:p w:rsidR="0045642B" w:rsidRPr="00DF540D" w:rsidRDefault="0045642B" w:rsidP="001025C9">
      <w:pPr>
        <w:tabs>
          <w:tab w:val="right" w:leader="dot" w:pos="9645"/>
        </w:tabs>
        <w:jc w:val="both"/>
        <w:rPr>
          <w:rFonts w:ascii="Arial" w:hAnsi="Arial" w:cs="Arial"/>
          <w:b/>
          <w:sz w:val="20"/>
          <w:szCs w:val="20"/>
        </w:rPr>
      </w:pPr>
    </w:p>
    <w:p w:rsidR="0045642B" w:rsidRPr="00DF540D" w:rsidRDefault="0045642B" w:rsidP="001025C9">
      <w:pPr>
        <w:tabs>
          <w:tab w:val="right" w:leader="dot" w:pos="9645"/>
        </w:tabs>
        <w:jc w:val="both"/>
        <w:rPr>
          <w:rFonts w:ascii="Arial" w:hAnsi="Arial" w:cs="Arial"/>
          <w:b/>
          <w:sz w:val="20"/>
          <w:szCs w:val="20"/>
        </w:rPr>
      </w:pPr>
    </w:p>
    <w:p w:rsidR="0045642B" w:rsidRPr="00DF540D" w:rsidRDefault="0045642B" w:rsidP="001025C9">
      <w:pPr>
        <w:tabs>
          <w:tab w:val="right" w:leader="dot" w:pos="9645"/>
        </w:tabs>
        <w:jc w:val="both"/>
        <w:rPr>
          <w:rFonts w:ascii="Arial" w:hAnsi="Arial" w:cs="Arial"/>
          <w:b/>
          <w:sz w:val="20"/>
          <w:szCs w:val="20"/>
        </w:rPr>
      </w:pPr>
    </w:p>
    <w:p w:rsidR="0045642B" w:rsidRPr="00DF540D" w:rsidRDefault="0045642B" w:rsidP="001025C9">
      <w:pPr>
        <w:tabs>
          <w:tab w:val="right" w:leader="dot" w:pos="9645"/>
        </w:tabs>
        <w:jc w:val="both"/>
        <w:rPr>
          <w:rFonts w:ascii="Arial" w:hAnsi="Arial" w:cs="Arial"/>
          <w:b/>
          <w:sz w:val="20"/>
          <w:szCs w:val="20"/>
        </w:rPr>
      </w:pPr>
    </w:p>
    <w:p w:rsidR="00576ED0" w:rsidRPr="00DF540D" w:rsidRDefault="00576ED0" w:rsidP="001025C9">
      <w:pPr>
        <w:jc w:val="both"/>
        <w:rPr>
          <w:rFonts w:ascii="Arial" w:hAnsi="Arial" w:cs="Arial"/>
          <w:b/>
          <w:sz w:val="20"/>
          <w:szCs w:val="20"/>
        </w:rPr>
      </w:pPr>
      <w:r w:rsidRPr="00DF540D">
        <w:rPr>
          <w:rFonts w:ascii="Arial" w:hAnsi="Arial" w:cs="Arial"/>
          <w:b/>
          <w:sz w:val="20"/>
          <w:szCs w:val="20"/>
        </w:rPr>
        <w:br w:type="page"/>
      </w:r>
    </w:p>
    <w:p w:rsidR="00576ED0" w:rsidRPr="00DF540D" w:rsidRDefault="00576ED0" w:rsidP="001025C9">
      <w:pPr>
        <w:pStyle w:val="Heading1"/>
        <w:jc w:val="both"/>
      </w:pPr>
      <w:bookmarkStart w:id="1" w:name="_Toc401238973"/>
      <w:r w:rsidRPr="00DF540D">
        <w:t>Introduction</w:t>
      </w:r>
      <w:bookmarkEnd w:id="1"/>
    </w:p>
    <w:p w:rsidR="00D17563" w:rsidRDefault="00D17563" w:rsidP="001025C9">
      <w:pPr>
        <w:jc w:val="both"/>
        <w:rPr>
          <w:rFonts w:ascii="Arial" w:hAnsi="Arial" w:cs="Arial"/>
          <w:sz w:val="20"/>
          <w:szCs w:val="20"/>
        </w:rPr>
      </w:pPr>
    </w:p>
    <w:p w:rsidR="00A75B77" w:rsidRPr="00040F2E" w:rsidRDefault="00A75B77" w:rsidP="00A75B77">
      <w:pPr>
        <w:rPr>
          <w:rFonts w:asciiTheme="minorHAnsi" w:hAnsiTheme="minorHAnsi"/>
        </w:rPr>
      </w:pPr>
      <w:r w:rsidRPr="00040F2E">
        <w:rPr>
          <w:rFonts w:asciiTheme="minorHAnsi" w:hAnsiTheme="minorHAnsi"/>
        </w:rPr>
        <w:t xml:space="preserve">This </w:t>
      </w:r>
      <w:r w:rsidR="00BA3F8E">
        <w:rPr>
          <w:rFonts w:asciiTheme="minorHAnsi" w:hAnsiTheme="minorHAnsi"/>
        </w:rPr>
        <w:t xml:space="preserve">ATA </w:t>
      </w:r>
      <w:r w:rsidRPr="00040F2E">
        <w:rPr>
          <w:rFonts w:asciiTheme="minorHAnsi" w:hAnsiTheme="minorHAnsi"/>
        </w:rPr>
        <w:t xml:space="preserve">submission to the NTC review of </w:t>
      </w:r>
      <w:r w:rsidR="00633F97">
        <w:rPr>
          <w:rFonts w:asciiTheme="minorHAnsi" w:hAnsiTheme="minorHAnsi"/>
        </w:rPr>
        <w:t>a</w:t>
      </w:r>
      <w:r w:rsidR="00442E1F" w:rsidRPr="00442E1F">
        <w:rPr>
          <w:rFonts w:asciiTheme="minorHAnsi" w:hAnsiTheme="minorHAnsi"/>
        </w:rPr>
        <w:t>ccess to PBS mass limits for truck and trailer combinations</w:t>
      </w:r>
      <w:r w:rsidR="00442E1F">
        <w:rPr>
          <w:rFonts w:asciiTheme="minorHAnsi" w:hAnsiTheme="minorHAnsi"/>
        </w:rPr>
        <w:t xml:space="preserve"> </w:t>
      </w:r>
      <w:r w:rsidR="00BA3F8E">
        <w:rPr>
          <w:rFonts w:asciiTheme="minorHAnsi" w:hAnsiTheme="minorHAnsi"/>
        </w:rPr>
        <w:t xml:space="preserve">conveys </w:t>
      </w:r>
      <w:r w:rsidR="00442E1F">
        <w:rPr>
          <w:rFonts w:asciiTheme="minorHAnsi" w:hAnsiTheme="minorHAnsi"/>
        </w:rPr>
        <w:t xml:space="preserve">the </w:t>
      </w:r>
      <w:r w:rsidR="00BA3F8E">
        <w:rPr>
          <w:rFonts w:asciiTheme="minorHAnsi" w:hAnsiTheme="minorHAnsi"/>
        </w:rPr>
        <w:t>feedback received from ATA member associations</w:t>
      </w:r>
      <w:r w:rsidRPr="00040F2E">
        <w:rPr>
          <w:rFonts w:asciiTheme="minorHAnsi" w:hAnsiTheme="minorHAnsi"/>
        </w:rPr>
        <w:t xml:space="preserve"> and industry stakeholders including:</w:t>
      </w:r>
    </w:p>
    <w:p w:rsidR="00A75B77" w:rsidRPr="00040F2E" w:rsidRDefault="00A75B77" w:rsidP="005114F2">
      <w:pPr>
        <w:pStyle w:val="ListParagraph"/>
        <w:numPr>
          <w:ilvl w:val="0"/>
          <w:numId w:val="3"/>
        </w:numPr>
        <w:spacing w:after="0" w:line="240" w:lineRule="auto"/>
        <w:rPr>
          <w:rFonts w:asciiTheme="minorHAnsi" w:hAnsiTheme="minorHAnsi"/>
        </w:rPr>
      </w:pPr>
      <w:r w:rsidRPr="00040F2E">
        <w:rPr>
          <w:rFonts w:asciiTheme="minorHAnsi" w:hAnsiTheme="minorHAnsi"/>
        </w:rPr>
        <w:t>operators</w:t>
      </w:r>
      <w:r w:rsidR="002727A0">
        <w:rPr>
          <w:rFonts w:asciiTheme="minorHAnsi" w:hAnsiTheme="minorHAnsi"/>
        </w:rPr>
        <w:t>, including PBS vehicle operators</w:t>
      </w:r>
    </w:p>
    <w:p w:rsidR="00A75B77" w:rsidRPr="00040F2E" w:rsidRDefault="00A75B77" w:rsidP="005114F2">
      <w:pPr>
        <w:pStyle w:val="ListParagraph"/>
        <w:numPr>
          <w:ilvl w:val="0"/>
          <w:numId w:val="3"/>
        </w:numPr>
        <w:spacing w:after="0" w:line="240" w:lineRule="auto"/>
        <w:rPr>
          <w:rFonts w:asciiTheme="minorHAnsi" w:hAnsiTheme="minorHAnsi"/>
        </w:rPr>
      </w:pPr>
      <w:r w:rsidRPr="00040F2E">
        <w:rPr>
          <w:rFonts w:asciiTheme="minorHAnsi" w:hAnsiTheme="minorHAnsi"/>
        </w:rPr>
        <w:t>trailer manufacturers</w:t>
      </w:r>
    </w:p>
    <w:p w:rsidR="00A75B77" w:rsidRPr="00040F2E" w:rsidRDefault="00A75B77" w:rsidP="005114F2">
      <w:pPr>
        <w:pStyle w:val="ListParagraph"/>
        <w:numPr>
          <w:ilvl w:val="0"/>
          <w:numId w:val="3"/>
        </w:numPr>
        <w:spacing w:after="0" w:line="240" w:lineRule="auto"/>
        <w:rPr>
          <w:rFonts w:asciiTheme="minorHAnsi" w:hAnsiTheme="minorHAnsi"/>
        </w:rPr>
      </w:pPr>
      <w:r w:rsidRPr="00040F2E">
        <w:rPr>
          <w:rFonts w:asciiTheme="minorHAnsi" w:hAnsiTheme="minorHAnsi"/>
        </w:rPr>
        <w:t>designers of innovative heavy vehicles</w:t>
      </w:r>
      <w:r w:rsidR="00381A7D">
        <w:rPr>
          <w:rFonts w:asciiTheme="minorHAnsi" w:hAnsiTheme="minorHAnsi"/>
        </w:rPr>
        <w:t>,</w:t>
      </w:r>
      <w:r w:rsidRPr="00040F2E">
        <w:rPr>
          <w:rFonts w:asciiTheme="minorHAnsi" w:hAnsiTheme="minorHAnsi"/>
        </w:rPr>
        <w:t xml:space="preserve"> and</w:t>
      </w:r>
    </w:p>
    <w:p w:rsidR="00A75B77" w:rsidRPr="00040F2E" w:rsidRDefault="00A75B77" w:rsidP="005114F2">
      <w:pPr>
        <w:pStyle w:val="ListParagraph"/>
        <w:numPr>
          <w:ilvl w:val="0"/>
          <w:numId w:val="3"/>
        </w:numPr>
        <w:spacing w:after="0" w:line="240" w:lineRule="auto"/>
        <w:rPr>
          <w:rFonts w:asciiTheme="minorHAnsi" w:hAnsiTheme="minorHAnsi"/>
        </w:rPr>
      </w:pPr>
      <w:r w:rsidRPr="00040F2E">
        <w:rPr>
          <w:rFonts w:asciiTheme="minorHAnsi" w:hAnsiTheme="minorHAnsi"/>
        </w:rPr>
        <w:t>holders of existing PBS design approvals</w:t>
      </w:r>
    </w:p>
    <w:p w:rsidR="00A75B77" w:rsidRPr="00040F2E" w:rsidRDefault="00A75B77" w:rsidP="00A75B77">
      <w:pPr>
        <w:rPr>
          <w:rFonts w:asciiTheme="minorHAnsi" w:hAnsiTheme="minorHAnsi"/>
        </w:rPr>
      </w:pPr>
    </w:p>
    <w:p w:rsidR="002B4466" w:rsidRDefault="00E00E54" w:rsidP="00A75B77">
      <w:pPr>
        <w:rPr>
          <w:rFonts w:asciiTheme="minorHAnsi" w:hAnsiTheme="minorHAnsi"/>
        </w:rPr>
      </w:pPr>
      <w:r w:rsidRPr="00E00E54">
        <w:rPr>
          <w:rFonts w:asciiTheme="minorHAnsi" w:hAnsiTheme="minorHAnsi"/>
        </w:rPr>
        <w:t xml:space="preserve">The </w:t>
      </w:r>
      <w:r>
        <w:rPr>
          <w:rFonts w:asciiTheme="minorHAnsi" w:hAnsiTheme="minorHAnsi"/>
        </w:rPr>
        <w:t xml:space="preserve">NTC </w:t>
      </w:r>
      <w:r w:rsidRPr="00E00E54">
        <w:rPr>
          <w:rFonts w:asciiTheme="minorHAnsi" w:hAnsiTheme="minorHAnsi"/>
        </w:rPr>
        <w:t xml:space="preserve">paper identifies options under which six and seven-axle truck and trailer vehicle combinations may operate at mass limits currently offered under the PBS scheme without the need for PBS assessment. </w:t>
      </w:r>
    </w:p>
    <w:p w:rsidR="00E00E54" w:rsidRDefault="00E00E54" w:rsidP="00A75B77">
      <w:pPr>
        <w:rPr>
          <w:rFonts w:asciiTheme="minorHAnsi" w:hAnsiTheme="minorHAnsi"/>
        </w:rPr>
      </w:pPr>
    </w:p>
    <w:p w:rsidR="00A75B77" w:rsidRPr="00040F2E" w:rsidRDefault="00BA3F8E" w:rsidP="00A75B77">
      <w:pPr>
        <w:rPr>
          <w:rFonts w:asciiTheme="minorHAnsi" w:hAnsiTheme="minorHAnsi"/>
        </w:rPr>
      </w:pPr>
      <w:r>
        <w:rPr>
          <w:rFonts w:asciiTheme="minorHAnsi" w:hAnsiTheme="minorHAnsi"/>
        </w:rPr>
        <w:t>From</w:t>
      </w:r>
      <w:r w:rsidR="00A75B77" w:rsidRPr="00040F2E">
        <w:rPr>
          <w:rFonts w:asciiTheme="minorHAnsi" w:hAnsiTheme="minorHAnsi"/>
        </w:rPr>
        <w:t xml:space="preserve"> the outset, the ATA notes the NTC paper reports that PBS truck and trailer designs account for some 63</w:t>
      </w:r>
      <w:r w:rsidR="00953A0A">
        <w:rPr>
          <w:rFonts w:asciiTheme="minorHAnsi" w:hAnsiTheme="minorHAnsi"/>
        </w:rPr>
        <w:t xml:space="preserve"> per cent</w:t>
      </w:r>
      <w:r w:rsidR="00953A0A" w:rsidRPr="00040F2E">
        <w:rPr>
          <w:rFonts w:asciiTheme="minorHAnsi" w:hAnsiTheme="minorHAnsi"/>
        </w:rPr>
        <w:t xml:space="preserve"> </w:t>
      </w:r>
      <w:r w:rsidR="00A75B77" w:rsidRPr="00040F2E">
        <w:rPr>
          <w:rFonts w:asciiTheme="minorHAnsi" w:hAnsiTheme="minorHAnsi"/>
        </w:rPr>
        <w:t>of all PB</w:t>
      </w:r>
      <w:r>
        <w:rPr>
          <w:rFonts w:asciiTheme="minorHAnsi" w:hAnsiTheme="minorHAnsi"/>
        </w:rPr>
        <w:t xml:space="preserve">S vehicle design applications. </w:t>
      </w:r>
      <w:r w:rsidR="00A75B77" w:rsidRPr="00040F2E">
        <w:rPr>
          <w:rFonts w:asciiTheme="minorHAnsi" w:hAnsiTheme="minorHAnsi"/>
        </w:rPr>
        <w:t xml:space="preserve">However, </w:t>
      </w:r>
      <w:r w:rsidR="002B4466">
        <w:rPr>
          <w:rFonts w:asciiTheme="minorHAnsi" w:hAnsiTheme="minorHAnsi"/>
        </w:rPr>
        <w:t xml:space="preserve">it </w:t>
      </w:r>
      <w:r w:rsidR="00A75B77" w:rsidRPr="00040F2E">
        <w:rPr>
          <w:rFonts w:asciiTheme="minorHAnsi" w:hAnsiTheme="minorHAnsi"/>
        </w:rPr>
        <w:t xml:space="preserve">makes few references to other factors </w:t>
      </w:r>
      <w:r w:rsidR="002B4466">
        <w:rPr>
          <w:rFonts w:asciiTheme="minorHAnsi" w:hAnsiTheme="minorHAnsi"/>
        </w:rPr>
        <w:t>with</w:t>
      </w:r>
      <w:r w:rsidR="00A75B77" w:rsidRPr="00040F2E">
        <w:rPr>
          <w:rFonts w:asciiTheme="minorHAnsi" w:hAnsiTheme="minorHAnsi"/>
        </w:rPr>
        <w:t xml:space="preserve"> significant influence on operator decisions in </w:t>
      </w:r>
      <w:r w:rsidR="002B4466">
        <w:rPr>
          <w:rFonts w:asciiTheme="minorHAnsi" w:hAnsiTheme="minorHAnsi"/>
        </w:rPr>
        <w:t xml:space="preserve">terms of </w:t>
      </w:r>
      <w:r>
        <w:rPr>
          <w:rFonts w:asciiTheme="minorHAnsi" w:hAnsiTheme="minorHAnsi"/>
        </w:rPr>
        <w:t>vehicle configuration</w:t>
      </w:r>
      <w:r w:rsidR="00953A0A">
        <w:rPr>
          <w:rFonts w:asciiTheme="minorHAnsi" w:hAnsiTheme="minorHAnsi"/>
        </w:rPr>
        <w:t xml:space="preserve"> selections</w:t>
      </w:r>
      <w:r>
        <w:rPr>
          <w:rFonts w:asciiTheme="minorHAnsi" w:hAnsiTheme="minorHAnsi"/>
        </w:rPr>
        <w:t>.</w:t>
      </w:r>
    </w:p>
    <w:p w:rsidR="00A75B77" w:rsidRPr="00040F2E" w:rsidRDefault="00A75B77" w:rsidP="00A75B77">
      <w:pPr>
        <w:rPr>
          <w:rFonts w:asciiTheme="minorHAnsi" w:hAnsiTheme="minorHAnsi"/>
        </w:rPr>
      </w:pPr>
    </w:p>
    <w:p w:rsidR="00BA3F8E" w:rsidRPr="00040F2E" w:rsidRDefault="00BA3F8E" w:rsidP="00BA3F8E">
      <w:pPr>
        <w:rPr>
          <w:rFonts w:asciiTheme="minorHAnsi" w:hAnsiTheme="minorHAnsi"/>
        </w:rPr>
      </w:pPr>
      <w:r w:rsidRPr="00040F2E">
        <w:rPr>
          <w:rFonts w:asciiTheme="minorHAnsi" w:hAnsiTheme="minorHAnsi"/>
        </w:rPr>
        <w:t xml:space="preserve">PBS seven axle </w:t>
      </w:r>
      <w:r w:rsidR="002727A0">
        <w:rPr>
          <w:rFonts w:asciiTheme="minorHAnsi" w:hAnsiTheme="minorHAnsi"/>
        </w:rPr>
        <w:t>t</w:t>
      </w:r>
      <w:r w:rsidRPr="00040F2E">
        <w:rPr>
          <w:rFonts w:asciiTheme="minorHAnsi" w:hAnsiTheme="minorHAnsi"/>
        </w:rPr>
        <w:t xml:space="preserve">ruck and </w:t>
      </w:r>
      <w:r w:rsidR="002727A0">
        <w:rPr>
          <w:rFonts w:asciiTheme="minorHAnsi" w:hAnsiTheme="minorHAnsi"/>
        </w:rPr>
        <w:t>d</w:t>
      </w:r>
      <w:r w:rsidRPr="00040F2E">
        <w:rPr>
          <w:rFonts w:asciiTheme="minorHAnsi" w:hAnsiTheme="minorHAnsi"/>
        </w:rPr>
        <w:t xml:space="preserve">og </w:t>
      </w:r>
      <w:r w:rsidR="002727A0">
        <w:rPr>
          <w:rFonts w:asciiTheme="minorHAnsi" w:hAnsiTheme="minorHAnsi"/>
        </w:rPr>
        <w:t>t</w:t>
      </w:r>
      <w:r w:rsidRPr="00040F2E">
        <w:rPr>
          <w:rFonts w:asciiTheme="minorHAnsi" w:hAnsiTheme="minorHAnsi"/>
        </w:rPr>
        <w:t xml:space="preserve">railer combinations are afforded the same </w:t>
      </w:r>
      <w:r w:rsidR="002727A0">
        <w:rPr>
          <w:rFonts w:asciiTheme="minorHAnsi" w:hAnsiTheme="minorHAnsi"/>
        </w:rPr>
        <w:t>General Mass Limits (</w:t>
      </w:r>
      <w:r w:rsidRPr="00040F2E">
        <w:rPr>
          <w:rFonts w:asciiTheme="minorHAnsi" w:hAnsiTheme="minorHAnsi"/>
        </w:rPr>
        <w:t>GML</w:t>
      </w:r>
      <w:r w:rsidR="002727A0">
        <w:rPr>
          <w:rFonts w:asciiTheme="minorHAnsi" w:hAnsiTheme="minorHAnsi"/>
        </w:rPr>
        <w:t>)</w:t>
      </w:r>
      <w:r w:rsidRPr="00040F2E">
        <w:rPr>
          <w:rFonts w:asciiTheme="minorHAnsi" w:hAnsiTheme="minorHAnsi"/>
        </w:rPr>
        <w:t xml:space="preserve"> and CML weights as </w:t>
      </w:r>
      <w:r w:rsidR="002727A0">
        <w:rPr>
          <w:rFonts w:asciiTheme="minorHAnsi" w:hAnsiTheme="minorHAnsi"/>
        </w:rPr>
        <w:t>compliant</w:t>
      </w:r>
      <w:r w:rsidR="002727A0" w:rsidRPr="00040F2E">
        <w:rPr>
          <w:rFonts w:asciiTheme="minorHAnsi" w:hAnsiTheme="minorHAnsi"/>
        </w:rPr>
        <w:t xml:space="preserve"> </w:t>
      </w:r>
      <w:r w:rsidRPr="00040F2E">
        <w:rPr>
          <w:rFonts w:asciiTheme="minorHAnsi" w:hAnsiTheme="minorHAnsi"/>
        </w:rPr>
        <w:t xml:space="preserve">seven axle B-double </w:t>
      </w:r>
      <w:r w:rsidR="002727A0">
        <w:rPr>
          <w:rFonts w:asciiTheme="minorHAnsi" w:hAnsiTheme="minorHAnsi"/>
        </w:rPr>
        <w:t xml:space="preserve">vehicle </w:t>
      </w:r>
      <w:r w:rsidRPr="00040F2E">
        <w:rPr>
          <w:rFonts w:asciiTheme="minorHAnsi" w:hAnsiTheme="minorHAnsi"/>
        </w:rPr>
        <w:t>configurations. The ATA believes a broader comparison show</w:t>
      </w:r>
      <w:r>
        <w:rPr>
          <w:rFonts w:asciiTheme="minorHAnsi" w:hAnsiTheme="minorHAnsi"/>
        </w:rPr>
        <w:t>s</w:t>
      </w:r>
      <w:r w:rsidRPr="00040F2E">
        <w:rPr>
          <w:rFonts w:asciiTheme="minorHAnsi" w:hAnsiTheme="minorHAnsi"/>
        </w:rPr>
        <w:t>:</w:t>
      </w:r>
    </w:p>
    <w:p w:rsidR="00BA3F8E" w:rsidRPr="00040F2E" w:rsidRDefault="00BA3F8E" w:rsidP="00BA3F8E">
      <w:pPr>
        <w:rPr>
          <w:rFonts w:asciiTheme="minorHAnsi" w:hAnsiTheme="minorHAnsi"/>
        </w:rPr>
      </w:pPr>
    </w:p>
    <w:p w:rsidR="00BA3F8E" w:rsidRPr="00040F2E" w:rsidRDefault="005A7733" w:rsidP="005114F2">
      <w:pPr>
        <w:pStyle w:val="ListParagraph"/>
        <w:numPr>
          <w:ilvl w:val="0"/>
          <w:numId w:val="4"/>
        </w:numPr>
        <w:spacing w:after="0" w:line="240" w:lineRule="auto"/>
        <w:rPr>
          <w:rFonts w:asciiTheme="minorHAnsi" w:hAnsiTheme="minorHAnsi"/>
        </w:rPr>
      </w:pPr>
      <w:r>
        <w:rPr>
          <w:rFonts w:asciiTheme="minorHAnsi" w:hAnsiTheme="minorHAnsi"/>
        </w:rPr>
        <w:t>a</w:t>
      </w:r>
      <w:r w:rsidRPr="00040F2E">
        <w:rPr>
          <w:rFonts w:asciiTheme="minorHAnsi" w:hAnsiTheme="minorHAnsi"/>
        </w:rPr>
        <w:t xml:space="preserve"> </w:t>
      </w:r>
      <w:r w:rsidR="00BA3F8E" w:rsidRPr="00040F2E">
        <w:rPr>
          <w:rFonts w:asciiTheme="minorHAnsi" w:hAnsiTheme="minorHAnsi"/>
        </w:rPr>
        <w:t xml:space="preserve">minor benefit in payload for truck and dog combinations </w:t>
      </w:r>
    </w:p>
    <w:p w:rsidR="00BA3F8E" w:rsidRPr="00040F2E" w:rsidRDefault="005A7733" w:rsidP="005114F2">
      <w:pPr>
        <w:pStyle w:val="ListParagraph"/>
        <w:numPr>
          <w:ilvl w:val="0"/>
          <w:numId w:val="4"/>
        </w:numPr>
        <w:spacing w:after="0" w:line="240" w:lineRule="auto"/>
        <w:rPr>
          <w:rFonts w:asciiTheme="minorHAnsi" w:hAnsiTheme="minorHAnsi"/>
        </w:rPr>
      </w:pPr>
      <w:r>
        <w:rPr>
          <w:rFonts w:asciiTheme="minorHAnsi" w:hAnsiTheme="minorHAnsi"/>
        </w:rPr>
        <w:t>a</w:t>
      </w:r>
      <w:r w:rsidRPr="00040F2E">
        <w:rPr>
          <w:rFonts w:asciiTheme="minorHAnsi" w:hAnsiTheme="minorHAnsi"/>
        </w:rPr>
        <w:t xml:space="preserve"> </w:t>
      </w:r>
      <w:r w:rsidR="00BA3F8E" w:rsidRPr="00040F2E">
        <w:rPr>
          <w:rFonts w:asciiTheme="minorHAnsi" w:hAnsiTheme="minorHAnsi"/>
        </w:rPr>
        <w:t>decreased safety performance for truck and dog combinations</w:t>
      </w:r>
    </w:p>
    <w:p w:rsidR="00BA3F8E" w:rsidRPr="00040F2E" w:rsidRDefault="005A7733" w:rsidP="005114F2">
      <w:pPr>
        <w:pStyle w:val="ListParagraph"/>
        <w:numPr>
          <w:ilvl w:val="0"/>
          <w:numId w:val="4"/>
        </w:numPr>
        <w:spacing w:after="0" w:line="240" w:lineRule="auto"/>
        <w:rPr>
          <w:rFonts w:asciiTheme="minorHAnsi" w:hAnsiTheme="minorHAnsi"/>
        </w:rPr>
      </w:pPr>
      <w:r>
        <w:rPr>
          <w:rFonts w:asciiTheme="minorHAnsi" w:hAnsiTheme="minorHAnsi"/>
        </w:rPr>
        <w:t>t</w:t>
      </w:r>
      <w:r w:rsidRPr="00040F2E">
        <w:rPr>
          <w:rFonts w:asciiTheme="minorHAnsi" w:hAnsiTheme="minorHAnsi"/>
        </w:rPr>
        <w:t xml:space="preserve">he </w:t>
      </w:r>
      <w:r w:rsidR="00BA3F8E" w:rsidRPr="00040F2E">
        <w:rPr>
          <w:rFonts w:asciiTheme="minorHAnsi" w:hAnsiTheme="minorHAnsi"/>
        </w:rPr>
        <w:t>same pavement wear for same axle group weights</w:t>
      </w:r>
    </w:p>
    <w:p w:rsidR="00BA3F8E" w:rsidRPr="00040F2E" w:rsidRDefault="005A7733" w:rsidP="005114F2">
      <w:pPr>
        <w:pStyle w:val="ListParagraph"/>
        <w:numPr>
          <w:ilvl w:val="0"/>
          <w:numId w:val="4"/>
        </w:numPr>
        <w:spacing w:after="0" w:line="240" w:lineRule="auto"/>
        <w:rPr>
          <w:rFonts w:asciiTheme="minorHAnsi" w:hAnsiTheme="minorHAnsi"/>
        </w:rPr>
      </w:pPr>
      <w:r>
        <w:rPr>
          <w:rFonts w:asciiTheme="minorHAnsi" w:hAnsiTheme="minorHAnsi"/>
        </w:rPr>
        <w:t>s</w:t>
      </w:r>
      <w:r w:rsidRPr="00040F2E">
        <w:rPr>
          <w:rFonts w:asciiTheme="minorHAnsi" w:hAnsiTheme="minorHAnsi"/>
        </w:rPr>
        <w:t xml:space="preserve">ignificant </w:t>
      </w:r>
      <w:r w:rsidR="00BA3F8E" w:rsidRPr="00040F2E">
        <w:rPr>
          <w:rFonts w:asciiTheme="minorHAnsi" w:hAnsiTheme="minorHAnsi"/>
        </w:rPr>
        <w:t>benefit in registration costs for truck and dog combinations.  ($9</w:t>
      </w:r>
      <w:r w:rsidR="00BC209C">
        <w:rPr>
          <w:rFonts w:asciiTheme="minorHAnsi" w:hAnsiTheme="minorHAnsi"/>
        </w:rPr>
        <w:t>,</w:t>
      </w:r>
      <w:r w:rsidR="00BA3F8E" w:rsidRPr="00040F2E">
        <w:rPr>
          <w:rFonts w:asciiTheme="minorHAnsi" w:hAnsiTheme="minorHAnsi"/>
        </w:rPr>
        <w:t>327.00 vs</w:t>
      </w:r>
      <w:r w:rsidR="00094B1C">
        <w:rPr>
          <w:rFonts w:asciiTheme="minorHAnsi" w:hAnsiTheme="minorHAnsi"/>
        </w:rPr>
        <w:t>.</w:t>
      </w:r>
      <w:r w:rsidR="00BA3F8E" w:rsidRPr="00040F2E">
        <w:rPr>
          <w:rFonts w:asciiTheme="minorHAnsi" w:hAnsiTheme="minorHAnsi"/>
        </w:rPr>
        <w:t xml:space="preserve"> $13</w:t>
      </w:r>
      <w:r w:rsidR="00BC209C">
        <w:rPr>
          <w:rFonts w:asciiTheme="minorHAnsi" w:hAnsiTheme="minorHAnsi"/>
        </w:rPr>
        <w:t>,</w:t>
      </w:r>
      <w:r w:rsidR="00BA3F8E" w:rsidRPr="00040F2E">
        <w:rPr>
          <w:rFonts w:asciiTheme="minorHAnsi" w:hAnsiTheme="minorHAnsi"/>
        </w:rPr>
        <w:t>141.00) and</w:t>
      </w:r>
    </w:p>
    <w:p w:rsidR="00BA3F8E" w:rsidRPr="00040F2E" w:rsidRDefault="00BA3F8E" w:rsidP="005114F2">
      <w:pPr>
        <w:pStyle w:val="ListParagraph"/>
        <w:numPr>
          <w:ilvl w:val="0"/>
          <w:numId w:val="4"/>
        </w:numPr>
        <w:spacing w:after="0" w:line="240" w:lineRule="auto"/>
        <w:rPr>
          <w:rFonts w:asciiTheme="minorHAnsi" w:hAnsiTheme="minorHAnsi"/>
        </w:rPr>
      </w:pPr>
      <w:r w:rsidRPr="00040F2E">
        <w:rPr>
          <w:rFonts w:asciiTheme="minorHAnsi" w:hAnsiTheme="minorHAnsi"/>
        </w:rPr>
        <w:t>better performing alternative</w:t>
      </w:r>
      <w:r>
        <w:rPr>
          <w:rFonts w:asciiTheme="minorHAnsi" w:hAnsiTheme="minorHAnsi"/>
        </w:rPr>
        <w:t>s</w:t>
      </w:r>
      <w:r w:rsidRPr="00040F2E">
        <w:rPr>
          <w:rFonts w:asciiTheme="minorHAnsi" w:hAnsiTheme="minorHAnsi"/>
        </w:rPr>
        <w:t xml:space="preserve"> (dynamically</w:t>
      </w:r>
      <w:r w:rsidR="00D70E5E">
        <w:rPr>
          <w:rFonts w:asciiTheme="minorHAnsi" w:hAnsiTheme="minorHAnsi"/>
        </w:rPr>
        <w:t xml:space="preserve"> </w:t>
      </w:r>
      <w:r w:rsidRPr="00040F2E">
        <w:rPr>
          <w:rFonts w:asciiTheme="minorHAnsi" w:hAnsiTheme="minorHAnsi"/>
        </w:rPr>
        <w:t xml:space="preserve">speaking) </w:t>
      </w:r>
      <w:r w:rsidR="005A7733">
        <w:rPr>
          <w:rFonts w:asciiTheme="minorHAnsi" w:hAnsiTheme="minorHAnsi"/>
        </w:rPr>
        <w:t xml:space="preserve">currently </w:t>
      </w:r>
      <w:r w:rsidRPr="00040F2E">
        <w:rPr>
          <w:rFonts w:asciiTheme="minorHAnsi" w:hAnsiTheme="minorHAnsi"/>
        </w:rPr>
        <w:t>pay a registration premium for del</w:t>
      </w:r>
      <w:r>
        <w:rPr>
          <w:rFonts w:asciiTheme="minorHAnsi" w:hAnsiTheme="minorHAnsi"/>
        </w:rPr>
        <w:t>ivering enhanced vehicle safety.</w:t>
      </w:r>
    </w:p>
    <w:p w:rsidR="00BA3F8E" w:rsidRDefault="00BA3F8E" w:rsidP="00A75B77">
      <w:pPr>
        <w:rPr>
          <w:rFonts w:asciiTheme="minorHAnsi" w:hAnsiTheme="minorHAnsi"/>
        </w:rPr>
      </w:pPr>
    </w:p>
    <w:p w:rsidR="00A75B77" w:rsidRPr="00040F2E" w:rsidRDefault="00C03710" w:rsidP="00A75B77">
      <w:pPr>
        <w:rPr>
          <w:rFonts w:asciiTheme="minorHAnsi" w:hAnsiTheme="minorHAnsi"/>
        </w:rPr>
      </w:pPr>
      <w:r>
        <w:rPr>
          <w:rFonts w:asciiTheme="minorHAnsi" w:hAnsiTheme="minorHAnsi"/>
        </w:rPr>
        <w:t>After</w:t>
      </w:r>
      <w:r w:rsidR="00A75B77" w:rsidRPr="00040F2E">
        <w:rPr>
          <w:rFonts w:asciiTheme="minorHAnsi" w:hAnsiTheme="minorHAnsi"/>
        </w:rPr>
        <w:t xml:space="preserve"> years </w:t>
      </w:r>
      <w:r>
        <w:rPr>
          <w:rFonts w:asciiTheme="minorHAnsi" w:hAnsiTheme="minorHAnsi"/>
        </w:rPr>
        <w:t>of</w:t>
      </w:r>
      <w:r w:rsidR="00A75B77" w:rsidRPr="00040F2E">
        <w:rPr>
          <w:rFonts w:asciiTheme="minorHAnsi" w:hAnsiTheme="minorHAnsi"/>
        </w:rPr>
        <w:t xml:space="preserve"> PBS</w:t>
      </w:r>
      <w:r w:rsidR="005A7733">
        <w:rPr>
          <w:rFonts w:asciiTheme="minorHAnsi" w:hAnsiTheme="minorHAnsi"/>
        </w:rPr>
        <w:t>-related</w:t>
      </w:r>
      <w:r>
        <w:rPr>
          <w:rFonts w:asciiTheme="minorHAnsi" w:hAnsiTheme="minorHAnsi"/>
        </w:rPr>
        <w:t xml:space="preserve"> activity,</w:t>
      </w:r>
      <w:r w:rsidR="00A75B77" w:rsidRPr="00040F2E">
        <w:rPr>
          <w:rFonts w:asciiTheme="minorHAnsi" w:hAnsiTheme="minorHAnsi"/>
        </w:rPr>
        <w:t xml:space="preserve"> there is </w:t>
      </w:r>
      <w:r w:rsidR="005A7733">
        <w:rPr>
          <w:rFonts w:asciiTheme="minorHAnsi" w:hAnsiTheme="minorHAnsi"/>
        </w:rPr>
        <w:t xml:space="preserve">also </w:t>
      </w:r>
      <w:r w:rsidR="00A75B77" w:rsidRPr="00040F2E">
        <w:rPr>
          <w:rFonts w:asciiTheme="minorHAnsi" w:hAnsiTheme="minorHAnsi"/>
        </w:rPr>
        <w:t xml:space="preserve">still </w:t>
      </w:r>
      <w:r>
        <w:rPr>
          <w:rFonts w:asciiTheme="minorHAnsi" w:hAnsiTheme="minorHAnsi"/>
        </w:rPr>
        <w:t xml:space="preserve">the </w:t>
      </w:r>
      <w:r w:rsidR="00A75B77" w:rsidRPr="00040F2E">
        <w:rPr>
          <w:rFonts w:asciiTheme="minorHAnsi" w:hAnsiTheme="minorHAnsi"/>
        </w:rPr>
        <w:t>outstanding matter of comprehensive</w:t>
      </w:r>
      <w:r w:rsidR="005A7733">
        <w:rPr>
          <w:rFonts w:asciiTheme="minorHAnsi" w:hAnsiTheme="minorHAnsi"/>
        </w:rPr>
        <w:t>,</w:t>
      </w:r>
      <w:r w:rsidR="00A75B77" w:rsidRPr="00040F2E">
        <w:rPr>
          <w:rFonts w:asciiTheme="minorHAnsi" w:hAnsiTheme="minorHAnsi"/>
        </w:rPr>
        <w:t xml:space="preserve"> published PBS </w:t>
      </w:r>
      <w:r w:rsidR="005A7733">
        <w:rPr>
          <w:rFonts w:asciiTheme="minorHAnsi" w:hAnsiTheme="minorHAnsi"/>
        </w:rPr>
        <w:t>a</w:t>
      </w:r>
      <w:r w:rsidR="005A7733" w:rsidRPr="00040F2E">
        <w:rPr>
          <w:rFonts w:asciiTheme="minorHAnsi" w:hAnsiTheme="minorHAnsi"/>
        </w:rPr>
        <w:t xml:space="preserve">ccess </w:t>
      </w:r>
      <w:r w:rsidR="00A75B77" w:rsidRPr="00040F2E">
        <w:rPr>
          <w:rFonts w:asciiTheme="minorHAnsi" w:hAnsiTheme="minorHAnsi"/>
        </w:rPr>
        <w:t xml:space="preserve">level networks.  </w:t>
      </w:r>
      <w:r w:rsidR="00BA3F8E">
        <w:rPr>
          <w:rFonts w:asciiTheme="minorHAnsi" w:hAnsiTheme="minorHAnsi"/>
        </w:rPr>
        <w:t>For all levels of PBS access, t</w:t>
      </w:r>
      <w:r w:rsidR="00A75B77" w:rsidRPr="00040F2E">
        <w:rPr>
          <w:rFonts w:asciiTheme="minorHAnsi" w:hAnsiTheme="minorHAnsi"/>
        </w:rPr>
        <w:t xml:space="preserve">he broader principle of network maps needs to be addressed. This and other factors </w:t>
      </w:r>
      <w:r w:rsidR="00BA3F8E" w:rsidRPr="00040F2E">
        <w:rPr>
          <w:rFonts w:asciiTheme="minorHAnsi" w:hAnsiTheme="minorHAnsi"/>
        </w:rPr>
        <w:t xml:space="preserve">mitigating </w:t>
      </w:r>
      <w:r w:rsidR="00BA3F8E">
        <w:rPr>
          <w:rFonts w:asciiTheme="minorHAnsi" w:hAnsiTheme="minorHAnsi"/>
        </w:rPr>
        <w:t xml:space="preserve">the overall success of the PBS </w:t>
      </w:r>
      <w:r w:rsidR="005A060F">
        <w:rPr>
          <w:rFonts w:asciiTheme="minorHAnsi" w:hAnsiTheme="minorHAnsi"/>
        </w:rPr>
        <w:t xml:space="preserve">scheme </w:t>
      </w:r>
      <w:r w:rsidR="00A75B77" w:rsidRPr="00040F2E">
        <w:rPr>
          <w:rFonts w:asciiTheme="minorHAnsi" w:hAnsiTheme="minorHAnsi"/>
        </w:rPr>
        <w:t>are discussed below.</w:t>
      </w:r>
    </w:p>
    <w:p w:rsidR="00A75B77" w:rsidRPr="00040F2E" w:rsidRDefault="00A75B77" w:rsidP="00A75B77">
      <w:pPr>
        <w:rPr>
          <w:rFonts w:asciiTheme="minorHAnsi" w:hAnsiTheme="minorHAnsi"/>
        </w:rPr>
      </w:pPr>
    </w:p>
    <w:p w:rsidR="00A75B77" w:rsidRPr="00040F2E" w:rsidRDefault="00A75B77" w:rsidP="00B35F11">
      <w:pPr>
        <w:rPr>
          <w:rFonts w:asciiTheme="minorHAnsi" w:hAnsiTheme="minorHAnsi" w:cs="Arial"/>
        </w:rPr>
      </w:pPr>
      <w:r w:rsidRPr="0034776D">
        <w:rPr>
          <w:rFonts w:asciiTheme="minorHAnsi" w:hAnsiTheme="minorHAnsi" w:cs="Arial"/>
        </w:rPr>
        <w:t>The ATA</w:t>
      </w:r>
      <w:r w:rsidR="0034776D">
        <w:rPr>
          <w:rFonts w:asciiTheme="minorHAnsi" w:hAnsiTheme="minorHAnsi" w:cs="Arial"/>
        </w:rPr>
        <w:t>’s</w:t>
      </w:r>
      <w:r w:rsidRPr="00633E1A">
        <w:rPr>
          <w:rFonts w:asciiTheme="minorHAnsi" w:hAnsiTheme="minorHAnsi" w:cs="Arial"/>
          <w:i/>
        </w:rPr>
        <w:t xml:space="preserve"> </w:t>
      </w:r>
      <w:hyperlink r:id="rId11" w:history="1">
        <w:r w:rsidR="0034776D" w:rsidRPr="00783A6B">
          <w:rPr>
            <w:rStyle w:val="Hyperlink"/>
            <w:rFonts w:asciiTheme="minorHAnsi" w:hAnsiTheme="minorHAnsi" w:cs="Arial"/>
          </w:rPr>
          <w:t>Technical Advisory Procedure</w:t>
        </w:r>
        <w:r w:rsidRPr="00783A6B">
          <w:rPr>
            <w:rStyle w:val="Hyperlink"/>
            <w:rFonts w:asciiTheme="minorHAnsi" w:hAnsiTheme="minorHAnsi" w:cs="Arial"/>
          </w:rPr>
          <w:t xml:space="preserve"> </w:t>
        </w:r>
        <w:r w:rsidR="00C233C1">
          <w:rPr>
            <w:rStyle w:val="Hyperlink"/>
            <w:rFonts w:asciiTheme="minorHAnsi" w:hAnsiTheme="minorHAnsi" w:cs="Arial"/>
          </w:rPr>
          <w:t xml:space="preserve">(TAP) </w:t>
        </w:r>
        <w:r w:rsidRPr="00783A6B">
          <w:rPr>
            <w:rStyle w:val="Hyperlink"/>
            <w:rFonts w:asciiTheme="minorHAnsi" w:hAnsiTheme="minorHAnsi" w:cs="Arial"/>
          </w:rPr>
          <w:t>for Truck and Dog Trailers</w:t>
        </w:r>
      </w:hyperlink>
      <w:r w:rsidRPr="00040F2E">
        <w:rPr>
          <w:rFonts w:asciiTheme="minorHAnsi" w:hAnsiTheme="minorHAnsi" w:cs="Arial"/>
        </w:rPr>
        <w:t xml:space="preserve"> was </w:t>
      </w:r>
      <w:r w:rsidR="00EF5049" w:rsidRPr="009B0F81">
        <w:rPr>
          <w:rFonts w:asciiTheme="minorHAnsi" w:hAnsiTheme="minorHAnsi" w:cs="Arial"/>
        </w:rPr>
        <w:t>released in 2008</w:t>
      </w:r>
      <w:r w:rsidR="0034776D">
        <w:rPr>
          <w:rFonts w:asciiTheme="minorHAnsi" w:hAnsiTheme="minorHAnsi" w:cs="Arial"/>
        </w:rPr>
        <w:t xml:space="preserve"> </w:t>
      </w:r>
      <w:r w:rsidR="0034776D" w:rsidRPr="0034776D">
        <w:rPr>
          <w:rFonts w:asciiTheme="minorHAnsi" w:hAnsiTheme="minorHAnsi" w:cs="Arial"/>
        </w:rPr>
        <w:t>to promote good design practices for truck and</w:t>
      </w:r>
      <w:r w:rsidR="0034776D">
        <w:rPr>
          <w:rFonts w:asciiTheme="minorHAnsi" w:hAnsiTheme="minorHAnsi" w:cs="Arial"/>
        </w:rPr>
        <w:t xml:space="preserve"> </w:t>
      </w:r>
      <w:r w:rsidR="0034776D" w:rsidRPr="0034776D">
        <w:rPr>
          <w:rFonts w:asciiTheme="minorHAnsi" w:hAnsiTheme="minorHAnsi" w:cs="Arial"/>
        </w:rPr>
        <w:t>dog trailer configurations. It aims to do this by identifying important parameters relevant to dynamic</w:t>
      </w:r>
      <w:r w:rsidR="0034776D">
        <w:rPr>
          <w:rFonts w:asciiTheme="minorHAnsi" w:hAnsiTheme="minorHAnsi" w:cs="Arial"/>
        </w:rPr>
        <w:t xml:space="preserve"> </w:t>
      </w:r>
      <w:r w:rsidR="0034776D" w:rsidRPr="0034776D">
        <w:rPr>
          <w:rFonts w:asciiTheme="minorHAnsi" w:hAnsiTheme="minorHAnsi" w:cs="Arial"/>
        </w:rPr>
        <w:t xml:space="preserve">performance by providing reliable information. The </w:t>
      </w:r>
      <w:r w:rsidR="00C72668">
        <w:rPr>
          <w:rFonts w:asciiTheme="minorHAnsi" w:hAnsiTheme="minorHAnsi" w:cs="Arial"/>
        </w:rPr>
        <w:t>ATA technical p</w:t>
      </w:r>
      <w:r w:rsidR="0034776D" w:rsidRPr="0034776D">
        <w:rPr>
          <w:rFonts w:asciiTheme="minorHAnsi" w:hAnsiTheme="minorHAnsi" w:cs="Arial"/>
        </w:rPr>
        <w:t>rocedure places particular emphasis on good design</w:t>
      </w:r>
      <w:r w:rsidR="0034776D">
        <w:rPr>
          <w:rFonts w:asciiTheme="minorHAnsi" w:hAnsiTheme="minorHAnsi" w:cs="Arial"/>
        </w:rPr>
        <w:t xml:space="preserve"> </w:t>
      </w:r>
      <w:r w:rsidR="0034776D" w:rsidRPr="0034776D">
        <w:rPr>
          <w:rFonts w:asciiTheme="minorHAnsi" w:hAnsiTheme="minorHAnsi" w:cs="Arial"/>
        </w:rPr>
        <w:t>practice for achieving improved dynamic stability in truck and dog trailer combinations exceeding 42.5</w:t>
      </w:r>
      <w:r w:rsidR="0034776D">
        <w:rPr>
          <w:rFonts w:asciiTheme="minorHAnsi" w:hAnsiTheme="minorHAnsi" w:cs="Arial"/>
        </w:rPr>
        <w:t xml:space="preserve"> </w:t>
      </w:r>
      <w:r w:rsidR="0034776D" w:rsidRPr="0034776D">
        <w:rPr>
          <w:rFonts w:asciiTheme="minorHAnsi" w:hAnsiTheme="minorHAnsi" w:cs="Arial"/>
        </w:rPr>
        <w:t xml:space="preserve">tonnes </w:t>
      </w:r>
      <w:r w:rsidR="00BC209C">
        <w:rPr>
          <w:rFonts w:asciiTheme="minorHAnsi" w:hAnsiTheme="minorHAnsi" w:cs="Arial"/>
        </w:rPr>
        <w:t>G</w:t>
      </w:r>
      <w:r w:rsidR="0034776D" w:rsidRPr="0034776D">
        <w:rPr>
          <w:rFonts w:asciiTheme="minorHAnsi" w:hAnsiTheme="minorHAnsi" w:cs="Arial"/>
        </w:rPr>
        <w:t xml:space="preserve">ross </w:t>
      </w:r>
      <w:r w:rsidR="00BC209C">
        <w:rPr>
          <w:rFonts w:asciiTheme="minorHAnsi" w:hAnsiTheme="minorHAnsi" w:cs="Arial"/>
        </w:rPr>
        <w:t>C</w:t>
      </w:r>
      <w:r w:rsidR="0034776D" w:rsidRPr="0034776D">
        <w:rPr>
          <w:rFonts w:asciiTheme="minorHAnsi" w:hAnsiTheme="minorHAnsi" w:cs="Arial"/>
        </w:rPr>
        <w:t xml:space="preserve">ombination </w:t>
      </w:r>
      <w:r w:rsidR="00BC209C">
        <w:rPr>
          <w:rFonts w:asciiTheme="minorHAnsi" w:hAnsiTheme="minorHAnsi" w:cs="Arial"/>
        </w:rPr>
        <w:t>M</w:t>
      </w:r>
      <w:r w:rsidR="0034776D" w:rsidRPr="0034776D">
        <w:rPr>
          <w:rFonts w:asciiTheme="minorHAnsi" w:hAnsiTheme="minorHAnsi" w:cs="Arial"/>
        </w:rPr>
        <w:t>ass</w:t>
      </w:r>
      <w:r w:rsidR="00BC209C">
        <w:rPr>
          <w:rFonts w:asciiTheme="minorHAnsi" w:hAnsiTheme="minorHAnsi" w:cs="Arial"/>
        </w:rPr>
        <w:t xml:space="preserve"> (GCM)</w:t>
      </w:r>
      <w:r w:rsidR="0034776D" w:rsidRPr="0034776D">
        <w:rPr>
          <w:rFonts w:asciiTheme="minorHAnsi" w:hAnsiTheme="minorHAnsi" w:cs="Arial"/>
        </w:rPr>
        <w:t>.</w:t>
      </w:r>
    </w:p>
    <w:p w:rsidR="00A75B77" w:rsidRPr="00040F2E" w:rsidRDefault="00A75B77" w:rsidP="00A75B77">
      <w:pPr>
        <w:rPr>
          <w:rFonts w:asciiTheme="minorHAnsi" w:hAnsiTheme="minorHAnsi"/>
        </w:rPr>
      </w:pPr>
    </w:p>
    <w:p w:rsidR="00A75B77" w:rsidRPr="00040F2E" w:rsidRDefault="00A75B77" w:rsidP="00A75B77">
      <w:pPr>
        <w:rPr>
          <w:rFonts w:asciiTheme="minorHAnsi" w:hAnsiTheme="minorHAnsi"/>
        </w:rPr>
      </w:pPr>
      <w:r w:rsidRPr="00040F2E">
        <w:rPr>
          <w:rFonts w:asciiTheme="minorHAnsi" w:hAnsiTheme="minorHAnsi"/>
        </w:rPr>
        <w:t>The ATA recommends that vehicle</w:t>
      </w:r>
      <w:r w:rsidR="00CD6F2B">
        <w:rPr>
          <w:rFonts w:asciiTheme="minorHAnsi" w:hAnsiTheme="minorHAnsi"/>
        </w:rPr>
        <w:t>s</w:t>
      </w:r>
      <w:r w:rsidRPr="00040F2E">
        <w:rPr>
          <w:rFonts w:asciiTheme="minorHAnsi" w:hAnsiTheme="minorHAnsi"/>
        </w:rPr>
        <w:t xml:space="preserve"> opera</w:t>
      </w:r>
      <w:r w:rsidR="00B24390">
        <w:rPr>
          <w:rFonts w:asciiTheme="minorHAnsi" w:hAnsiTheme="minorHAnsi"/>
        </w:rPr>
        <w:t xml:space="preserve">ting above GML be enrolled in an appropriate </w:t>
      </w:r>
      <w:r w:rsidRPr="00040F2E">
        <w:rPr>
          <w:rFonts w:asciiTheme="minorHAnsi" w:hAnsiTheme="minorHAnsi"/>
        </w:rPr>
        <w:t xml:space="preserve">mass management accreditation scheme because </w:t>
      </w:r>
      <w:r w:rsidR="00B24390">
        <w:rPr>
          <w:rFonts w:asciiTheme="minorHAnsi" w:hAnsiTheme="minorHAnsi"/>
        </w:rPr>
        <w:t xml:space="preserve">the average </w:t>
      </w:r>
      <w:r w:rsidR="005A7733">
        <w:rPr>
          <w:rFonts w:asciiTheme="minorHAnsi" w:hAnsiTheme="minorHAnsi"/>
        </w:rPr>
        <w:t xml:space="preserve">freight </w:t>
      </w:r>
      <w:r w:rsidR="005F7287">
        <w:rPr>
          <w:rFonts w:asciiTheme="minorHAnsi" w:hAnsiTheme="minorHAnsi"/>
        </w:rPr>
        <w:t xml:space="preserve">customer </w:t>
      </w:r>
      <w:r w:rsidR="00B24390">
        <w:rPr>
          <w:rFonts w:asciiTheme="minorHAnsi" w:hAnsiTheme="minorHAnsi"/>
        </w:rPr>
        <w:t xml:space="preserve">cannot </w:t>
      </w:r>
      <w:r w:rsidR="00FC4279">
        <w:rPr>
          <w:rFonts w:asciiTheme="minorHAnsi" w:hAnsiTheme="minorHAnsi"/>
        </w:rPr>
        <w:t xml:space="preserve">easily </w:t>
      </w:r>
      <w:r w:rsidR="00B24390">
        <w:rPr>
          <w:rFonts w:asciiTheme="minorHAnsi" w:hAnsiTheme="minorHAnsi"/>
        </w:rPr>
        <w:t xml:space="preserve">be expected to </w:t>
      </w:r>
      <w:r w:rsidR="005A7733">
        <w:rPr>
          <w:rFonts w:asciiTheme="minorHAnsi" w:hAnsiTheme="minorHAnsi"/>
        </w:rPr>
        <w:t>identify</w:t>
      </w:r>
      <w:r w:rsidR="005A7733" w:rsidRPr="00040F2E">
        <w:rPr>
          <w:rFonts w:asciiTheme="minorHAnsi" w:hAnsiTheme="minorHAnsi"/>
        </w:rPr>
        <w:t xml:space="preserve"> </w:t>
      </w:r>
      <w:r w:rsidR="00B24390">
        <w:rPr>
          <w:rFonts w:asciiTheme="minorHAnsi" w:hAnsiTheme="minorHAnsi"/>
        </w:rPr>
        <w:t>vehicle</w:t>
      </w:r>
      <w:r w:rsidR="005A7733">
        <w:rPr>
          <w:rFonts w:asciiTheme="minorHAnsi" w:hAnsiTheme="minorHAnsi"/>
        </w:rPr>
        <w:t xml:space="preserve"> </w:t>
      </w:r>
      <w:r w:rsidR="00B24390">
        <w:rPr>
          <w:rFonts w:asciiTheme="minorHAnsi" w:hAnsiTheme="minorHAnsi"/>
        </w:rPr>
        <w:t>non-compliance</w:t>
      </w:r>
      <w:r w:rsidRPr="00040F2E">
        <w:rPr>
          <w:rFonts w:asciiTheme="minorHAnsi" w:hAnsiTheme="minorHAnsi"/>
        </w:rPr>
        <w:t xml:space="preserve"> so </w:t>
      </w:r>
      <w:r w:rsidR="00FC4279">
        <w:rPr>
          <w:rFonts w:asciiTheme="minorHAnsi" w:hAnsiTheme="minorHAnsi"/>
        </w:rPr>
        <w:t>a</w:t>
      </w:r>
      <w:r w:rsidRPr="00040F2E">
        <w:rPr>
          <w:rFonts w:asciiTheme="minorHAnsi" w:hAnsiTheme="minorHAnsi"/>
        </w:rPr>
        <w:t xml:space="preserve"> </w:t>
      </w:r>
      <w:r w:rsidR="005A7733">
        <w:rPr>
          <w:rFonts w:asciiTheme="minorHAnsi" w:hAnsiTheme="minorHAnsi"/>
        </w:rPr>
        <w:t xml:space="preserve">key </w:t>
      </w:r>
      <w:r w:rsidRPr="00040F2E">
        <w:rPr>
          <w:rFonts w:asciiTheme="minorHAnsi" w:hAnsiTheme="minorHAnsi"/>
        </w:rPr>
        <w:t>focus should be on operator compliance.</w:t>
      </w:r>
    </w:p>
    <w:p w:rsidR="00A75B77" w:rsidRPr="00040F2E" w:rsidRDefault="00A75B77" w:rsidP="00A75B77">
      <w:pPr>
        <w:rPr>
          <w:rFonts w:asciiTheme="minorHAnsi" w:hAnsiTheme="minorHAnsi"/>
        </w:rPr>
      </w:pPr>
    </w:p>
    <w:p w:rsidR="00A75B77" w:rsidRPr="00040F2E" w:rsidRDefault="00A75B77" w:rsidP="00A75B77">
      <w:pPr>
        <w:rPr>
          <w:rFonts w:asciiTheme="minorHAnsi" w:hAnsiTheme="minorHAnsi"/>
        </w:rPr>
      </w:pPr>
      <w:r w:rsidRPr="00040F2E">
        <w:rPr>
          <w:rFonts w:asciiTheme="minorHAnsi" w:hAnsiTheme="minorHAnsi"/>
        </w:rPr>
        <w:t>A</w:t>
      </w:r>
      <w:r w:rsidR="00AB5C4E">
        <w:rPr>
          <w:rFonts w:asciiTheme="minorHAnsi" w:hAnsiTheme="minorHAnsi"/>
        </w:rPr>
        <w:t>n</w:t>
      </w:r>
      <w:r w:rsidRPr="00040F2E">
        <w:rPr>
          <w:rFonts w:asciiTheme="minorHAnsi" w:hAnsiTheme="minorHAnsi"/>
        </w:rPr>
        <w:t xml:space="preserve"> increase in the use of the </w:t>
      </w:r>
      <w:r w:rsidR="005A7733">
        <w:rPr>
          <w:rFonts w:asciiTheme="minorHAnsi" w:hAnsiTheme="minorHAnsi"/>
        </w:rPr>
        <w:t>seven</w:t>
      </w:r>
      <w:r w:rsidR="005A7733" w:rsidRPr="00040F2E">
        <w:rPr>
          <w:rFonts w:asciiTheme="minorHAnsi" w:hAnsiTheme="minorHAnsi"/>
        </w:rPr>
        <w:t xml:space="preserve"> </w:t>
      </w:r>
      <w:r w:rsidRPr="00040F2E">
        <w:rPr>
          <w:rFonts w:asciiTheme="minorHAnsi" w:hAnsiTheme="minorHAnsi"/>
        </w:rPr>
        <w:t xml:space="preserve">axle truck and dog </w:t>
      </w:r>
      <w:r w:rsidR="006F2601">
        <w:rPr>
          <w:rFonts w:asciiTheme="minorHAnsi" w:hAnsiTheme="minorHAnsi"/>
        </w:rPr>
        <w:t xml:space="preserve">(Quad Dog) </w:t>
      </w:r>
      <w:r w:rsidRPr="00040F2E">
        <w:rPr>
          <w:rFonts w:asciiTheme="minorHAnsi" w:hAnsiTheme="minorHAnsi"/>
        </w:rPr>
        <w:t>combination at 57.5</w:t>
      </w:r>
      <w:r w:rsidR="00AB5C4E">
        <w:rPr>
          <w:rFonts w:asciiTheme="minorHAnsi" w:hAnsiTheme="minorHAnsi"/>
        </w:rPr>
        <w:t xml:space="preserve"> </w:t>
      </w:r>
      <w:r w:rsidRPr="00040F2E">
        <w:rPr>
          <w:rFonts w:asciiTheme="minorHAnsi" w:hAnsiTheme="minorHAnsi"/>
        </w:rPr>
        <w:t>t</w:t>
      </w:r>
      <w:r w:rsidR="00AB5C4E">
        <w:rPr>
          <w:rFonts w:asciiTheme="minorHAnsi" w:hAnsiTheme="minorHAnsi"/>
        </w:rPr>
        <w:t>onnes</w:t>
      </w:r>
      <w:r w:rsidRPr="00040F2E">
        <w:rPr>
          <w:rFonts w:asciiTheme="minorHAnsi" w:hAnsiTheme="minorHAnsi"/>
        </w:rPr>
        <w:t xml:space="preserve"> may </w:t>
      </w:r>
      <w:r w:rsidR="00AB5C4E">
        <w:rPr>
          <w:rFonts w:asciiTheme="minorHAnsi" w:hAnsiTheme="minorHAnsi"/>
        </w:rPr>
        <w:t>present a logical choice</w:t>
      </w:r>
      <w:r w:rsidRPr="00040F2E">
        <w:rPr>
          <w:rFonts w:asciiTheme="minorHAnsi" w:hAnsiTheme="minorHAnsi"/>
        </w:rPr>
        <w:t xml:space="preserve"> </w:t>
      </w:r>
      <w:r w:rsidR="00AB5C4E">
        <w:rPr>
          <w:rFonts w:asciiTheme="minorHAnsi" w:hAnsiTheme="minorHAnsi"/>
        </w:rPr>
        <w:t xml:space="preserve">for </w:t>
      </w:r>
      <w:r w:rsidRPr="00040F2E">
        <w:rPr>
          <w:rFonts w:asciiTheme="minorHAnsi" w:hAnsiTheme="minorHAnsi"/>
        </w:rPr>
        <w:t xml:space="preserve">construction </w:t>
      </w:r>
      <w:r w:rsidR="00AB5C4E">
        <w:rPr>
          <w:rFonts w:asciiTheme="minorHAnsi" w:hAnsiTheme="minorHAnsi"/>
        </w:rPr>
        <w:t>material</w:t>
      </w:r>
      <w:r w:rsidR="00EC0A90">
        <w:rPr>
          <w:rFonts w:asciiTheme="minorHAnsi" w:hAnsiTheme="minorHAnsi"/>
        </w:rPr>
        <w:t xml:space="preserve"> transport</w:t>
      </w:r>
      <w:r w:rsidR="00AB5C4E">
        <w:rPr>
          <w:rFonts w:asciiTheme="minorHAnsi" w:hAnsiTheme="minorHAnsi"/>
        </w:rPr>
        <w:t>ers</w:t>
      </w:r>
      <w:r w:rsidRPr="00040F2E">
        <w:rPr>
          <w:rFonts w:asciiTheme="minorHAnsi" w:hAnsiTheme="minorHAnsi"/>
        </w:rPr>
        <w:t xml:space="preserve">, but as </w:t>
      </w:r>
      <w:r w:rsidR="00AB5C4E">
        <w:rPr>
          <w:rFonts w:asciiTheme="minorHAnsi" w:hAnsiTheme="minorHAnsi"/>
        </w:rPr>
        <w:t>such</w:t>
      </w:r>
      <w:r w:rsidRPr="00040F2E">
        <w:rPr>
          <w:rFonts w:asciiTheme="minorHAnsi" w:hAnsiTheme="minorHAnsi"/>
        </w:rPr>
        <w:t xml:space="preserve"> combination</w:t>
      </w:r>
      <w:r w:rsidR="00EC0A90">
        <w:rPr>
          <w:rFonts w:asciiTheme="minorHAnsi" w:hAnsiTheme="minorHAnsi"/>
        </w:rPr>
        <w:t>s</w:t>
      </w:r>
      <w:r w:rsidRPr="00040F2E">
        <w:rPr>
          <w:rFonts w:asciiTheme="minorHAnsi" w:hAnsiTheme="minorHAnsi"/>
        </w:rPr>
        <w:t xml:space="preserve"> </w:t>
      </w:r>
      <w:r w:rsidR="00EC0A90">
        <w:rPr>
          <w:rFonts w:asciiTheme="minorHAnsi" w:hAnsiTheme="minorHAnsi"/>
        </w:rPr>
        <w:t xml:space="preserve">emerge </w:t>
      </w:r>
      <w:r w:rsidR="00AB5C4E">
        <w:rPr>
          <w:rFonts w:asciiTheme="minorHAnsi" w:hAnsiTheme="minorHAnsi"/>
        </w:rPr>
        <w:t>in</w:t>
      </w:r>
      <w:r w:rsidRPr="00040F2E">
        <w:rPr>
          <w:rFonts w:asciiTheme="minorHAnsi" w:hAnsiTheme="minorHAnsi"/>
        </w:rPr>
        <w:t xml:space="preserve"> </w:t>
      </w:r>
      <w:r w:rsidR="00EC0A90">
        <w:rPr>
          <w:rFonts w:asciiTheme="minorHAnsi" w:hAnsiTheme="minorHAnsi"/>
        </w:rPr>
        <w:t>other</w:t>
      </w:r>
      <w:r w:rsidRPr="00040F2E">
        <w:rPr>
          <w:rFonts w:asciiTheme="minorHAnsi" w:hAnsiTheme="minorHAnsi"/>
        </w:rPr>
        <w:t xml:space="preserve"> (</w:t>
      </w:r>
      <w:r w:rsidR="00AE41FF">
        <w:rPr>
          <w:rFonts w:asciiTheme="minorHAnsi" w:hAnsiTheme="minorHAnsi"/>
        </w:rPr>
        <w:t>e.g.</w:t>
      </w:r>
      <w:r w:rsidR="00AD3FC3">
        <w:rPr>
          <w:rFonts w:asciiTheme="minorHAnsi" w:hAnsiTheme="minorHAnsi"/>
        </w:rPr>
        <w:t xml:space="preserve"> </w:t>
      </w:r>
      <w:r w:rsidRPr="00040F2E">
        <w:rPr>
          <w:rFonts w:asciiTheme="minorHAnsi" w:hAnsiTheme="minorHAnsi"/>
        </w:rPr>
        <w:t xml:space="preserve">tanker) applications </w:t>
      </w:r>
      <w:r w:rsidR="00B34A19">
        <w:rPr>
          <w:rFonts w:asciiTheme="minorHAnsi" w:hAnsiTheme="minorHAnsi"/>
        </w:rPr>
        <w:t xml:space="preserve">the trend </w:t>
      </w:r>
      <w:r w:rsidRPr="00040F2E">
        <w:rPr>
          <w:rFonts w:asciiTheme="minorHAnsi" w:hAnsiTheme="minorHAnsi"/>
        </w:rPr>
        <w:t xml:space="preserve">will affect </w:t>
      </w:r>
      <w:r w:rsidR="00EC0A90">
        <w:rPr>
          <w:rFonts w:asciiTheme="minorHAnsi" w:hAnsiTheme="minorHAnsi"/>
        </w:rPr>
        <w:t xml:space="preserve">operator </w:t>
      </w:r>
      <w:r w:rsidR="00B34A19">
        <w:rPr>
          <w:rFonts w:asciiTheme="minorHAnsi" w:hAnsiTheme="minorHAnsi"/>
        </w:rPr>
        <w:t xml:space="preserve">configuration </w:t>
      </w:r>
      <w:r w:rsidR="00EC0A90">
        <w:rPr>
          <w:rFonts w:asciiTheme="minorHAnsi" w:hAnsiTheme="minorHAnsi"/>
        </w:rPr>
        <w:t xml:space="preserve">choices and </w:t>
      </w:r>
      <w:r w:rsidR="005A7733">
        <w:rPr>
          <w:rFonts w:asciiTheme="minorHAnsi" w:hAnsiTheme="minorHAnsi"/>
        </w:rPr>
        <w:t xml:space="preserve">curtail </w:t>
      </w:r>
      <w:r w:rsidR="00EC0A90">
        <w:rPr>
          <w:rFonts w:asciiTheme="minorHAnsi" w:hAnsiTheme="minorHAnsi"/>
        </w:rPr>
        <w:t xml:space="preserve">market </w:t>
      </w:r>
      <w:r w:rsidRPr="00040F2E">
        <w:rPr>
          <w:rFonts w:asciiTheme="minorHAnsi" w:hAnsiTheme="minorHAnsi"/>
        </w:rPr>
        <w:t>demand for what most of industry considers to be the more stable</w:t>
      </w:r>
      <w:r w:rsidR="00137119">
        <w:rPr>
          <w:rFonts w:asciiTheme="minorHAnsi" w:hAnsiTheme="minorHAnsi"/>
        </w:rPr>
        <w:t>, roll-coupled</w:t>
      </w:r>
      <w:r w:rsidRPr="00040F2E">
        <w:rPr>
          <w:rFonts w:asciiTheme="minorHAnsi" w:hAnsiTheme="minorHAnsi"/>
        </w:rPr>
        <w:t xml:space="preserve"> vehicle</w:t>
      </w:r>
      <w:r w:rsidR="005A7733">
        <w:rPr>
          <w:rFonts w:asciiTheme="minorHAnsi" w:hAnsiTheme="minorHAnsi"/>
        </w:rPr>
        <w:t xml:space="preserve"> -</w:t>
      </w:r>
      <w:r w:rsidR="005A7733" w:rsidRPr="00040F2E">
        <w:rPr>
          <w:rFonts w:asciiTheme="minorHAnsi" w:hAnsiTheme="minorHAnsi"/>
        </w:rPr>
        <w:t xml:space="preserve"> </w:t>
      </w:r>
      <w:r w:rsidRPr="00040F2E">
        <w:rPr>
          <w:rFonts w:asciiTheme="minorHAnsi" w:hAnsiTheme="minorHAnsi"/>
        </w:rPr>
        <w:t>the B</w:t>
      </w:r>
      <w:r w:rsidR="007443D8">
        <w:rPr>
          <w:rFonts w:asciiTheme="minorHAnsi" w:hAnsiTheme="minorHAnsi"/>
        </w:rPr>
        <w:t>-d</w:t>
      </w:r>
      <w:r w:rsidRPr="00040F2E">
        <w:rPr>
          <w:rFonts w:asciiTheme="minorHAnsi" w:hAnsiTheme="minorHAnsi"/>
        </w:rPr>
        <w:t>ouble.</w:t>
      </w:r>
    </w:p>
    <w:p w:rsidR="00A75B77" w:rsidRDefault="00A75B77" w:rsidP="00A75B77">
      <w:pPr>
        <w:rPr>
          <w:rFonts w:asciiTheme="minorHAnsi" w:hAnsiTheme="minorHAnsi"/>
        </w:rPr>
      </w:pPr>
    </w:p>
    <w:p w:rsidR="00A75B77" w:rsidRPr="00040F2E" w:rsidRDefault="00825963" w:rsidP="00A75B77">
      <w:pPr>
        <w:rPr>
          <w:rFonts w:asciiTheme="minorHAnsi" w:hAnsiTheme="minorHAnsi"/>
        </w:rPr>
      </w:pPr>
      <w:r>
        <w:rPr>
          <w:rFonts w:asciiTheme="minorHAnsi" w:hAnsiTheme="minorHAnsi"/>
        </w:rPr>
        <w:t xml:space="preserve">The ATA </w:t>
      </w:r>
      <w:r w:rsidR="00F8584A">
        <w:rPr>
          <w:rFonts w:asciiTheme="minorHAnsi" w:hAnsiTheme="minorHAnsi"/>
        </w:rPr>
        <w:t>welcome</w:t>
      </w:r>
      <w:r>
        <w:rPr>
          <w:rFonts w:asciiTheme="minorHAnsi" w:hAnsiTheme="minorHAnsi"/>
        </w:rPr>
        <w:t xml:space="preserve">s </w:t>
      </w:r>
      <w:r w:rsidR="00D06681">
        <w:rPr>
          <w:rFonts w:asciiTheme="minorHAnsi" w:hAnsiTheme="minorHAnsi"/>
        </w:rPr>
        <w:t xml:space="preserve">any </w:t>
      </w:r>
      <w:r w:rsidR="00F8584A">
        <w:rPr>
          <w:rFonts w:asciiTheme="minorHAnsi" w:hAnsiTheme="minorHAnsi"/>
        </w:rPr>
        <w:t xml:space="preserve">outcome of </w:t>
      </w:r>
      <w:r w:rsidR="002F01AA">
        <w:rPr>
          <w:rFonts w:asciiTheme="minorHAnsi" w:hAnsiTheme="minorHAnsi"/>
        </w:rPr>
        <w:t>this mass</w:t>
      </w:r>
      <w:r w:rsidR="00D06681">
        <w:rPr>
          <w:rFonts w:asciiTheme="minorHAnsi" w:hAnsiTheme="minorHAnsi"/>
        </w:rPr>
        <w:t xml:space="preserve"> limits </w:t>
      </w:r>
      <w:r w:rsidR="00F8584A">
        <w:rPr>
          <w:rFonts w:asciiTheme="minorHAnsi" w:hAnsiTheme="minorHAnsi"/>
        </w:rPr>
        <w:t xml:space="preserve">review </w:t>
      </w:r>
      <w:r>
        <w:rPr>
          <w:rFonts w:asciiTheme="minorHAnsi" w:hAnsiTheme="minorHAnsi"/>
        </w:rPr>
        <w:t>that</w:t>
      </w:r>
      <w:r w:rsidR="00F8584A">
        <w:rPr>
          <w:rFonts w:asciiTheme="minorHAnsi" w:hAnsiTheme="minorHAnsi"/>
        </w:rPr>
        <w:t xml:space="preserve"> resolve</w:t>
      </w:r>
      <w:r>
        <w:rPr>
          <w:rFonts w:asciiTheme="minorHAnsi" w:hAnsiTheme="minorHAnsi"/>
        </w:rPr>
        <w:t>s</w:t>
      </w:r>
      <w:r w:rsidR="00A75B77" w:rsidRPr="00040F2E">
        <w:rPr>
          <w:rFonts w:asciiTheme="minorHAnsi" w:hAnsiTheme="minorHAnsi"/>
        </w:rPr>
        <w:t xml:space="preserve"> </w:t>
      </w:r>
      <w:r w:rsidR="00D06681">
        <w:rPr>
          <w:rFonts w:asciiTheme="minorHAnsi" w:hAnsiTheme="minorHAnsi"/>
        </w:rPr>
        <w:t xml:space="preserve">the </w:t>
      </w:r>
      <w:r w:rsidR="0042278A">
        <w:rPr>
          <w:rFonts w:asciiTheme="minorHAnsi" w:hAnsiTheme="minorHAnsi"/>
        </w:rPr>
        <w:t xml:space="preserve">longstanding </w:t>
      </w:r>
      <w:r w:rsidR="00D06681">
        <w:rPr>
          <w:rFonts w:asciiTheme="minorHAnsi" w:hAnsiTheme="minorHAnsi"/>
        </w:rPr>
        <w:t xml:space="preserve">question of </w:t>
      </w:r>
      <w:r w:rsidR="002D4FD8">
        <w:rPr>
          <w:rFonts w:asciiTheme="minorHAnsi" w:hAnsiTheme="minorHAnsi"/>
        </w:rPr>
        <w:t>which</w:t>
      </w:r>
      <w:r w:rsidR="00A75B77" w:rsidRPr="00040F2E">
        <w:rPr>
          <w:rFonts w:asciiTheme="minorHAnsi" w:hAnsiTheme="minorHAnsi"/>
        </w:rPr>
        <w:t xml:space="preserve"> </w:t>
      </w:r>
      <w:r w:rsidR="00F8584A" w:rsidRPr="00040F2E">
        <w:rPr>
          <w:rFonts w:asciiTheme="minorHAnsi" w:hAnsiTheme="minorHAnsi"/>
        </w:rPr>
        <w:t xml:space="preserve">combination </w:t>
      </w:r>
      <w:r w:rsidR="00A75B77" w:rsidRPr="00040F2E">
        <w:rPr>
          <w:rFonts w:asciiTheme="minorHAnsi" w:hAnsiTheme="minorHAnsi"/>
        </w:rPr>
        <w:t>type</w:t>
      </w:r>
      <w:r w:rsidR="00F8584A">
        <w:rPr>
          <w:rFonts w:asciiTheme="minorHAnsi" w:hAnsiTheme="minorHAnsi"/>
        </w:rPr>
        <w:t>s</w:t>
      </w:r>
      <w:r w:rsidR="00A75B77" w:rsidRPr="00040F2E">
        <w:rPr>
          <w:rFonts w:asciiTheme="minorHAnsi" w:hAnsiTheme="minorHAnsi"/>
        </w:rPr>
        <w:t xml:space="preserve"> </w:t>
      </w:r>
      <w:r w:rsidR="002D4FD8">
        <w:rPr>
          <w:rFonts w:asciiTheme="minorHAnsi" w:hAnsiTheme="minorHAnsi"/>
        </w:rPr>
        <w:t>may</w:t>
      </w:r>
      <w:r w:rsidR="00A75B77" w:rsidRPr="00040F2E">
        <w:rPr>
          <w:rFonts w:asciiTheme="minorHAnsi" w:hAnsiTheme="minorHAnsi"/>
        </w:rPr>
        <w:t xml:space="preserve"> be </w:t>
      </w:r>
      <w:r w:rsidR="002D4FD8">
        <w:rPr>
          <w:rFonts w:asciiTheme="minorHAnsi" w:hAnsiTheme="minorHAnsi"/>
        </w:rPr>
        <w:t>granted access</w:t>
      </w:r>
      <w:r w:rsidR="00F8584A">
        <w:rPr>
          <w:rFonts w:asciiTheme="minorHAnsi" w:hAnsiTheme="minorHAnsi"/>
        </w:rPr>
        <w:t xml:space="preserve"> and where.</w:t>
      </w:r>
      <w:r w:rsidR="006D278C">
        <w:rPr>
          <w:rFonts w:asciiTheme="minorHAnsi" w:hAnsiTheme="minorHAnsi"/>
        </w:rPr>
        <w:t xml:space="preserve"> The ATA strongly supports automatic access for PBS-approved </w:t>
      </w:r>
      <w:r w:rsidR="00514A17">
        <w:rPr>
          <w:rFonts w:asciiTheme="minorHAnsi" w:hAnsiTheme="minorHAnsi"/>
        </w:rPr>
        <w:t xml:space="preserve">truck and trailer </w:t>
      </w:r>
      <w:r w:rsidR="006D278C">
        <w:rPr>
          <w:rFonts w:asciiTheme="minorHAnsi" w:hAnsiTheme="minorHAnsi"/>
        </w:rPr>
        <w:t xml:space="preserve">combinations on B-double routes. </w:t>
      </w:r>
    </w:p>
    <w:p w:rsidR="00A61231" w:rsidRDefault="00A61231" w:rsidP="001025C9">
      <w:pPr>
        <w:jc w:val="both"/>
        <w:rPr>
          <w:rFonts w:ascii="Arial" w:hAnsi="Arial" w:cs="Arial"/>
          <w:sz w:val="20"/>
          <w:szCs w:val="20"/>
        </w:rPr>
      </w:pPr>
    </w:p>
    <w:p w:rsidR="00576ED0" w:rsidRPr="00DF540D" w:rsidRDefault="003340FB" w:rsidP="001025C9">
      <w:pPr>
        <w:pStyle w:val="Heading1"/>
        <w:jc w:val="both"/>
      </w:pPr>
      <w:r w:rsidRPr="00DF540D">
        <w:t xml:space="preserve"> </w:t>
      </w:r>
      <w:bookmarkStart w:id="2" w:name="_Toc401238974"/>
      <w:r w:rsidRPr="00DF540D">
        <w:t>Australian Trucking Association</w:t>
      </w:r>
      <w:bookmarkEnd w:id="2"/>
    </w:p>
    <w:p w:rsidR="004008C7" w:rsidRPr="00DF540D" w:rsidRDefault="004008C7" w:rsidP="001025C9">
      <w:pPr>
        <w:pStyle w:val="BodyText2"/>
        <w:jc w:val="both"/>
        <w:rPr>
          <w:b w:val="0"/>
          <w:sz w:val="20"/>
        </w:rPr>
      </w:pPr>
    </w:p>
    <w:p w:rsidR="00CF3600" w:rsidRPr="00DF540D" w:rsidRDefault="00CF3600" w:rsidP="00CF3600">
      <w:pPr>
        <w:pStyle w:val="BodyText2"/>
        <w:spacing w:line="269" w:lineRule="auto"/>
        <w:rPr>
          <w:rFonts w:ascii="Calibri" w:eastAsia="Calibri" w:hAnsi="Calibri" w:cs="Times New Roman"/>
          <w:b w:val="0"/>
          <w:bCs w:val="0"/>
          <w:szCs w:val="22"/>
        </w:rPr>
      </w:pPr>
      <w:r w:rsidRPr="00DF540D">
        <w:rPr>
          <w:rFonts w:ascii="Calibri" w:eastAsia="Calibri" w:hAnsi="Calibri" w:cs="Times New Roman"/>
          <w:b w:val="0"/>
          <w:bCs w:val="0"/>
          <w:szCs w:val="22"/>
        </w:rPr>
        <w:t>The Australian Trucking Association (ATA) is the peak body that represents the trucking industry. Its m</w:t>
      </w:r>
      <w:r w:rsidR="00FB4AB9" w:rsidRPr="00DF540D">
        <w:rPr>
          <w:rFonts w:ascii="Calibri" w:eastAsia="Calibri" w:hAnsi="Calibri" w:cs="Times New Roman"/>
          <w:b w:val="0"/>
          <w:bCs w:val="0"/>
          <w:szCs w:val="22"/>
        </w:rPr>
        <w:t>embers include state and sector-</w:t>
      </w:r>
      <w:r w:rsidRPr="00DF540D">
        <w:rPr>
          <w:rFonts w:ascii="Calibri" w:eastAsia="Calibri" w:hAnsi="Calibri" w:cs="Times New Roman"/>
          <w:b w:val="0"/>
          <w:bCs w:val="0"/>
          <w:szCs w:val="22"/>
        </w:rPr>
        <w:t>based trucking associations, some of the nation’s largest transport companies, and businesses with leading expertise in truck technology.</w:t>
      </w:r>
    </w:p>
    <w:p w:rsidR="008E128C" w:rsidRPr="00DF540D" w:rsidRDefault="008E128C" w:rsidP="00CF3600">
      <w:pPr>
        <w:pStyle w:val="BodyText2"/>
        <w:spacing w:line="269" w:lineRule="auto"/>
        <w:rPr>
          <w:rFonts w:ascii="Calibri" w:eastAsia="Calibri" w:hAnsi="Calibri" w:cs="Times New Roman"/>
          <w:b w:val="0"/>
          <w:bCs w:val="0"/>
          <w:szCs w:val="22"/>
        </w:rPr>
      </w:pPr>
    </w:p>
    <w:p w:rsidR="00D73280" w:rsidRPr="00DF540D" w:rsidRDefault="00907971" w:rsidP="00C05A4F">
      <w:pPr>
        <w:pStyle w:val="Heading1"/>
        <w:jc w:val="both"/>
      </w:pPr>
      <w:bookmarkStart w:id="3" w:name="_Toc401238975"/>
      <w:r w:rsidRPr="00DF540D">
        <w:t>Recommendations</w:t>
      </w:r>
      <w:bookmarkEnd w:id="3"/>
      <w:r w:rsidR="00C05A4F" w:rsidRPr="00DF540D">
        <w:rPr>
          <w:noProof/>
          <w:color w:val="000000" w:themeColor="text1"/>
          <w:sz w:val="20"/>
          <w:szCs w:val="20"/>
        </w:rPr>
        <w:t xml:space="preserve"> </w:t>
      </w:r>
    </w:p>
    <w:p w:rsidR="00076C90" w:rsidRPr="00DF540D" w:rsidRDefault="00076C90" w:rsidP="003B0AAE">
      <w:pPr>
        <w:rPr>
          <w:rFonts w:ascii="Arial" w:hAnsi="Arial" w:cs="Arial"/>
          <w:noProof/>
        </w:rPr>
      </w:pPr>
    </w:p>
    <w:p w:rsidR="004D6B58" w:rsidRDefault="004D6B58" w:rsidP="004D6B58">
      <w:pPr>
        <w:pStyle w:val="RecommendationStyle"/>
        <w:numPr>
          <w:ilvl w:val="0"/>
          <w:numId w:val="0"/>
        </w:numPr>
        <w:spacing w:before="0" w:after="0"/>
        <w:jc w:val="both"/>
        <w:rPr>
          <w:rStyle w:val="Emphasis"/>
          <w:rFonts w:ascii="Calibri" w:hAnsi="Calibri"/>
          <w:sz w:val="22"/>
          <w:szCs w:val="22"/>
        </w:rPr>
      </w:pPr>
      <w:r w:rsidRPr="00DF540D">
        <w:rPr>
          <w:rStyle w:val="Emphasis"/>
          <w:rFonts w:ascii="Calibri" w:hAnsi="Calibri"/>
          <w:sz w:val="22"/>
          <w:szCs w:val="22"/>
        </w:rPr>
        <w:t>Recommendation 1</w:t>
      </w:r>
    </w:p>
    <w:p w:rsidR="00633E1A" w:rsidRDefault="00633E1A" w:rsidP="00633E1A">
      <w:pPr>
        <w:rPr>
          <w:rFonts w:asciiTheme="minorHAnsi" w:hAnsiTheme="minorHAnsi"/>
          <w:b/>
        </w:rPr>
      </w:pPr>
      <w:r w:rsidRPr="00633E1A">
        <w:rPr>
          <w:rFonts w:asciiTheme="minorHAnsi" w:hAnsiTheme="minorHAnsi"/>
          <w:b/>
        </w:rPr>
        <w:t xml:space="preserve">That any </w:t>
      </w:r>
      <w:r w:rsidR="0006054B">
        <w:rPr>
          <w:rFonts w:asciiTheme="minorHAnsi" w:hAnsiTheme="minorHAnsi"/>
          <w:b/>
        </w:rPr>
        <w:t xml:space="preserve">heavy </w:t>
      </w:r>
      <w:r w:rsidRPr="00633E1A">
        <w:rPr>
          <w:rFonts w:asciiTheme="minorHAnsi" w:hAnsiTheme="minorHAnsi"/>
          <w:b/>
        </w:rPr>
        <w:t>vehicle opera</w:t>
      </w:r>
      <w:r w:rsidR="00A12FE6">
        <w:rPr>
          <w:rFonts w:asciiTheme="minorHAnsi" w:hAnsiTheme="minorHAnsi"/>
          <w:b/>
        </w:rPr>
        <w:t xml:space="preserve">ting above GML be enrolled in an appropriate </w:t>
      </w:r>
      <w:r w:rsidRPr="00633E1A">
        <w:rPr>
          <w:rFonts w:asciiTheme="minorHAnsi" w:hAnsiTheme="minorHAnsi"/>
          <w:b/>
        </w:rPr>
        <w:t xml:space="preserve">mass </w:t>
      </w:r>
      <w:r>
        <w:rPr>
          <w:rFonts w:asciiTheme="minorHAnsi" w:hAnsiTheme="minorHAnsi"/>
          <w:b/>
        </w:rPr>
        <w:t>management accreditation scheme.</w:t>
      </w:r>
    </w:p>
    <w:p w:rsidR="00633E1A" w:rsidRPr="00040F2E" w:rsidRDefault="00633E1A" w:rsidP="00633E1A">
      <w:pPr>
        <w:rPr>
          <w:rFonts w:asciiTheme="minorHAnsi" w:hAnsiTheme="minorHAnsi"/>
        </w:rPr>
      </w:pPr>
    </w:p>
    <w:p w:rsidR="00B41A9F" w:rsidRPr="00DF540D" w:rsidRDefault="00B41A9F" w:rsidP="00B41A9F">
      <w:pPr>
        <w:pStyle w:val="RecommendationStyle"/>
        <w:numPr>
          <w:ilvl w:val="0"/>
          <w:numId w:val="0"/>
        </w:numPr>
        <w:spacing w:before="0" w:after="0"/>
        <w:jc w:val="both"/>
        <w:rPr>
          <w:rStyle w:val="Emphasis"/>
          <w:rFonts w:ascii="Calibri" w:hAnsi="Calibri"/>
          <w:sz w:val="22"/>
          <w:szCs w:val="22"/>
        </w:rPr>
      </w:pPr>
      <w:r w:rsidRPr="00DF540D">
        <w:rPr>
          <w:rStyle w:val="Emphasis"/>
          <w:rFonts w:ascii="Calibri" w:hAnsi="Calibri"/>
          <w:sz w:val="22"/>
          <w:szCs w:val="22"/>
        </w:rPr>
        <w:t xml:space="preserve">Recommendation </w:t>
      </w:r>
      <w:r>
        <w:rPr>
          <w:rStyle w:val="Emphasis"/>
          <w:rFonts w:ascii="Calibri" w:hAnsi="Calibri"/>
          <w:sz w:val="22"/>
          <w:szCs w:val="22"/>
        </w:rPr>
        <w:t>2</w:t>
      </w:r>
    </w:p>
    <w:p w:rsidR="00633E1A" w:rsidRPr="00633E1A" w:rsidRDefault="00633E1A" w:rsidP="00633E1A">
      <w:pPr>
        <w:rPr>
          <w:rFonts w:asciiTheme="minorHAnsi" w:hAnsiTheme="minorHAnsi"/>
          <w:b/>
        </w:rPr>
      </w:pPr>
      <w:r w:rsidRPr="00633E1A">
        <w:rPr>
          <w:rFonts w:asciiTheme="minorHAnsi" w:hAnsiTheme="minorHAnsi"/>
          <w:b/>
        </w:rPr>
        <w:t xml:space="preserve">That </w:t>
      </w:r>
      <w:r w:rsidR="00B41A9F">
        <w:rPr>
          <w:rFonts w:asciiTheme="minorHAnsi" w:hAnsiTheme="minorHAnsi"/>
          <w:b/>
        </w:rPr>
        <w:t xml:space="preserve">outcomes of the </w:t>
      </w:r>
      <w:r>
        <w:rPr>
          <w:rFonts w:asciiTheme="minorHAnsi" w:hAnsiTheme="minorHAnsi"/>
          <w:b/>
        </w:rPr>
        <w:t>review</w:t>
      </w:r>
      <w:r w:rsidR="00B41A9F">
        <w:rPr>
          <w:rFonts w:asciiTheme="minorHAnsi" w:hAnsiTheme="minorHAnsi"/>
          <w:b/>
        </w:rPr>
        <w:t xml:space="preserve"> </w:t>
      </w:r>
      <w:r w:rsidR="005A7733">
        <w:rPr>
          <w:rFonts w:asciiTheme="minorHAnsi" w:hAnsiTheme="minorHAnsi"/>
          <w:b/>
        </w:rPr>
        <w:t xml:space="preserve">lead to </w:t>
      </w:r>
      <w:r w:rsidR="005F6D50">
        <w:rPr>
          <w:rFonts w:asciiTheme="minorHAnsi" w:hAnsiTheme="minorHAnsi"/>
          <w:b/>
        </w:rPr>
        <w:t xml:space="preserve">a demonstrable </w:t>
      </w:r>
      <w:r w:rsidRPr="00633E1A">
        <w:rPr>
          <w:rFonts w:asciiTheme="minorHAnsi" w:hAnsiTheme="minorHAnsi"/>
          <w:b/>
        </w:rPr>
        <w:t xml:space="preserve">increase in </w:t>
      </w:r>
      <w:r w:rsidR="00B41A9F">
        <w:rPr>
          <w:rFonts w:asciiTheme="minorHAnsi" w:hAnsiTheme="minorHAnsi"/>
          <w:b/>
        </w:rPr>
        <w:t xml:space="preserve">PBS applications, </w:t>
      </w:r>
      <w:r w:rsidR="00C31F30">
        <w:rPr>
          <w:rFonts w:asciiTheme="minorHAnsi" w:hAnsiTheme="minorHAnsi"/>
          <w:b/>
        </w:rPr>
        <w:t xml:space="preserve">in </w:t>
      </w:r>
      <w:r w:rsidR="00B41A9F">
        <w:rPr>
          <w:rFonts w:asciiTheme="minorHAnsi" w:hAnsiTheme="minorHAnsi"/>
          <w:b/>
        </w:rPr>
        <w:t xml:space="preserve">vehicle </w:t>
      </w:r>
      <w:r>
        <w:rPr>
          <w:rFonts w:asciiTheme="minorHAnsi" w:hAnsiTheme="minorHAnsi"/>
          <w:b/>
        </w:rPr>
        <w:t>registration</w:t>
      </w:r>
      <w:r w:rsidR="00B41A9F">
        <w:rPr>
          <w:rFonts w:asciiTheme="minorHAnsi" w:hAnsiTheme="minorHAnsi"/>
          <w:b/>
        </w:rPr>
        <w:t>s</w:t>
      </w:r>
      <w:r>
        <w:rPr>
          <w:rFonts w:asciiTheme="minorHAnsi" w:hAnsiTheme="minorHAnsi"/>
          <w:b/>
        </w:rPr>
        <w:t xml:space="preserve"> and </w:t>
      </w:r>
      <w:r w:rsidR="00C31F30">
        <w:rPr>
          <w:rFonts w:asciiTheme="minorHAnsi" w:hAnsiTheme="minorHAnsi"/>
          <w:b/>
        </w:rPr>
        <w:t xml:space="preserve">in </w:t>
      </w:r>
      <w:r w:rsidR="00B41A9F">
        <w:rPr>
          <w:rFonts w:asciiTheme="minorHAnsi" w:hAnsiTheme="minorHAnsi"/>
          <w:b/>
        </w:rPr>
        <w:t xml:space="preserve">access for </w:t>
      </w:r>
      <w:r>
        <w:rPr>
          <w:rFonts w:asciiTheme="minorHAnsi" w:hAnsiTheme="minorHAnsi"/>
          <w:b/>
        </w:rPr>
        <w:t>safer, dynamically superior</w:t>
      </w:r>
      <w:r w:rsidRPr="00633E1A">
        <w:rPr>
          <w:rFonts w:asciiTheme="minorHAnsi" w:hAnsiTheme="minorHAnsi"/>
          <w:b/>
        </w:rPr>
        <w:t xml:space="preserve"> </w:t>
      </w:r>
      <w:r w:rsidR="00146C62">
        <w:rPr>
          <w:rFonts w:asciiTheme="minorHAnsi" w:hAnsiTheme="minorHAnsi"/>
          <w:b/>
        </w:rPr>
        <w:t xml:space="preserve">roll-coupled </w:t>
      </w:r>
      <w:r w:rsidR="00C31F30">
        <w:rPr>
          <w:rFonts w:asciiTheme="minorHAnsi" w:hAnsiTheme="minorHAnsi"/>
          <w:b/>
        </w:rPr>
        <w:t xml:space="preserve">heavy </w:t>
      </w:r>
      <w:r w:rsidR="005F6D50">
        <w:rPr>
          <w:rFonts w:asciiTheme="minorHAnsi" w:hAnsiTheme="minorHAnsi"/>
          <w:b/>
        </w:rPr>
        <w:t xml:space="preserve">vehicle </w:t>
      </w:r>
      <w:r w:rsidR="00B41A9F">
        <w:rPr>
          <w:rFonts w:asciiTheme="minorHAnsi" w:hAnsiTheme="minorHAnsi"/>
          <w:b/>
        </w:rPr>
        <w:t>combination alternatives</w:t>
      </w:r>
      <w:r>
        <w:rPr>
          <w:rFonts w:asciiTheme="minorHAnsi" w:hAnsiTheme="minorHAnsi"/>
          <w:b/>
        </w:rPr>
        <w:t>.</w:t>
      </w:r>
    </w:p>
    <w:p w:rsidR="00633E1A" w:rsidRPr="00633E1A" w:rsidRDefault="00633E1A" w:rsidP="00633E1A">
      <w:pPr>
        <w:rPr>
          <w:rFonts w:asciiTheme="minorHAnsi" w:hAnsiTheme="minorHAnsi"/>
          <w:b/>
        </w:rPr>
      </w:pPr>
    </w:p>
    <w:p w:rsidR="00B41A9F" w:rsidRPr="00DF540D" w:rsidRDefault="00B41A9F" w:rsidP="00B41A9F">
      <w:pPr>
        <w:rPr>
          <w:rFonts w:cs="Arial"/>
          <w:b/>
        </w:rPr>
      </w:pPr>
      <w:r w:rsidRPr="00DF540D">
        <w:rPr>
          <w:rFonts w:cs="Arial"/>
          <w:b/>
        </w:rPr>
        <w:t xml:space="preserve">Recommendation </w:t>
      </w:r>
      <w:r>
        <w:rPr>
          <w:rFonts w:cs="Arial"/>
          <w:b/>
        </w:rPr>
        <w:t>3</w:t>
      </w:r>
    </w:p>
    <w:p w:rsidR="00633E1A" w:rsidRPr="00633E1A" w:rsidRDefault="00633E1A" w:rsidP="00633E1A">
      <w:pPr>
        <w:rPr>
          <w:rFonts w:asciiTheme="minorHAnsi" w:hAnsiTheme="minorHAnsi"/>
          <w:b/>
        </w:rPr>
      </w:pPr>
      <w:r w:rsidRPr="00633E1A">
        <w:rPr>
          <w:rFonts w:asciiTheme="minorHAnsi" w:hAnsiTheme="minorHAnsi"/>
          <w:b/>
        </w:rPr>
        <w:t xml:space="preserve">The ATA supports the NTC review </w:t>
      </w:r>
      <w:r w:rsidR="005F0C21">
        <w:rPr>
          <w:rFonts w:asciiTheme="minorHAnsi" w:hAnsiTheme="minorHAnsi"/>
          <w:b/>
        </w:rPr>
        <w:t xml:space="preserve">resolving which </w:t>
      </w:r>
      <w:r w:rsidRPr="00633E1A">
        <w:rPr>
          <w:rFonts w:asciiTheme="minorHAnsi" w:hAnsiTheme="minorHAnsi"/>
          <w:b/>
        </w:rPr>
        <w:t xml:space="preserve">type of combinations may be </w:t>
      </w:r>
      <w:r w:rsidR="005F0C21">
        <w:rPr>
          <w:rFonts w:asciiTheme="minorHAnsi" w:hAnsiTheme="minorHAnsi"/>
          <w:b/>
        </w:rPr>
        <w:t>operated</w:t>
      </w:r>
      <w:r w:rsidRPr="00633E1A">
        <w:rPr>
          <w:rFonts w:asciiTheme="minorHAnsi" w:hAnsiTheme="minorHAnsi"/>
          <w:b/>
        </w:rPr>
        <w:t xml:space="preserve"> and where</w:t>
      </w:r>
      <w:r w:rsidR="005F0C21">
        <w:rPr>
          <w:rFonts w:asciiTheme="minorHAnsi" w:hAnsiTheme="minorHAnsi"/>
          <w:b/>
        </w:rPr>
        <w:t>.</w:t>
      </w:r>
    </w:p>
    <w:p w:rsidR="000460DD" w:rsidRPr="00DF540D" w:rsidRDefault="000460DD" w:rsidP="00E353F3">
      <w:pPr>
        <w:rPr>
          <w:rFonts w:cs="Arial"/>
          <w:b/>
        </w:rPr>
      </w:pPr>
    </w:p>
    <w:p w:rsidR="002F422D" w:rsidRPr="00DF540D" w:rsidRDefault="002F422D" w:rsidP="002F422D">
      <w:pPr>
        <w:rPr>
          <w:b/>
        </w:rPr>
      </w:pPr>
      <w:r w:rsidRPr="00DF540D">
        <w:rPr>
          <w:b/>
        </w:rPr>
        <w:t xml:space="preserve">Recommendation </w:t>
      </w:r>
      <w:r w:rsidR="0020419D">
        <w:rPr>
          <w:b/>
        </w:rPr>
        <w:t>4</w:t>
      </w:r>
    </w:p>
    <w:p w:rsidR="002F422D" w:rsidRPr="009E6DD0" w:rsidRDefault="009E6DD0" w:rsidP="002F422D">
      <w:pPr>
        <w:rPr>
          <w:rFonts w:asciiTheme="minorHAnsi" w:hAnsiTheme="minorHAnsi"/>
          <w:b/>
        </w:rPr>
      </w:pPr>
      <w:r w:rsidRPr="001F00B7">
        <w:rPr>
          <w:rFonts w:asciiTheme="minorHAnsi" w:hAnsiTheme="minorHAnsi"/>
          <w:b/>
        </w:rPr>
        <w:t xml:space="preserve">The </w:t>
      </w:r>
      <w:r w:rsidR="001F00B7" w:rsidRPr="001F00B7">
        <w:rPr>
          <w:rFonts w:asciiTheme="minorHAnsi" w:hAnsiTheme="minorHAnsi"/>
          <w:b/>
        </w:rPr>
        <w:t xml:space="preserve">PBS Review Panel </w:t>
      </w:r>
      <w:r w:rsidRPr="001F00B7">
        <w:rPr>
          <w:rFonts w:asciiTheme="minorHAnsi" w:hAnsiTheme="minorHAnsi"/>
          <w:b/>
        </w:rPr>
        <w:t>should be replaced with a more effective</w:t>
      </w:r>
      <w:r w:rsidR="00AD2E84">
        <w:rPr>
          <w:rFonts w:asciiTheme="minorHAnsi" w:hAnsiTheme="minorHAnsi"/>
          <w:b/>
        </w:rPr>
        <w:t xml:space="preserve">, responsive </w:t>
      </w:r>
      <w:r w:rsidR="00A40604">
        <w:rPr>
          <w:rFonts w:asciiTheme="minorHAnsi" w:hAnsiTheme="minorHAnsi"/>
          <w:b/>
        </w:rPr>
        <w:t>body</w:t>
      </w:r>
      <w:r w:rsidRPr="001F00B7">
        <w:rPr>
          <w:rFonts w:asciiTheme="minorHAnsi" w:hAnsiTheme="minorHAnsi"/>
          <w:b/>
        </w:rPr>
        <w:t xml:space="preserve"> to </w:t>
      </w:r>
      <w:r w:rsidR="000D417E">
        <w:rPr>
          <w:rFonts w:asciiTheme="minorHAnsi" w:hAnsiTheme="minorHAnsi"/>
          <w:b/>
        </w:rPr>
        <w:t>drive</w:t>
      </w:r>
      <w:r w:rsidRPr="001F00B7">
        <w:rPr>
          <w:rFonts w:asciiTheme="minorHAnsi" w:hAnsiTheme="minorHAnsi"/>
          <w:b/>
        </w:rPr>
        <w:t xml:space="preserve"> PBS </w:t>
      </w:r>
      <w:r w:rsidR="00337144">
        <w:rPr>
          <w:rFonts w:asciiTheme="minorHAnsi" w:hAnsiTheme="minorHAnsi"/>
          <w:b/>
        </w:rPr>
        <w:t xml:space="preserve">scheme </w:t>
      </w:r>
      <w:r w:rsidR="000D417E">
        <w:rPr>
          <w:rFonts w:asciiTheme="minorHAnsi" w:hAnsiTheme="minorHAnsi"/>
          <w:b/>
        </w:rPr>
        <w:t>outcomes</w:t>
      </w:r>
      <w:r w:rsidRPr="009E6DD0">
        <w:rPr>
          <w:rFonts w:asciiTheme="minorHAnsi" w:hAnsiTheme="minorHAnsi"/>
          <w:b/>
        </w:rPr>
        <w:t>.</w:t>
      </w:r>
    </w:p>
    <w:p w:rsidR="009E6DD0" w:rsidRDefault="009E6DD0" w:rsidP="002F422D">
      <w:pPr>
        <w:rPr>
          <w:b/>
        </w:rPr>
      </w:pPr>
    </w:p>
    <w:p w:rsidR="002F422D" w:rsidRPr="00DF540D" w:rsidRDefault="002F422D" w:rsidP="002F422D">
      <w:pPr>
        <w:rPr>
          <w:b/>
        </w:rPr>
      </w:pPr>
      <w:r w:rsidRPr="00DF540D">
        <w:rPr>
          <w:b/>
        </w:rPr>
        <w:t xml:space="preserve">Recommendation </w:t>
      </w:r>
      <w:r w:rsidR="0020419D">
        <w:rPr>
          <w:b/>
        </w:rPr>
        <w:t>5</w:t>
      </w:r>
    </w:p>
    <w:p w:rsidR="00030CF9" w:rsidRPr="00690D10" w:rsidRDefault="00690D10" w:rsidP="009A4142">
      <w:pPr>
        <w:rPr>
          <w:rFonts w:asciiTheme="minorHAnsi" w:hAnsiTheme="minorHAnsi"/>
          <w:b/>
        </w:rPr>
      </w:pPr>
      <w:r w:rsidRPr="00DA7427">
        <w:rPr>
          <w:rFonts w:asciiTheme="minorHAnsi" w:hAnsiTheme="minorHAnsi"/>
          <w:b/>
        </w:rPr>
        <w:t xml:space="preserve">The NTC </w:t>
      </w:r>
      <w:r w:rsidR="00A40604">
        <w:rPr>
          <w:rFonts w:asciiTheme="minorHAnsi" w:hAnsiTheme="minorHAnsi"/>
          <w:b/>
        </w:rPr>
        <w:t>should</w:t>
      </w:r>
      <w:r w:rsidRPr="00DA7427">
        <w:rPr>
          <w:rFonts w:asciiTheme="minorHAnsi" w:hAnsiTheme="minorHAnsi"/>
          <w:b/>
        </w:rPr>
        <w:t xml:space="preserve"> develop a design check tool for prescriptive designs </w:t>
      </w:r>
      <w:r w:rsidR="0090132C" w:rsidRPr="00DA7427">
        <w:rPr>
          <w:rFonts w:asciiTheme="minorHAnsi" w:hAnsiTheme="minorHAnsi"/>
          <w:b/>
        </w:rPr>
        <w:t>of</w:t>
      </w:r>
      <w:r w:rsidRPr="00DA7427">
        <w:rPr>
          <w:rFonts w:asciiTheme="minorHAnsi" w:hAnsiTheme="minorHAnsi"/>
          <w:b/>
        </w:rPr>
        <w:t xml:space="preserve"> six </w:t>
      </w:r>
      <w:r w:rsidR="00AE41FF" w:rsidRPr="00DA7427">
        <w:rPr>
          <w:rFonts w:asciiTheme="minorHAnsi" w:hAnsiTheme="minorHAnsi"/>
          <w:b/>
        </w:rPr>
        <w:t xml:space="preserve">axle truck and dog combinations </w:t>
      </w:r>
      <w:r w:rsidRPr="00DA7427">
        <w:rPr>
          <w:rFonts w:asciiTheme="minorHAnsi" w:hAnsiTheme="minorHAnsi"/>
          <w:b/>
        </w:rPr>
        <w:t xml:space="preserve">and seven axle truck and dog combinations at PBS </w:t>
      </w:r>
      <w:r w:rsidRPr="00B35F11">
        <w:rPr>
          <w:rFonts w:asciiTheme="minorHAnsi" w:hAnsiTheme="minorHAnsi"/>
          <w:b/>
        </w:rPr>
        <w:t>mass limits</w:t>
      </w:r>
      <w:r w:rsidRPr="00F06737">
        <w:rPr>
          <w:rFonts w:asciiTheme="minorHAnsi" w:hAnsiTheme="minorHAnsi"/>
          <w:b/>
        </w:rPr>
        <w:t>.</w:t>
      </w:r>
    </w:p>
    <w:p w:rsidR="00690D10" w:rsidRPr="00DF540D" w:rsidRDefault="00690D10" w:rsidP="009A4142">
      <w:pPr>
        <w:rPr>
          <w:b/>
        </w:rPr>
      </w:pPr>
    </w:p>
    <w:p w:rsidR="009A4142" w:rsidRPr="00DF540D" w:rsidRDefault="009A4142" w:rsidP="00DC2E2B">
      <w:pPr>
        <w:rPr>
          <w:b/>
        </w:rPr>
      </w:pPr>
    </w:p>
    <w:p w:rsidR="00E31AA9" w:rsidRDefault="00E31AA9" w:rsidP="0035759F">
      <w:pPr>
        <w:pStyle w:val="Heading1"/>
      </w:pPr>
      <w:bookmarkStart w:id="4" w:name="_Toc401238976"/>
      <w:r>
        <w:t xml:space="preserve">ATA </w:t>
      </w:r>
      <w:r w:rsidR="00057D58" w:rsidRPr="00075B0E">
        <w:t>Responses to NTC questions</w:t>
      </w:r>
    </w:p>
    <w:p w:rsidR="00F8584A" w:rsidRDefault="00F8584A" w:rsidP="00213FE3"/>
    <w:bookmarkEnd w:id="4"/>
    <w:p w:rsidR="00633E1A" w:rsidRPr="006667CD" w:rsidRDefault="006667CD" w:rsidP="00633E1A">
      <w:pPr>
        <w:rPr>
          <w:b/>
        </w:rPr>
      </w:pPr>
      <w:r w:rsidRPr="006667CD">
        <w:rPr>
          <w:b/>
        </w:rPr>
        <w:t xml:space="preserve">Q1 </w:t>
      </w:r>
      <w:r w:rsidR="00633E1A" w:rsidRPr="006667CD">
        <w:rPr>
          <w:b/>
        </w:rPr>
        <w:t>How do the improvements to the PBS scheme under the NHVR affect you as</w:t>
      </w:r>
      <w:r w:rsidR="00E751B6">
        <w:rPr>
          <w:b/>
        </w:rPr>
        <w:t xml:space="preserve"> a manufacturer or an operator?</w:t>
      </w:r>
    </w:p>
    <w:p w:rsidR="006667CD" w:rsidRPr="006667CD" w:rsidRDefault="006667CD" w:rsidP="00633E1A">
      <w:pPr>
        <w:rPr>
          <w:rFonts w:asciiTheme="minorHAnsi" w:hAnsiTheme="minorHAnsi"/>
          <w:b/>
        </w:rPr>
      </w:pPr>
    </w:p>
    <w:p w:rsidR="00824035" w:rsidRDefault="00633E1A" w:rsidP="0063112D">
      <w:pPr>
        <w:rPr>
          <w:rFonts w:asciiTheme="minorHAnsi" w:hAnsiTheme="minorHAnsi"/>
        </w:rPr>
      </w:pPr>
      <w:r w:rsidRPr="0063112D">
        <w:rPr>
          <w:rFonts w:asciiTheme="minorHAnsi" w:hAnsiTheme="minorHAnsi"/>
          <w:i/>
        </w:rPr>
        <w:t>Time Saving:</w:t>
      </w:r>
      <w:r w:rsidR="006667CD" w:rsidRPr="0063112D">
        <w:rPr>
          <w:rFonts w:asciiTheme="minorHAnsi" w:hAnsiTheme="minorHAnsi"/>
        </w:rPr>
        <w:t xml:space="preserve"> </w:t>
      </w:r>
      <w:r w:rsidRPr="0063112D">
        <w:rPr>
          <w:rFonts w:asciiTheme="minorHAnsi" w:hAnsiTheme="minorHAnsi"/>
        </w:rPr>
        <w:t xml:space="preserve">The PBS Review Panel </w:t>
      </w:r>
      <w:r w:rsidR="006667CD" w:rsidRPr="0063112D">
        <w:rPr>
          <w:rFonts w:asciiTheme="minorHAnsi" w:hAnsiTheme="minorHAnsi"/>
        </w:rPr>
        <w:t xml:space="preserve">(PRP) </w:t>
      </w:r>
      <w:r w:rsidRPr="0063112D">
        <w:rPr>
          <w:rFonts w:asciiTheme="minorHAnsi" w:hAnsiTheme="minorHAnsi"/>
        </w:rPr>
        <w:t xml:space="preserve">is an unnecessary </w:t>
      </w:r>
      <w:r w:rsidR="00735E1C">
        <w:rPr>
          <w:rFonts w:asciiTheme="minorHAnsi" w:hAnsiTheme="minorHAnsi"/>
        </w:rPr>
        <w:t>body</w:t>
      </w:r>
      <w:r w:rsidRPr="0063112D">
        <w:rPr>
          <w:rFonts w:asciiTheme="minorHAnsi" w:hAnsiTheme="minorHAnsi"/>
        </w:rPr>
        <w:t xml:space="preserve"> </w:t>
      </w:r>
      <w:r w:rsidR="00735E1C">
        <w:rPr>
          <w:rFonts w:asciiTheme="minorHAnsi" w:hAnsiTheme="minorHAnsi"/>
        </w:rPr>
        <w:t>that</w:t>
      </w:r>
      <w:r w:rsidRPr="0063112D">
        <w:rPr>
          <w:rFonts w:asciiTheme="minorHAnsi" w:hAnsiTheme="minorHAnsi"/>
        </w:rPr>
        <w:t xml:space="preserve"> </w:t>
      </w:r>
      <w:r w:rsidR="006877E2">
        <w:rPr>
          <w:rFonts w:asciiTheme="minorHAnsi" w:hAnsiTheme="minorHAnsi"/>
        </w:rPr>
        <w:t xml:space="preserve">significantly </w:t>
      </w:r>
      <w:r w:rsidRPr="0063112D">
        <w:rPr>
          <w:rFonts w:asciiTheme="minorHAnsi" w:hAnsiTheme="minorHAnsi"/>
        </w:rPr>
        <w:t xml:space="preserve">delays the </w:t>
      </w:r>
      <w:r w:rsidR="00AE41FF">
        <w:rPr>
          <w:rFonts w:asciiTheme="minorHAnsi" w:hAnsiTheme="minorHAnsi"/>
        </w:rPr>
        <w:t>non-engineering</w:t>
      </w:r>
      <w:r w:rsidR="00B31E7B">
        <w:rPr>
          <w:rFonts w:asciiTheme="minorHAnsi" w:hAnsiTheme="minorHAnsi"/>
        </w:rPr>
        <w:t xml:space="preserve"> stage of the</w:t>
      </w:r>
      <w:r w:rsidR="004D775E">
        <w:rPr>
          <w:rFonts w:asciiTheme="minorHAnsi" w:hAnsiTheme="minorHAnsi"/>
        </w:rPr>
        <w:t xml:space="preserve"> PBS</w:t>
      </w:r>
      <w:r w:rsidR="00AE41FF">
        <w:rPr>
          <w:rFonts w:asciiTheme="minorHAnsi" w:hAnsiTheme="minorHAnsi"/>
        </w:rPr>
        <w:t xml:space="preserve"> </w:t>
      </w:r>
      <w:r w:rsidRPr="0063112D">
        <w:rPr>
          <w:rFonts w:asciiTheme="minorHAnsi" w:hAnsiTheme="minorHAnsi"/>
        </w:rPr>
        <w:t>approval process without value adding (</w:t>
      </w:r>
      <w:r w:rsidR="00AE41FF">
        <w:rPr>
          <w:rFonts w:asciiTheme="minorHAnsi" w:hAnsiTheme="minorHAnsi"/>
        </w:rPr>
        <w:t xml:space="preserve">a typical </w:t>
      </w:r>
      <w:r w:rsidR="00B31E7B">
        <w:rPr>
          <w:rFonts w:asciiTheme="minorHAnsi" w:hAnsiTheme="minorHAnsi"/>
        </w:rPr>
        <w:t xml:space="preserve">approval </w:t>
      </w:r>
      <w:r w:rsidR="00AE41FF">
        <w:rPr>
          <w:rFonts w:asciiTheme="minorHAnsi" w:hAnsiTheme="minorHAnsi"/>
        </w:rPr>
        <w:t xml:space="preserve">process may take </w:t>
      </w:r>
      <w:r w:rsidR="00923402">
        <w:rPr>
          <w:rFonts w:asciiTheme="minorHAnsi" w:hAnsiTheme="minorHAnsi"/>
        </w:rPr>
        <w:t>several months</w:t>
      </w:r>
      <w:r w:rsidRPr="0063112D">
        <w:rPr>
          <w:rFonts w:asciiTheme="minorHAnsi" w:hAnsiTheme="minorHAnsi"/>
        </w:rPr>
        <w:t xml:space="preserve">). It </w:t>
      </w:r>
      <w:r w:rsidR="00260FE8" w:rsidRPr="0063112D">
        <w:rPr>
          <w:rFonts w:asciiTheme="minorHAnsi" w:hAnsiTheme="minorHAnsi"/>
        </w:rPr>
        <w:t>seems to industry that</w:t>
      </w:r>
      <w:r w:rsidRPr="0063112D">
        <w:rPr>
          <w:rFonts w:asciiTheme="minorHAnsi" w:hAnsiTheme="minorHAnsi"/>
        </w:rPr>
        <w:t xml:space="preserve"> </w:t>
      </w:r>
      <w:r w:rsidR="004160DC">
        <w:rPr>
          <w:rFonts w:asciiTheme="minorHAnsi" w:hAnsiTheme="minorHAnsi"/>
        </w:rPr>
        <w:t>the</w:t>
      </w:r>
      <w:r w:rsidR="00260FE8" w:rsidRPr="0063112D">
        <w:rPr>
          <w:rFonts w:asciiTheme="minorHAnsi" w:hAnsiTheme="minorHAnsi"/>
        </w:rPr>
        <w:t xml:space="preserve"> </w:t>
      </w:r>
      <w:r w:rsidRPr="0063112D">
        <w:rPr>
          <w:rFonts w:asciiTheme="minorHAnsi" w:hAnsiTheme="minorHAnsi"/>
        </w:rPr>
        <w:t xml:space="preserve">panel </w:t>
      </w:r>
      <w:r w:rsidR="00260FE8" w:rsidRPr="0063112D">
        <w:rPr>
          <w:rFonts w:asciiTheme="minorHAnsi" w:hAnsiTheme="minorHAnsi"/>
        </w:rPr>
        <w:t xml:space="preserve">members </w:t>
      </w:r>
      <w:r w:rsidR="004160DC">
        <w:rPr>
          <w:rFonts w:asciiTheme="minorHAnsi" w:hAnsiTheme="minorHAnsi"/>
        </w:rPr>
        <w:t>do not place sufficient weight on</w:t>
      </w:r>
      <w:r w:rsidRPr="0063112D">
        <w:rPr>
          <w:rFonts w:asciiTheme="minorHAnsi" w:hAnsiTheme="minorHAnsi"/>
        </w:rPr>
        <w:t xml:space="preserve"> the </w:t>
      </w:r>
      <w:r w:rsidR="00923402">
        <w:rPr>
          <w:rFonts w:asciiTheme="minorHAnsi" w:hAnsiTheme="minorHAnsi"/>
        </w:rPr>
        <w:t>PBS</w:t>
      </w:r>
      <w:r w:rsidR="00400085" w:rsidRPr="0063112D">
        <w:rPr>
          <w:rFonts w:asciiTheme="minorHAnsi" w:hAnsiTheme="minorHAnsi"/>
        </w:rPr>
        <w:t xml:space="preserve"> </w:t>
      </w:r>
      <w:r w:rsidRPr="0063112D">
        <w:rPr>
          <w:rFonts w:asciiTheme="minorHAnsi" w:hAnsiTheme="minorHAnsi"/>
        </w:rPr>
        <w:t>assessment methodology</w:t>
      </w:r>
      <w:r w:rsidR="00ED5C63">
        <w:rPr>
          <w:rFonts w:asciiTheme="minorHAnsi" w:hAnsiTheme="minorHAnsi"/>
        </w:rPr>
        <w:t>,</w:t>
      </w:r>
      <w:r w:rsidRPr="0063112D">
        <w:rPr>
          <w:rFonts w:asciiTheme="minorHAnsi" w:hAnsiTheme="minorHAnsi"/>
        </w:rPr>
        <w:t xml:space="preserve"> especially the rounding up</w:t>
      </w:r>
      <w:r w:rsidR="00400085">
        <w:rPr>
          <w:rFonts w:asciiTheme="minorHAnsi" w:hAnsiTheme="minorHAnsi"/>
        </w:rPr>
        <w:t xml:space="preserve"> or </w:t>
      </w:r>
      <w:r w:rsidRPr="0063112D">
        <w:rPr>
          <w:rFonts w:asciiTheme="minorHAnsi" w:hAnsiTheme="minorHAnsi"/>
        </w:rPr>
        <w:t xml:space="preserve">down of assessment values. </w:t>
      </w:r>
    </w:p>
    <w:p w:rsidR="00824035" w:rsidRDefault="00824035" w:rsidP="0063112D">
      <w:pPr>
        <w:rPr>
          <w:rFonts w:asciiTheme="minorHAnsi" w:hAnsiTheme="minorHAnsi"/>
        </w:rPr>
      </w:pPr>
    </w:p>
    <w:p w:rsidR="00633E1A" w:rsidRDefault="00250B16" w:rsidP="0063112D">
      <w:pPr>
        <w:rPr>
          <w:rFonts w:asciiTheme="minorHAnsi" w:hAnsiTheme="minorHAnsi"/>
        </w:rPr>
      </w:pPr>
      <w:r>
        <w:rPr>
          <w:rFonts w:asciiTheme="minorHAnsi" w:hAnsiTheme="minorHAnsi"/>
        </w:rPr>
        <w:t>When</w:t>
      </w:r>
      <w:r w:rsidR="00824035">
        <w:rPr>
          <w:rFonts w:asciiTheme="minorHAnsi" w:hAnsiTheme="minorHAnsi"/>
        </w:rPr>
        <w:t xml:space="preserve"> the NHVR </w:t>
      </w:r>
      <w:r w:rsidR="00E54644">
        <w:rPr>
          <w:rFonts w:asciiTheme="minorHAnsi" w:hAnsiTheme="minorHAnsi"/>
        </w:rPr>
        <w:t xml:space="preserve">commenced in </w:t>
      </w:r>
      <w:r w:rsidR="00A35C76">
        <w:rPr>
          <w:rFonts w:asciiTheme="minorHAnsi" w:hAnsiTheme="minorHAnsi"/>
        </w:rPr>
        <w:t xml:space="preserve">February </w:t>
      </w:r>
      <w:r w:rsidR="00E54644">
        <w:rPr>
          <w:rFonts w:asciiTheme="minorHAnsi" w:hAnsiTheme="minorHAnsi"/>
        </w:rPr>
        <w:t>2014</w:t>
      </w:r>
      <w:r w:rsidR="00824035">
        <w:rPr>
          <w:rFonts w:asciiTheme="minorHAnsi" w:hAnsiTheme="minorHAnsi"/>
        </w:rPr>
        <w:t xml:space="preserve"> and </w:t>
      </w:r>
      <w:r w:rsidR="00A35C76">
        <w:rPr>
          <w:rFonts w:asciiTheme="minorHAnsi" w:hAnsiTheme="minorHAnsi"/>
        </w:rPr>
        <w:t xml:space="preserve">was </w:t>
      </w:r>
      <w:r w:rsidR="00824035">
        <w:rPr>
          <w:rFonts w:asciiTheme="minorHAnsi" w:hAnsiTheme="minorHAnsi"/>
        </w:rPr>
        <w:t xml:space="preserve">made responsible for administering PBS, the </w:t>
      </w:r>
      <w:r w:rsidR="00633E1A" w:rsidRPr="0063112D">
        <w:rPr>
          <w:rFonts w:asciiTheme="minorHAnsi" w:hAnsiTheme="minorHAnsi"/>
        </w:rPr>
        <w:t>PRP</w:t>
      </w:r>
      <w:r w:rsidR="00824035">
        <w:rPr>
          <w:rFonts w:asciiTheme="minorHAnsi" w:hAnsiTheme="minorHAnsi"/>
        </w:rPr>
        <w:t xml:space="preserve"> </w:t>
      </w:r>
      <w:r w:rsidR="00E54644">
        <w:rPr>
          <w:rFonts w:asciiTheme="minorHAnsi" w:hAnsiTheme="minorHAnsi"/>
        </w:rPr>
        <w:t>bec</w:t>
      </w:r>
      <w:r>
        <w:rPr>
          <w:rFonts w:asciiTheme="minorHAnsi" w:hAnsiTheme="minorHAnsi"/>
        </w:rPr>
        <w:t>a</w:t>
      </w:r>
      <w:r w:rsidR="00E54644">
        <w:rPr>
          <w:rFonts w:asciiTheme="minorHAnsi" w:hAnsiTheme="minorHAnsi"/>
        </w:rPr>
        <w:t>me</w:t>
      </w:r>
      <w:r w:rsidR="00824035">
        <w:rPr>
          <w:rFonts w:asciiTheme="minorHAnsi" w:hAnsiTheme="minorHAnsi"/>
        </w:rPr>
        <w:t xml:space="preserve"> an additional layer of bureaucracy </w:t>
      </w:r>
      <w:r>
        <w:rPr>
          <w:rFonts w:asciiTheme="minorHAnsi" w:hAnsiTheme="minorHAnsi"/>
        </w:rPr>
        <w:t>that</w:t>
      </w:r>
      <w:r w:rsidR="00824035">
        <w:rPr>
          <w:rFonts w:asciiTheme="minorHAnsi" w:hAnsiTheme="minorHAnsi"/>
        </w:rPr>
        <w:t xml:space="preserve"> </w:t>
      </w:r>
      <w:r w:rsidR="005E0DDA">
        <w:rPr>
          <w:rFonts w:asciiTheme="minorHAnsi" w:hAnsiTheme="minorHAnsi"/>
        </w:rPr>
        <w:t>sh</w:t>
      </w:r>
      <w:r w:rsidR="006667CD" w:rsidRPr="0063112D">
        <w:rPr>
          <w:rFonts w:asciiTheme="minorHAnsi" w:hAnsiTheme="minorHAnsi"/>
        </w:rPr>
        <w:t>ould</w:t>
      </w:r>
      <w:r w:rsidR="00633E1A" w:rsidRPr="0063112D">
        <w:rPr>
          <w:rFonts w:asciiTheme="minorHAnsi" w:hAnsiTheme="minorHAnsi"/>
        </w:rPr>
        <w:t xml:space="preserve"> be </w:t>
      </w:r>
      <w:r w:rsidR="00824035">
        <w:rPr>
          <w:rFonts w:asciiTheme="minorHAnsi" w:hAnsiTheme="minorHAnsi"/>
        </w:rPr>
        <w:t>disbanded o</w:t>
      </w:r>
      <w:r w:rsidR="00A35C76">
        <w:rPr>
          <w:rFonts w:asciiTheme="minorHAnsi" w:hAnsiTheme="minorHAnsi"/>
        </w:rPr>
        <w:t>r,</w:t>
      </w:r>
      <w:r w:rsidR="00824035">
        <w:rPr>
          <w:rFonts w:asciiTheme="minorHAnsi" w:hAnsiTheme="minorHAnsi"/>
        </w:rPr>
        <w:t xml:space="preserve"> if necessary</w:t>
      </w:r>
      <w:r w:rsidR="00824035" w:rsidRPr="00824035">
        <w:rPr>
          <w:rFonts w:asciiTheme="minorHAnsi" w:hAnsiTheme="minorHAnsi"/>
        </w:rPr>
        <w:t xml:space="preserve"> </w:t>
      </w:r>
      <w:r w:rsidR="00824035" w:rsidRPr="0063112D">
        <w:rPr>
          <w:rFonts w:asciiTheme="minorHAnsi" w:hAnsiTheme="minorHAnsi"/>
        </w:rPr>
        <w:t xml:space="preserve">to meet </w:t>
      </w:r>
      <w:r w:rsidR="00A35C76">
        <w:rPr>
          <w:rFonts w:asciiTheme="minorHAnsi" w:hAnsiTheme="minorHAnsi"/>
        </w:rPr>
        <w:t xml:space="preserve">PBS </w:t>
      </w:r>
      <w:r w:rsidR="00824035" w:rsidRPr="0063112D">
        <w:rPr>
          <w:rFonts w:asciiTheme="minorHAnsi" w:hAnsiTheme="minorHAnsi"/>
        </w:rPr>
        <w:t>legislative requirements</w:t>
      </w:r>
      <w:r w:rsidR="00A35C76">
        <w:rPr>
          <w:rFonts w:asciiTheme="minorHAnsi" w:hAnsiTheme="minorHAnsi"/>
        </w:rPr>
        <w:t>,</w:t>
      </w:r>
      <w:r w:rsidR="00824035">
        <w:rPr>
          <w:rFonts w:asciiTheme="minorHAnsi" w:hAnsiTheme="minorHAnsi"/>
        </w:rPr>
        <w:t xml:space="preserve"> </w:t>
      </w:r>
      <w:r w:rsidR="00A94543">
        <w:rPr>
          <w:rFonts w:asciiTheme="minorHAnsi" w:hAnsiTheme="minorHAnsi"/>
        </w:rPr>
        <w:t>be</w:t>
      </w:r>
      <w:r w:rsidR="00A35C76">
        <w:rPr>
          <w:rFonts w:asciiTheme="minorHAnsi" w:hAnsiTheme="minorHAnsi"/>
        </w:rPr>
        <w:t xml:space="preserve"> </w:t>
      </w:r>
      <w:r w:rsidR="00633E1A" w:rsidRPr="0063112D">
        <w:rPr>
          <w:rFonts w:asciiTheme="minorHAnsi" w:hAnsiTheme="minorHAnsi"/>
        </w:rPr>
        <w:t xml:space="preserve">replaced with a more effective </w:t>
      </w:r>
      <w:r w:rsidR="00735E1C">
        <w:rPr>
          <w:rFonts w:asciiTheme="minorHAnsi" w:hAnsiTheme="minorHAnsi"/>
        </w:rPr>
        <w:t>body</w:t>
      </w:r>
      <w:r w:rsidR="00633E1A" w:rsidRPr="0063112D">
        <w:rPr>
          <w:rFonts w:asciiTheme="minorHAnsi" w:hAnsiTheme="minorHAnsi"/>
        </w:rPr>
        <w:t>.</w:t>
      </w:r>
    </w:p>
    <w:p w:rsidR="0063112D" w:rsidRPr="0063112D" w:rsidRDefault="0063112D" w:rsidP="0063112D">
      <w:pPr>
        <w:rPr>
          <w:rFonts w:asciiTheme="minorHAnsi" w:hAnsiTheme="minorHAnsi"/>
        </w:rPr>
      </w:pPr>
    </w:p>
    <w:p w:rsidR="006667CD" w:rsidRDefault="00633E1A" w:rsidP="0063112D">
      <w:pPr>
        <w:rPr>
          <w:rFonts w:asciiTheme="minorHAnsi" w:hAnsiTheme="minorHAnsi"/>
        </w:rPr>
      </w:pPr>
      <w:r w:rsidRPr="0063112D">
        <w:rPr>
          <w:rFonts w:asciiTheme="minorHAnsi" w:hAnsiTheme="minorHAnsi"/>
          <w:i/>
        </w:rPr>
        <w:t>Cost Saving:</w:t>
      </w:r>
      <w:r w:rsidR="006667CD" w:rsidRPr="0063112D">
        <w:rPr>
          <w:rFonts w:asciiTheme="minorHAnsi" w:hAnsiTheme="minorHAnsi"/>
        </w:rPr>
        <w:t xml:space="preserve"> </w:t>
      </w:r>
      <w:r w:rsidR="002F01AA">
        <w:rPr>
          <w:rFonts w:asciiTheme="minorHAnsi" w:hAnsiTheme="minorHAnsi"/>
        </w:rPr>
        <w:t>M</w:t>
      </w:r>
      <w:r w:rsidR="00400085">
        <w:rPr>
          <w:rFonts w:asciiTheme="minorHAnsi" w:hAnsiTheme="minorHAnsi"/>
        </w:rPr>
        <w:t>onths of delay</w:t>
      </w:r>
      <w:r w:rsidR="00C22291">
        <w:rPr>
          <w:rFonts w:asciiTheme="minorHAnsi" w:hAnsiTheme="minorHAnsi"/>
        </w:rPr>
        <w:t xml:space="preserve"> are </w:t>
      </w:r>
      <w:r w:rsidR="00EF78A2">
        <w:rPr>
          <w:rFonts w:asciiTheme="minorHAnsi" w:hAnsiTheme="minorHAnsi"/>
        </w:rPr>
        <w:t>often</w:t>
      </w:r>
      <w:r w:rsidR="00400085">
        <w:rPr>
          <w:rFonts w:asciiTheme="minorHAnsi" w:hAnsiTheme="minorHAnsi"/>
        </w:rPr>
        <w:t xml:space="preserve"> experienced by applicants </w:t>
      </w:r>
      <w:r w:rsidR="002F01AA">
        <w:rPr>
          <w:rFonts w:asciiTheme="minorHAnsi" w:hAnsiTheme="minorHAnsi"/>
        </w:rPr>
        <w:t xml:space="preserve">especially </w:t>
      </w:r>
      <w:r w:rsidR="00C22291">
        <w:rPr>
          <w:rFonts w:asciiTheme="minorHAnsi" w:hAnsiTheme="minorHAnsi"/>
        </w:rPr>
        <w:t>at</w:t>
      </w:r>
      <w:r w:rsidR="00400085">
        <w:rPr>
          <w:rFonts w:asciiTheme="minorHAnsi" w:hAnsiTheme="minorHAnsi"/>
        </w:rPr>
        <w:t xml:space="preserve"> the non-engineering approval stage</w:t>
      </w:r>
      <w:r w:rsidR="00514A17">
        <w:rPr>
          <w:rFonts w:asciiTheme="minorHAnsi" w:hAnsiTheme="minorHAnsi"/>
        </w:rPr>
        <w:t xml:space="preserve"> of the PBS </w:t>
      </w:r>
      <w:r w:rsidR="00112765">
        <w:rPr>
          <w:rFonts w:asciiTheme="minorHAnsi" w:hAnsiTheme="minorHAnsi"/>
        </w:rPr>
        <w:t xml:space="preserve">approval </w:t>
      </w:r>
      <w:r w:rsidR="00514A17">
        <w:rPr>
          <w:rFonts w:asciiTheme="minorHAnsi" w:hAnsiTheme="minorHAnsi"/>
        </w:rPr>
        <w:t>process</w:t>
      </w:r>
      <w:r w:rsidR="00400085">
        <w:rPr>
          <w:rFonts w:asciiTheme="minorHAnsi" w:hAnsiTheme="minorHAnsi"/>
        </w:rPr>
        <w:t xml:space="preserve"> </w:t>
      </w:r>
      <w:r w:rsidR="00C22291">
        <w:rPr>
          <w:rFonts w:asciiTheme="minorHAnsi" w:hAnsiTheme="minorHAnsi"/>
        </w:rPr>
        <w:t xml:space="preserve">and this is </w:t>
      </w:r>
      <w:r w:rsidR="00400085">
        <w:rPr>
          <w:rFonts w:asciiTheme="minorHAnsi" w:hAnsiTheme="minorHAnsi"/>
        </w:rPr>
        <w:t xml:space="preserve">extremely frustrating </w:t>
      </w:r>
      <w:r w:rsidR="00C22291">
        <w:rPr>
          <w:rFonts w:asciiTheme="minorHAnsi" w:hAnsiTheme="minorHAnsi"/>
        </w:rPr>
        <w:t xml:space="preserve">and expensive </w:t>
      </w:r>
      <w:r w:rsidR="00400085">
        <w:rPr>
          <w:rFonts w:asciiTheme="minorHAnsi" w:hAnsiTheme="minorHAnsi"/>
        </w:rPr>
        <w:t xml:space="preserve">for </w:t>
      </w:r>
      <w:r w:rsidR="00C22291">
        <w:rPr>
          <w:rFonts w:asciiTheme="minorHAnsi" w:hAnsiTheme="minorHAnsi"/>
        </w:rPr>
        <w:t xml:space="preserve">the </w:t>
      </w:r>
      <w:r w:rsidR="00400085">
        <w:rPr>
          <w:rFonts w:asciiTheme="minorHAnsi" w:hAnsiTheme="minorHAnsi"/>
        </w:rPr>
        <w:t>applicants.</w:t>
      </w:r>
      <w:r w:rsidR="00C22291">
        <w:rPr>
          <w:rFonts w:asciiTheme="minorHAnsi" w:hAnsiTheme="minorHAnsi"/>
        </w:rPr>
        <w:t xml:space="preserve"> </w:t>
      </w:r>
      <w:r w:rsidR="00C9116A">
        <w:rPr>
          <w:rFonts w:asciiTheme="minorHAnsi" w:hAnsiTheme="minorHAnsi"/>
        </w:rPr>
        <w:t>Many</w:t>
      </w:r>
      <w:r w:rsidR="00C22291">
        <w:rPr>
          <w:rFonts w:asciiTheme="minorHAnsi" w:hAnsiTheme="minorHAnsi"/>
        </w:rPr>
        <w:t xml:space="preserve"> </w:t>
      </w:r>
      <w:r w:rsidR="00C9116A">
        <w:rPr>
          <w:rFonts w:asciiTheme="minorHAnsi" w:hAnsiTheme="minorHAnsi"/>
        </w:rPr>
        <w:t>of those</w:t>
      </w:r>
      <w:r w:rsidR="00C22291">
        <w:rPr>
          <w:rFonts w:asciiTheme="minorHAnsi" w:hAnsiTheme="minorHAnsi"/>
        </w:rPr>
        <w:t xml:space="preserve"> </w:t>
      </w:r>
      <w:r w:rsidR="00642752">
        <w:rPr>
          <w:rFonts w:asciiTheme="minorHAnsi" w:hAnsiTheme="minorHAnsi"/>
        </w:rPr>
        <w:t>consulted were</w:t>
      </w:r>
      <w:r w:rsidR="00C22291">
        <w:rPr>
          <w:rFonts w:asciiTheme="minorHAnsi" w:hAnsiTheme="minorHAnsi"/>
        </w:rPr>
        <w:t xml:space="preserve"> comfortable with </w:t>
      </w:r>
      <w:r w:rsidR="00C9116A">
        <w:rPr>
          <w:rFonts w:asciiTheme="minorHAnsi" w:hAnsiTheme="minorHAnsi"/>
        </w:rPr>
        <w:t>a</w:t>
      </w:r>
      <w:r w:rsidR="00E05A58">
        <w:rPr>
          <w:rFonts w:asciiTheme="minorHAnsi" w:hAnsiTheme="minorHAnsi"/>
        </w:rPr>
        <w:t xml:space="preserve"> 28 day turnaround time </w:t>
      </w:r>
      <w:r w:rsidR="00B27938">
        <w:rPr>
          <w:rFonts w:asciiTheme="minorHAnsi" w:hAnsiTheme="minorHAnsi"/>
        </w:rPr>
        <w:t xml:space="preserve">stipulated </w:t>
      </w:r>
      <w:r w:rsidR="00E05A58">
        <w:rPr>
          <w:rFonts w:asciiTheme="minorHAnsi" w:hAnsiTheme="minorHAnsi"/>
        </w:rPr>
        <w:t xml:space="preserve">for access </w:t>
      </w:r>
      <w:r w:rsidR="00B27938">
        <w:rPr>
          <w:rFonts w:asciiTheme="minorHAnsi" w:hAnsiTheme="minorHAnsi"/>
        </w:rPr>
        <w:t>applications</w:t>
      </w:r>
      <w:r w:rsidR="00281A88">
        <w:rPr>
          <w:rFonts w:asciiTheme="minorHAnsi" w:hAnsiTheme="minorHAnsi"/>
        </w:rPr>
        <w:t xml:space="preserve"> but none reported </w:t>
      </w:r>
      <w:r w:rsidR="00286112">
        <w:rPr>
          <w:rFonts w:asciiTheme="minorHAnsi" w:hAnsiTheme="minorHAnsi"/>
        </w:rPr>
        <w:t xml:space="preserve">ever </w:t>
      </w:r>
      <w:r w:rsidR="00281A88">
        <w:rPr>
          <w:rFonts w:asciiTheme="minorHAnsi" w:hAnsiTheme="minorHAnsi"/>
        </w:rPr>
        <w:t>achieving such timeliness</w:t>
      </w:r>
      <w:r w:rsidR="00C22291">
        <w:rPr>
          <w:rFonts w:asciiTheme="minorHAnsi" w:hAnsiTheme="minorHAnsi"/>
        </w:rPr>
        <w:t>.</w:t>
      </w:r>
    </w:p>
    <w:p w:rsidR="00EF2FED" w:rsidRDefault="00EF2FED" w:rsidP="0063112D">
      <w:pPr>
        <w:rPr>
          <w:rFonts w:asciiTheme="minorHAnsi" w:hAnsiTheme="minorHAnsi"/>
          <w:i/>
        </w:rPr>
      </w:pPr>
    </w:p>
    <w:p w:rsidR="00567261" w:rsidRPr="00567261" w:rsidRDefault="00B27938" w:rsidP="00567261">
      <w:pPr>
        <w:rPr>
          <w:bCs/>
        </w:rPr>
      </w:pPr>
      <w:r>
        <w:rPr>
          <w:bCs/>
          <w:i/>
          <w:iCs/>
        </w:rPr>
        <w:t>Access A</w:t>
      </w:r>
      <w:r w:rsidR="00112765">
        <w:rPr>
          <w:bCs/>
          <w:i/>
          <w:iCs/>
        </w:rPr>
        <w:t>pproval</w:t>
      </w:r>
      <w:r w:rsidR="00567261" w:rsidRPr="00567261">
        <w:rPr>
          <w:bCs/>
          <w:i/>
          <w:iCs/>
        </w:rPr>
        <w:t>:</w:t>
      </w:r>
      <w:r w:rsidR="00567261" w:rsidRPr="00567261">
        <w:rPr>
          <w:bCs/>
        </w:rPr>
        <w:t xml:space="preserve"> Rights to access with PBS vehicles </w:t>
      </w:r>
      <w:r w:rsidR="008B7673">
        <w:rPr>
          <w:bCs/>
        </w:rPr>
        <w:t>are</w:t>
      </w:r>
      <w:r w:rsidR="00567261" w:rsidRPr="00567261">
        <w:rPr>
          <w:bCs/>
        </w:rPr>
        <w:t xml:space="preserve"> overstated in </w:t>
      </w:r>
      <w:r w:rsidR="008B7673">
        <w:rPr>
          <w:bCs/>
        </w:rPr>
        <w:t>the NTC</w:t>
      </w:r>
      <w:r w:rsidR="00567261" w:rsidRPr="00567261">
        <w:rPr>
          <w:bCs/>
        </w:rPr>
        <w:t xml:space="preserve"> paper. When the ATA consulted stakeholders for </w:t>
      </w:r>
      <w:r w:rsidR="00A613C7">
        <w:rPr>
          <w:bCs/>
        </w:rPr>
        <w:t xml:space="preserve">the purpose of drafting </w:t>
      </w:r>
      <w:r w:rsidR="00567261" w:rsidRPr="00567261">
        <w:rPr>
          <w:bCs/>
        </w:rPr>
        <w:t xml:space="preserve">this submission, </w:t>
      </w:r>
      <w:r w:rsidR="00A613C7">
        <w:rPr>
          <w:bCs/>
        </w:rPr>
        <w:t>they</w:t>
      </w:r>
      <w:r w:rsidR="00112765">
        <w:rPr>
          <w:bCs/>
        </w:rPr>
        <w:t xml:space="preserve"> </w:t>
      </w:r>
      <w:r w:rsidR="00567261" w:rsidRPr="00567261">
        <w:rPr>
          <w:bCs/>
        </w:rPr>
        <w:t>reported</w:t>
      </w:r>
      <w:r w:rsidR="009C3EF6">
        <w:rPr>
          <w:bCs/>
        </w:rPr>
        <w:t xml:space="preserve"> </w:t>
      </w:r>
      <w:r w:rsidR="008B7673">
        <w:rPr>
          <w:bCs/>
        </w:rPr>
        <w:t>common</w:t>
      </w:r>
      <w:r w:rsidR="009C3EF6">
        <w:rPr>
          <w:bCs/>
        </w:rPr>
        <w:t xml:space="preserve"> issues </w:t>
      </w:r>
      <w:r w:rsidR="00567261" w:rsidRPr="00567261">
        <w:rPr>
          <w:bCs/>
        </w:rPr>
        <w:t>such as:</w:t>
      </w:r>
    </w:p>
    <w:p w:rsidR="00567261" w:rsidRPr="00567261" w:rsidRDefault="00567261" w:rsidP="00567261">
      <w:pPr>
        <w:rPr>
          <w:bCs/>
        </w:rPr>
      </w:pPr>
    </w:p>
    <w:p w:rsidR="00567261" w:rsidRPr="00A952FF" w:rsidRDefault="00567261" w:rsidP="00A952FF">
      <w:pPr>
        <w:rPr>
          <w:bCs/>
        </w:rPr>
      </w:pPr>
      <w:r w:rsidRPr="00A952FF">
        <w:rPr>
          <w:bCs/>
          <w:i/>
          <w:iCs/>
        </w:rPr>
        <w:t>Access to Information</w:t>
      </w:r>
      <w:r w:rsidRPr="00A952FF">
        <w:rPr>
          <w:bCs/>
        </w:rPr>
        <w:t xml:space="preserve">: </w:t>
      </w:r>
    </w:p>
    <w:p w:rsidR="00567261" w:rsidRPr="00567261" w:rsidRDefault="00567261" w:rsidP="00A952FF">
      <w:pPr>
        <w:pStyle w:val="ListParagraph"/>
        <w:numPr>
          <w:ilvl w:val="0"/>
          <w:numId w:val="11"/>
        </w:numPr>
        <w:spacing w:after="0" w:line="240" w:lineRule="auto"/>
        <w:rPr>
          <w:bCs/>
        </w:rPr>
      </w:pPr>
      <w:r w:rsidRPr="00567261">
        <w:rPr>
          <w:bCs/>
          <w:i/>
          <w:iCs/>
        </w:rPr>
        <w:t xml:space="preserve">Questions about access: </w:t>
      </w:r>
      <w:r w:rsidRPr="00567261">
        <w:rPr>
          <w:bCs/>
        </w:rPr>
        <w:t xml:space="preserve">Some operators </w:t>
      </w:r>
      <w:r w:rsidR="00315F96">
        <w:rPr>
          <w:bCs/>
        </w:rPr>
        <w:t>state</w:t>
      </w:r>
      <w:r w:rsidRPr="00567261">
        <w:rPr>
          <w:bCs/>
        </w:rPr>
        <w:t xml:space="preserve"> their relevant state road agencies ha</w:t>
      </w:r>
      <w:r w:rsidR="009C3EF6">
        <w:rPr>
          <w:bCs/>
        </w:rPr>
        <w:t xml:space="preserve">ve found it difficult to answer detailed PBS </w:t>
      </w:r>
      <w:r w:rsidRPr="00567261">
        <w:rPr>
          <w:bCs/>
        </w:rPr>
        <w:t xml:space="preserve">enquiries. For example, operators have enquired </w:t>
      </w:r>
      <w:r w:rsidR="00A613C7">
        <w:rPr>
          <w:bCs/>
        </w:rPr>
        <w:t>if</w:t>
      </w:r>
      <w:r w:rsidRPr="00567261">
        <w:rPr>
          <w:bCs/>
        </w:rPr>
        <w:t xml:space="preserve"> a PBS vehicle longer than 19m </w:t>
      </w:r>
      <w:r w:rsidR="00A613C7">
        <w:rPr>
          <w:bCs/>
        </w:rPr>
        <w:t>is</w:t>
      </w:r>
      <w:r w:rsidRPr="00567261">
        <w:rPr>
          <w:bCs/>
        </w:rPr>
        <w:t xml:space="preserve"> be eligible for General Access</w:t>
      </w:r>
      <w:r w:rsidR="00B83FA4">
        <w:rPr>
          <w:bCs/>
        </w:rPr>
        <w:t>,</w:t>
      </w:r>
      <w:r w:rsidRPr="00567261">
        <w:rPr>
          <w:bCs/>
        </w:rPr>
        <w:t xml:space="preserve"> and why 19m B-doubles carrying 57.5</w:t>
      </w:r>
      <w:r w:rsidR="00B83FA4">
        <w:rPr>
          <w:bCs/>
        </w:rPr>
        <w:t xml:space="preserve"> </w:t>
      </w:r>
      <w:r w:rsidRPr="00567261">
        <w:rPr>
          <w:bCs/>
        </w:rPr>
        <w:t xml:space="preserve">tonnes </w:t>
      </w:r>
      <w:r w:rsidR="008B7673">
        <w:rPr>
          <w:bCs/>
        </w:rPr>
        <w:t>have</w:t>
      </w:r>
      <w:r w:rsidRPr="00567261">
        <w:rPr>
          <w:bCs/>
        </w:rPr>
        <w:t xml:space="preserve"> </w:t>
      </w:r>
      <w:r w:rsidR="00A613C7" w:rsidRPr="00567261">
        <w:rPr>
          <w:bCs/>
        </w:rPr>
        <w:t xml:space="preserve">General Access </w:t>
      </w:r>
      <w:r w:rsidRPr="00567261">
        <w:rPr>
          <w:bCs/>
        </w:rPr>
        <w:t xml:space="preserve">through a </w:t>
      </w:r>
      <w:r w:rsidR="00A613C7">
        <w:rPr>
          <w:bCs/>
        </w:rPr>
        <w:t xml:space="preserve">particular </w:t>
      </w:r>
      <w:r w:rsidRPr="00567261">
        <w:rPr>
          <w:bCs/>
        </w:rPr>
        <w:t xml:space="preserve">council area yet 19m PBS trucks and quad dogs at 56.5 tonnes with the same number of axles </w:t>
      </w:r>
      <w:r w:rsidR="008B7673">
        <w:rPr>
          <w:bCs/>
        </w:rPr>
        <w:t>do</w:t>
      </w:r>
      <w:r w:rsidRPr="00567261">
        <w:rPr>
          <w:bCs/>
        </w:rPr>
        <w:t xml:space="preserve"> not.</w:t>
      </w:r>
    </w:p>
    <w:p w:rsidR="00112765" w:rsidRDefault="00567261" w:rsidP="00A952FF">
      <w:pPr>
        <w:pStyle w:val="ListParagraph"/>
        <w:numPr>
          <w:ilvl w:val="0"/>
          <w:numId w:val="11"/>
        </w:numPr>
        <w:spacing w:after="0" w:line="240" w:lineRule="auto"/>
        <w:rPr>
          <w:bCs/>
        </w:rPr>
      </w:pPr>
      <w:r w:rsidRPr="00567261">
        <w:rPr>
          <w:bCs/>
          <w:i/>
          <w:iCs/>
        </w:rPr>
        <w:t xml:space="preserve">PBS maps: </w:t>
      </w:r>
      <w:r w:rsidR="00D8371A" w:rsidRPr="00D8371A">
        <w:rPr>
          <w:bCs/>
          <w:iCs/>
        </w:rPr>
        <w:t>M</w:t>
      </w:r>
      <w:r w:rsidRPr="00567261">
        <w:rPr>
          <w:bCs/>
        </w:rPr>
        <w:t>ap</w:t>
      </w:r>
      <w:r w:rsidR="00A613C7">
        <w:rPr>
          <w:bCs/>
        </w:rPr>
        <w:t>s are not updated regularly enough</w:t>
      </w:r>
      <w:r w:rsidR="00A32D4F">
        <w:rPr>
          <w:bCs/>
        </w:rPr>
        <w:t xml:space="preserve"> for </w:t>
      </w:r>
      <w:r w:rsidR="00154B80">
        <w:rPr>
          <w:bCs/>
        </w:rPr>
        <w:t xml:space="preserve">participants’ </w:t>
      </w:r>
      <w:r w:rsidR="00A32D4F">
        <w:rPr>
          <w:bCs/>
        </w:rPr>
        <w:t>business requirements</w:t>
      </w:r>
      <w:r w:rsidR="00A613C7">
        <w:rPr>
          <w:bCs/>
        </w:rPr>
        <w:t>.</w:t>
      </w:r>
    </w:p>
    <w:p w:rsidR="00567261" w:rsidRPr="00567261" w:rsidRDefault="00112765" w:rsidP="00A952FF">
      <w:pPr>
        <w:pStyle w:val="ListParagraph"/>
        <w:numPr>
          <w:ilvl w:val="0"/>
          <w:numId w:val="11"/>
        </w:numPr>
        <w:spacing w:after="0" w:line="240" w:lineRule="auto"/>
        <w:rPr>
          <w:bCs/>
        </w:rPr>
      </w:pPr>
      <w:r>
        <w:rPr>
          <w:bCs/>
          <w:i/>
          <w:iCs/>
        </w:rPr>
        <w:t>Last mile access:</w:t>
      </w:r>
      <w:r>
        <w:rPr>
          <w:bCs/>
        </w:rPr>
        <w:t xml:space="preserve"> </w:t>
      </w:r>
      <w:r w:rsidR="00567261" w:rsidRPr="00567261">
        <w:rPr>
          <w:bCs/>
        </w:rPr>
        <w:t xml:space="preserve">Despite </w:t>
      </w:r>
      <w:r w:rsidR="008436E5">
        <w:rPr>
          <w:bCs/>
        </w:rPr>
        <w:t>NHVR</w:t>
      </w:r>
      <w:r w:rsidR="00567261" w:rsidRPr="00567261">
        <w:rPr>
          <w:bCs/>
        </w:rPr>
        <w:t xml:space="preserve"> transitional notices, some councils are still </w:t>
      </w:r>
      <w:r w:rsidR="00BE6A7E">
        <w:rPr>
          <w:bCs/>
        </w:rPr>
        <w:t>failing to grant</w:t>
      </w:r>
      <w:r w:rsidR="00E569B3">
        <w:rPr>
          <w:bCs/>
        </w:rPr>
        <w:t xml:space="preserve"> </w:t>
      </w:r>
      <w:r w:rsidR="00BE6A7E" w:rsidRPr="00567261">
        <w:rPr>
          <w:bCs/>
        </w:rPr>
        <w:t xml:space="preserve">access </w:t>
      </w:r>
      <w:r w:rsidR="00BE6A7E">
        <w:rPr>
          <w:bCs/>
        </w:rPr>
        <w:t xml:space="preserve">easily and </w:t>
      </w:r>
      <w:r w:rsidR="00567261" w:rsidRPr="00567261">
        <w:rPr>
          <w:bCs/>
        </w:rPr>
        <w:t xml:space="preserve">quickly </w:t>
      </w:r>
      <w:r w:rsidR="003B10D0">
        <w:rPr>
          <w:bCs/>
        </w:rPr>
        <w:t>at</w:t>
      </w:r>
      <w:r w:rsidR="00567261" w:rsidRPr="00567261">
        <w:rPr>
          <w:bCs/>
        </w:rPr>
        <w:t xml:space="preserve"> the end</w:t>
      </w:r>
      <w:r w:rsidR="00BE6A7E">
        <w:rPr>
          <w:bCs/>
        </w:rPr>
        <w:t>s of PBS</w:t>
      </w:r>
      <w:r w:rsidR="00567261" w:rsidRPr="00567261">
        <w:rPr>
          <w:bCs/>
        </w:rPr>
        <w:t xml:space="preserve"> routes.</w:t>
      </w:r>
    </w:p>
    <w:p w:rsidR="00824035" w:rsidRPr="00A952FF" w:rsidRDefault="00567261" w:rsidP="00A952FF">
      <w:pPr>
        <w:rPr>
          <w:bCs/>
        </w:rPr>
      </w:pPr>
      <w:r w:rsidRPr="00A952FF">
        <w:rPr>
          <w:bCs/>
          <w:i/>
          <w:iCs/>
        </w:rPr>
        <w:t>Timeliness</w:t>
      </w:r>
      <w:r w:rsidRPr="00A952FF">
        <w:rPr>
          <w:bCs/>
        </w:rPr>
        <w:t>: A</w:t>
      </w:r>
      <w:r w:rsidR="00143E49" w:rsidRPr="00A952FF">
        <w:rPr>
          <w:bCs/>
        </w:rPr>
        <w:t>n operator reported that a</w:t>
      </w:r>
      <w:r w:rsidRPr="00A952FF">
        <w:rPr>
          <w:bCs/>
        </w:rPr>
        <w:t>n application for an access permit for an approved PBS vehicle was lodged with the NHVR in the first week of September 2014</w:t>
      </w:r>
      <w:r w:rsidR="00143E49" w:rsidRPr="00A952FF">
        <w:rPr>
          <w:bCs/>
        </w:rPr>
        <w:t>,</w:t>
      </w:r>
      <w:r w:rsidRPr="00A952FF">
        <w:rPr>
          <w:bCs/>
        </w:rPr>
        <w:t xml:space="preserve"> although any delay is not strictly to be longer than 28 days. The operator has received a number of automatic responses including advice the application is under ‘road manager consideration’ and will be resolved by 4 November. No further response ha</w:t>
      </w:r>
      <w:r w:rsidR="002903D8" w:rsidRPr="00A952FF">
        <w:rPr>
          <w:bCs/>
        </w:rPr>
        <w:t>d</w:t>
      </w:r>
      <w:r w:rsidRPr="00A952FF">
        <w:rPr>
          <w:bCs/>
        </w:rPr>
        <w:t xml:space="preserve"> been received at the time of writing.</w:t>
      </w:r>
    </w:p>
    <w:p w:rsidR="0063112D" w:rsidRPr="0063112D" w:rsidRDefault="0063112D" w:rsidP="0063112D">
      <w:pPr>
        <w:rPr>
          <w:rFonts w:asciiTheme="minorHAnsi" w:hAnsiTheme="minorHAnsi"/>
        </w:rPr>
      </w:pPr>
    </w:p>
    <w:p w:rsidR="00633E1A" w:rsidRDefault="00633E1A" w:rsidP="00633E1A">
      <w:pPr>
        <w:rPr>
          <w:rFonts w:asciiTheme="minorHAnsi" w:hAnsiTheme="minorHAnsi"/>
        </w:rPr>
      </w:pPr>
      <w:r w:rsidRPr="00633E1A">
        <w:rPr>
          <w:rFonts w:asciiTheme="minorHAnsi" w:hAnsiTheme="minorHAnsi"/>
        </w:rPr>
        <w:t xml:space="preserve">Aside </w:t>
      </w:r>
      <w:r w:rsidR="006667CD">
        <w:rPr>
          <w:rFonts w:asciiTheme="minorHAnsi" w:hAnsiTheme="minorHAnsi"/>
        </w:rPr>
        <w:t>from some m</w:t>
      </w:r>
      <w:r w:rsidRPr="00633E1A">
        <w:rPr>
          <w:rFonts w:asciiTheme="minorHAnsi" w:hAnsiTheme="minorHAnsi"/>
        </w:rPr>
        <w:t xml:space="preserve">inor dynamic safety improvements. PBS has only </w:t>
      </w:r>
      <w:r w:rsidR="00AD21B5">
        <w:rPr>
          <w:rFonts w:asciiTheme="minorHAnsi" w:hAnsiTheme="minorHAnsi"/>
        </w:rPr>
        <w:t>afforded</w:t>
      </w:r>
      <w:r w:rsidRPr="00633E1A">
        <w:rPr>
          <w:rFonts w:asciiTheme="minorHAnsi" w:hAnsiTheme="minorHAnsi"/>
        </w:rPr>
        <w:t xml:space="preserve"> (validated) truck and dog combinations </w:t>
      </w:r>
      <w:r w:rsidR="00163FEC">
        <w:rPr>
          <w:rFonts w:asciiTheme="minorHAnsi" w:hAnsiTheme="minorHAnsi"/>
        </w:rPr>
        <w:t xml:space="preserve">access to </w:t>
      </w:r>
      <w:r w:rsidR="007E4DB2">
        <w:rPr>
          <w:rFonts w:asciiTheme="minorHAnsi" w:hAnsiTheme="minorHAnsi"/>
        </w:rPr>
        <w:t>what</w:t>
      </w:r>
      <w:r w:rsidR="007E4DB2" w:rsidRPr="00633E1A">
        <w:rPr>
          <w:rFonts w:asciiTheme="minorHAnsi" w:hAnsiTheme="minorHAnsi"/>
        </w:rPr>
        <w:t xml:space="preserve"> </w:t>
      </w:r>
      <w:r w:rsidRPr="00633E1A">
        <w:rPr>
          <w:rFonts w:asciiTheme="minorHAnsi" w:hAnsiTheme="minorHAnsi"/>
        </w:rPr>
        <w:t xml:space="preserve">has been </w:t>
      </w:r>
      <w:r w:rsidR="007E4DB2">
        <w:rPr>
          <w:rFonts w:asciiTheme="minorHAnsi" w:hAnsiTheme="minorHAnsi"/>
        </w:rPr>
        <w:t xml:space="preserve">the </w:t>
      </w:r>
      <w:r w:rsidRPr="00633E1A">
        <w:rPr>
          <w:rFonts w:asciiTheme="minorHAnsi" w:hAnsiTheme="minorHAnsi"/>
        </w:rPr>
        <w:t xml:space="preserve">common practice for </w:t>
      </w:r>
      <w:r w:rsidR="00CB09B9">
        <w:rPr>
          <w:rFonts w:asciiTheme="minorHAnsi" w:hAnsiTheme="minorHAnsi"/>
        </w:rPr>
        <w:t>25 years</w:t>
      </w:r>
      <w:r w:rsidR="00460899">
        <w:rPr>
          <w:rFonts w:asciiTheme="minorHAnsi" w:hAnsiTheme="minorHAnsi"/>
        </w:rPr>
        <w:t xml:space="preserve"> </w:t>
      </w:r>
      <w:r w:rsidRPr="00633E1A">
        <w:rPr>
          <w:rFonts w:asciiTheme="minorHAnsi" w:hAnsiTheme="minorHAnsi"/>
        </w:rPr>
        <w:t xml:space="preserve">in </w:t>
      </w:r>
      <w:r w:rsidR="00460899">
        <w:rPr>
          <w:rFonts w:asciiTheme="minorHAnsi" w:hAnsiTheme="minorHAnsi"/>
        </w:rPr>
        <w:t>Western Australia</w:t>
      </w:r>
      <w:r w:rsidRPr="00633E1A">
        <w:rPr>
          <w:rFonts w:asciiTheme="minorHAnsi" w:hAnsiTheme="minorHAnsi"/>
        </w:rPr>
        <w:t xml:space="preserve">; with </w:t>
      </w:r>
      <w:r w:rsidR="0063112D">
        <w:rPr>
          <w:rFonts w:asciiTheme="minorHAnsi" w:hAnsiTheme="minorHAnsi"/>
        </w:rPr>
        <w:t xml:space="preserve">the </w:t>
      </w:r>
      <w:r w:rsidRPr="00633E1A">
        <w:rPr>
          <w:rFonts w:asciiTheme="minorHAnsi" w:hAnsiTheme="minorHAnsi"/>
        </w:rPr>
        <w:t>exception of 48 tonne six axle truck and dog combinations in NSW (45 tonne</w:t>
      </w:r>
      <w:r w:rsidR="0063112D">
        <w:rPr>
          <w:rFonts w:asciiTheme="minorHAnsi" w:hAnsiTheme="minorHAnsi"/>
        </w:rPr>
        <w:t>s</w:t>
      </w:r>
      <w:r w:rsidRPr="00633E1A">
        <w:rPr>
          <w:rFonts w:asciiTheme="minorHAnsi" w:hAnsiTheme="minorHAnsi"/>
        </w:rPr>
        <w:t xml:space="preserve"> in Victoria); 50 tonne seven axle truck and dog combinations in NSW</w:t>
      </w:r>
      <w:r w:rsidR="0063112D">
        <w:rPr>
          <w:rFonts w:asciiTheme="minorHAnsi" w:hAnsiTheme="minorHAnsi"/>
        </w:rPr>
        <w:t>, and</w:t>
      </w:r>
      <w:r w:rsidRPr="00633E1A">
        <w:rPr>
          <w:rFonts w:asciiTheme="minorHAnsi" w:hAnsiTheme="minorHAnsi"/>
        </w:rPr>
        <w:t>:</w:t>
      </w:r>
    </w:p>
    <w:p w:rsidR="001D7500" w:rsidRDefault="001D7500" w:rsidP="00633E1A">
      <w:pPr>
        <w:rPr>
          <w:rFonts w:asciiTheme="minorHAnsi" w:hAnsiTheme="minorHAnsi"/>
        </w:rPr>
      </w:pPr>
    </w:p>
    <w:p w:rsidR="00633E1A" w:rsidRPr="006667CD" w:rsidRDefault="00633E1A" w:rsidP="005114F2">
      <w:pPr>
        <w:pStyle w:val="ListParagraph"/>
        <w:numPr>
          <w:ilvl w:val="0"/>
          <w:numId w:val="5"/>
        </w:numPr>
        <w:rPr>
          <w:rFonts w:asciiTheme="minorHAnsi" w:hAnsiTheme="minorHAnsi"/>
        </w:rPr>
      </w:pPr>
      <w:r w:rsidRPr="006667CD">
        <w:rPr>
          <w:rFonts w:asciiTheme="minorHAnsi" w:hAnsiTheme="minorHAnsi"/>
        </w:rPr>
        <w:t xml:space="preserve">The PBS truck and dog combination will never provide better safety dynamics than an equivalent </w:t>
      </w:r>
      <w:r w:rsidR="00AD21B5">
        <w:rPr>
          <w:rFonts w:asciiTheme="minorHAnsi" w:hAnsiTheme="minorHAnsi"/>
        </w:rPr>
        <w:br/>
      </w:r>
      <w:r w:rsidRPr="006667CD">
        <w:rPr>
          <w:rFonts w:asciiTheme="minorHAnsi" w:hAnsiTheme="minorHAnsi"/>
        </w:rPr>
        <w:t>B-double, until such time as the truck and dog combination is fully roll</w:t>
      </w:r>
      <w:r w:rsidR="0063112D">
        <w:rPr>
          <w:rFonts w:asciiTheme="minorHAnsi" w:hAnsiTheme="minorHAnsi"/>
        </w:rPr>
        <w:t>-coupled; and</w:t>
      </w:r>
    </w:p>
    <w:p w:rsidR="00633E1A" w:rsidRDefault="00633E1A" w:rsidP="005114F2">
      <w:pPr>
        <w:pStyle w:val="ListParagraph"/>
        <w:numPr>
          <w:ilvl w:val="0"/>
          <w:numId w:val="5"/>
        </w:numPr>
        <w:rPr>
          <w:rFonts w:asciiTheme="minorHAnsi" w:hAnsiTheme="minorHAnsi"/>
        </w:rPr>
      </w:pPr>
      <w:r w:rsidRPr="006667CD">
        <w:rPr>
          <w:rFonts w:asciiTheme="minorHAnsi" w:hAnsiTheme="minorHAnsi"/>
        </w:rPr>
        <w:t>20</w:t>
      </w:r>
      <w:r w:rsidR="00B24390">
        <w:rPr>
          <w:rFonts w:asciiTheme="minorHAnsi" w:hAnsiTheme="minorHAnsi"/>
        </w:rPr>
        <w:t xml:space="preserve"> </w:t>
      </w:r>
      <w:r w:rsidRPr="006667CD">
        <w:rPr>
          <w:rFonts w:asciiTheme="minorHAnsi" w:hAnsiTheme="minorHAnsi"/>
        </w:rPr>
        <w:t xml:space="preserve">metre PBS truck and dog combinations </w:t>
      </w:r>
      <w:r w:rsidR="00AB7F42">
        <w:rPr>
          <w:rFonts w:asciiTheme="minorHAnsi" w:hAnsiTheme="minorHAnsi"/>
        </w:rPr>
        <w:t>are</w:t>
      </w:r>
      <w:r w:rsidRPr="006667CD">
        <w:rPr>
          <w:rFonts w:asciiTheme="minorHAnsi" w:hAnsiTheme="minorHAnsi"/>
        </w:rPr>
        <w:t xml:space="preserve"> afforded prime mover selection benefits over 19</w:t>
      </w:r>
      <w:r w:rsidR="00AB7F42">
        <w:rPr>
          <w:rFonts w:asciiTheme="minorHAnsi" w:hAnsiTheme="minorHAnsi"/>
        </w:rPr>
        <w:t xml:space="preserve"> </w:t>
      </w:r>
      <w:r w:rsidRPr="006667CD">
        <w:rPr>
          <w:rFonts w:asciiTheme="minorHAnsi" w:hAnsiTheme="minorHAnsi"/>
        </w:rPr>
        <w:t xml:space="preserve">metre </w:t>
      </w:r>
      <w:r w:rsidR="00AB7F42">
        <w:rPr>
          <w:rFonts w:asciiTheme="minorHAnsi" w:hAnsiTheme="minorHAnsi"/>
        </w:rPr>
        <w:br/>
      </w:r>
      <w:r w:rsidRPr="006667CD">
        <w:rPr>
          <w:rFonts w:asciiTheme="minorHAnsi" w:hAnsiTheme="minorHAnsi"/>
        </w:rPr>
        <w:t>B-</w:t>
      </w:r>
      <w:r w:rsidRPr="00A35CCF">
        <w:rPr>
          <w:rFonts w:asciiTheme="minorHAnsi" w:hAnsiTheme="minorHAnsi"/>
        </w:rPr>
        <w:t>doubles (EAM</w:t>
      </w:r>
      <w:r w:rsidR="00A35CCF">
        <w:rPr>
          <w:rStyle w:val="FootnoteReference"/>
          <w:rFonts w:asciiTheme="minorHAnsi" w:hAnsiTheme="minorHAnsi"/>
        </w:rPr>
        <w:footnoteReference w:id="1"/>
      </w:r>
      <w:r w:rsidRPr="00A35CCF">
        <w:rPr>
          <w:rFonts w:asciiTheme="minorHAnsi" w:hAnsiTheme="minorHAnsi"/>
        </w:rPr>
        <w:t xml:space="preserve"> compliance</w:t>
      </w:r>
      <w:r w:rsidRPr="006667CD">
        <w:rPr>
          <w:rFonts w:asciiTheme="minorHAnsi" w:hAnsiTheme="minorHAnsi"/>
        </w:rPr>
        <w:t>).</w:t>
      </w:r>
    </w:p>
    <w:p w:rsidR="00633E1A" w:rsidRDefault="00633E1A" w:rsidP="00633E1A">
      <w:pPr>
        <w:rPr>
          <w:b/>
        </w:rPr>
      </w:pPr>
      <w:r w:rsidRPr="006667CD">
        <w:rPr>
          <w:b/>
        </w:rPr>
        <w:t>Q2</w:t>
      </w:r>
      <w:r w:rsidR="00690D10">
        <w:rPr>
          <w:b/>
        </w:rPr>
        <w:t xml:space="preserve"> </w:t>
      </w:r>
      <w:r w:rsidRPr="006667CD">
        <w:rPr>
          <w:b/>
        </w:rPr>
        <w:t>What fur</w:t>
      </w:r>
      <w:r w:rsidR="00690D10">
        <w:rPr>
          <w:b/>
        </w:rPr>
        <w:t>ther improvements to the NHVR</w:t>
      </w:r>
      <w:r w:rsidR="00F77047">
        <w:rPr>
          <w:b/>
        </w:rPr>
        <w:t>-</w:t>
      </w:r>
      <w:r w:rsidRPr="006667CD">
        <w:rPr>
          <w:b/>
        </w:rPr>
        <w:t xml:space="preserve">led PBS scheme are necessary to improve or expedite the approvals process </w:t>
      </w:r>
      <w:r w:rsidR="001F00B7">
        <w:rPr>
          <w:b/>
        </w:rPr>
        <w:t>for truck and dog combinations?</w:t>
      </w:r>
    </w:p>
    <w:p w:rsidR="00690D10" w:rsidRDefault="00633E1A" w:rsidP="00633E1A">
      <w:pPr>
        <w:rPr>
          <w:rFonts w:asciiTheme="minorHAnsi" w:hAnsiTheme="minorHAnsi"/>
        </w:rPr>
      </w:pPr>
      <w:r w:rsidRPr="00633E1A">
        <w:rPr>
          <w:rFonts w:asciiTheme="minorHAnsi" w:hAnsiTheme="minorHAnsi"/>
        </w:rPr>
        <w:t xml:space="preserve">The </w:t>
      </w:r>
      <w:r w:rsidR="001F00B7">
        <w:rPr>
          <w:rFonts w:asciiTheme="minorHAnsi" w:hAnsiTheme="minorHAnsi"/>
        </w:rPr>
        <w:t>NTC</w:t>
      </w:r>
      <w:r w:rsidRPr="00633E1A">
        <w:rPr>
          <w:rFonts w:asciiTheme="minorHAnsi" w:hAnsiTheme="minorHAnsi"/>
        </w:rPr>
        <w:t xml:space="preserve"> paper explores the option of delivering PBS efficiencies via a “prescriptive” design. </w:t>
      </w:r>
      <w:r w:rsidR="001F00B7">
        <w:rPr>
          <w:rFonts w:asciiTheme="minorHAnsi" w:hAnsiTheme="minorHAnsi"/>
        </w:rPr>
        <w:t xml:space="preserve">It also </w:t>
      </w:r>
      <w:r w:rsidRPr="00633E1A">
        <w:rPr>
          <w:rFonts w:asciiTheme="minorHAnsi" w:hAnsiTheme="minorHAnsi"/>
        </w:rPr>
        <w:t xml:space="preserve">explores dimensional envelopes and power requirements. </w:t>
      </w:r>
    </w:p>
    <w:p w:rsidR="00DA7427" w:rsidRDefault="00DA7427" w:rsidP="00633E1A">
      <w:pPr>
        <w:rPr>
          <w:rFonts w:asciiTheme="minorHAnsi" w:hAnsiTheme="minorHAnsi"/>
        </w:rPr>
      </w:pPr>
    </w:p>
    <w:p w:rsidR="00690D10" w:rsidRDefault="00633E1A" w:rsidP="00633E1A">
      <w:pPr>
        <w:rPr>
          <w:rFonts w:asciiTheme="minorHAnsi" w:hAnsiTheme="minorHAnsi"/>
        </w:rPr>
      </w:pPr>
      <w:r w:rsidRPr="00633E1A">
        <w:rPr>
          <w:rFonts w:asciiTheme="minorHAnsi" w:hAnsiTheme="minorHAnsi"/>
        </w:rPr>
        <w:t>In 1996</w:t>
      </w:r>
      <w:r w:rsidR="001F00B7">
        <w:rPr>
          <w:rFonts w:asciiTheme="minorHAnsi" w:hAnsiTheme="minorHAnsi"/>
        </w:rPr>
        <w:t>,</w:t>
      </w:r>
      <w:r w:rsidRPr="00633E1A">
        <w:rPr>
          <w:rFonts w:asciiTheme="minorHAnsi" w:hAnsiTheme="minorHAnsi"/>
        </w:rPr>
        <w:t xml:space="preserve"> </w:t>
      </w:r>
      <w:r w:rsidRPr="001F00B7">
        <w:rPr>
          <w:rFonts w:asciiTheme="minorHAnsi" w:hAnsiTheme="minorHAnsi"/>
          <w:i/>
        </w:rPr>
        <w:t>Roaduser Research</w:t>
      </w:r>
      <w:r w:rsidRPr="00633E1A">
        <w:rPr>
          <w:rFonts w:asciiTheme="minorHAnsi" w:hAnsiTheme="minorHAnsi"/>
        </w:rPr>
        <w:t xml:space="preserve"> reviewed </w:t>
      </w:r>
      <w:r w:rsidR="00690D10">
        <w:rPr>
          <w:rFonts w:asciiTheme="minorHAnsi" w:hAnsiTheme="minorHAnsi"/>
        </w:rPr>
        <w:t xml:space="preserve">the </w:t>
      </w:r>
      <w:r w:rsidR="00690D10" w:rsidRPr="00633E1A">
        <w:rPr>
          <w:rFonts w:asciiTheme="minorHAnsi" w:hAnsiTheme="minorHAnsi"/>
        </w:rPr>
        <w:t xml:space="preserve">dynamic performance </w:t>
      </w:r>
      <w:r w:rsidR="00690D10">
        <w:rPr>
          <w:rFonts w:asciiTheme="minorHAnsi" w:hAnsiTheme="minorHAnsi"/>
        </w:rPr>
        <w:t xml:space="preserve">of </w:t>
      </w:r>
      <w:r w:rsidRPr="00633E1A">
        <w:rPr>
          <w:rFonts w:asciiTheme="minorHAnsi" w:hAnsiTheme="minorHAnsi"/>
        </w:rPr>
        <w:t>truck</w:t>
      </w:r>
      <w:r w:rsidR="00690D10">
        <w:rPr>
          <w:rFonts w:asciiTheme="minorHAnsi" w:hAnsiTheme="minorHAnsi"/>
        </w:rPr>
        <w:t>s</w:t>
      </w:r>
      <w:r w:rsidRPr="00633E1A">
        <w:rPr>
          <w:rFonts w:asciiTheme="minorHAnsi" w:hAnsiTheme="minorHAnsi"/>
        </w:rPr>
        <w:t xml:space="preserve"> and dog</w:t>
      </w:r>
      <w:r w:rsidR="00690D10">
        <w:rPr>
          <w:rFonts w:asciiTheme="minorHAnsi" w:hAnsiTheme="minorHAnsi"/>
        </w:rPr>
        <w:t>s</w:t>
      </w:r>
      <w:r w:rsidRPr="00633E1A">
        <w:rPr>
          <w:rFonts w:asciiTheme="minorHAnsi" w:hAnsiTheme="minorHAnsi"/>
        </w:rPr>
        <w:t xml:space="preserve">, identified primary performance influences and expanded this into </w:t>
      </w:r>
      <w:r w:rsidR="00690D10">
        <w:rPr>
          <w:rFonts w:asciiTheme="minorHAnsi" w:hAnsiTheme="minorHAnsi"/>
        </w:rPr>
        <w:t xml:space="preserve">a </w:t>
      </w:r>
      <w:r w:rsidRPr="00633E1A">
        <w:rPr>
          <w:rFonts w:asciiTheme="minorHAnsi" w:hAnsiTheme="minorHAnsi"/>
        </w:rPr>
        <w:t xml:space="preserve">reference formula.  </w:t>
      </w:r>
    </w:p>
    <w:p w:rsidR="00690D10" w:rsidRDefault="00690D10" w:rsidP="00633E1A">
      <w:pPr>
        <w:rPr>
          <w:rFonts w:asciiTheme="minorHAnsi" w:hAnsiTheme="minorHAnsi"/>
        </w:rPr>
      </w:pPr>
    </w:p>
    <w:p w:rsidR="00633E1A" w:rsidRPr="00633E1A" w:rsidRDefault="00633E1A" w:rsidP="00633E1A">
      <w:pPr>
        <w:rPr>
          <w:rFonts w:asciiTheme="minorHAnsi" w:hAnsiTheme="minorHAnsi"/>
        </w:rPr>
      </w:pPr>
      <w:r w:rsidRPr="00633E1A">
        <w:rPr>
          <w:rFonts w:asciiTheme="minorHAnsi" w:hAnsiTheme="minorHAnsi"/>
        </w:rPr>
        <w:t xml:space="preserve">The design reference to a formula </w:t>
      </w:r>
      <w:r w:rsidR="00CE0343">
        <w:rPr>
          <w:rFonts w:asciiTheme="minorHAnsi" w:hAnsiTheme="minorHAnsi"/>
        </w:rPr>
        <w:t>was then</w:t>
      </w:r>
      <w:r w:rsidRPr="00633E1A">
        <w:rPr>
          <w:rFonts w:asciiTheme="minorHAnsi" w:hAnsiTheme="minorHAnsi"/>
        </w:rPr>
        <w:t xml:space="preserve"> used in the </w:t>
      </w:r>
      <w:r w:rsidR="001D7500">
        <w:rPr>
          <w:rFonts w:asciiTheme="minorHAnsi" w:hAnsiTheme="minorHAnsi"/>
        </w:rPr>
        <w:t>ATA’s</w:t>
      </w:r>
      <w:r w:rsidRPr="00633E1A">
        <w:rPr>
          <w:rFonts w:asciiTheme="minorHAnsi" w:hAnsiTheme="minorHAnsi"/>
        </w:rPr>
        <w:t xml:space="preserve"> Technical Advisory Procedure</w:t>
      </w:r>
      <w:r w:rsidR="002A34FB">
        <w:rPr>
          <w:rStyle w:val="FootnoteReference"/>
          <w:rFonts w:asciiTheme="minorHAnsi" w:hAnsiTheme="minorHAnsi"/>
        </w:rPr>
        <w:footnoteReference w:id="2"/>
      </w:r>
      <w:r w:rsidRPr="00633E1A">
        <w:rPr>
          <w:rFonts w:asciiTheme="minorHAnsi" w:hAnsiTheme="minorHAnsi"/>
        </w:rPr>
        <w:t xml:space="preserve"> (TAP</w:t>
      </w:r>
      <w:r w:rsidR="002A34FB">
        <w:rPr>
          <w:rFonts w:asciiTheme="minorHAnsi" w:hAnsiTheme="minorHAnsi"/>
        </w:rPr>
        <w:t>)</w:t>
      </w:r>
      <w:r w:rsidR="001F00B7">
        <w:rPr>
          <w:rFonts w:asciiTheme="minorHAnsi" w:hAnsiTheme="minorHAnsi"/>
        </w:rPr>
        <w:t xml:space="preserve"> </w:t>
      </w:r>
      <w:r w:rsidRPr="00633E1A">
        <w:rPr>
          <w:rFonts w:asciiTheme="minorHAnsi" w:hAnsiTheme="minorHAnsi"/>
        </w:rPr>
        <w:t xml:space="preserve">and this principle results in a highly useful design check tool. The NTC is encouraged to develop a similar </w:t>
      </w:r>
      <w:r w:rsidR="00C31F30">
        <w:rPr>
          <w:rFonts w:asciiTheme="minorHAnsi" w:hAnsiTheme="minorHAnsi"/>
        </w:rPr>
        <w:t xml:space="preserve">design check </w:t>
      </w:r>
      <w:r w:rsidRPr="00633E1A">
        <w:rPr>
          <w:rFonts w:asciiTheme="minorHAnsi" w:hAnsiTheme="minorHAnsi"/>
        </w:rPr>
        <w:t xml:space="preserve">tool for prescriptive designs for six and seven axle truck and dog combinations at </w:t>
      </w:r>
      <w:r w:rsidR="001F00B7">
        <w:rPr>
          <w:rFonts w:asciiTheme="minorHAnsi" w:hAnsiTheme="minorHAnsi"/>
        </w:rPr>
        <w:t xml:space="preserve">PBS mass </w:t>
      </w:r>
      <w:r w:rsidR="00C31F30">
        <w:rPr>
          <w:rFonts w:asciiTheme="minorHAnsi" w:hAnsiTheme="minorHAnsi"/>
        </w:rPr>
        <w:t>limits</w:t>
      </w:r>
      <w:r w:rsidR="001F00B7" w:rsidRPr="00055D56">
        <w:rPr>
          <w:rFonts w:asciiTheme="minorHAnsi" w:hAnsiTheme="minorHAnsi"/>
        </w:rPr>
        <w:t>.</w:t>
      </w:r>
      <w:r w:rsidR="00C31F30">
        <w:rPr>
          <w:rFonts w:asciiTheme="minorHAnsi" w:hAnsiTheme="minorHAnsi"/>
        </w:rPr>
        <w:t xml:space="preserve"> This would allow operators to self-certify prescriptive designs and avoid an otherwise lengthy process.</w:t>
      </w:r>
    </w:p>
    <w:p w:rsidR="00690D10" w:rsidRDefault="00690D10" w:rsidP="00633E1A">
      <w:pPr>
        <w:rPr>
          <w:rFonts w:asciiTheme="minorHAnsi" w:hAnsiTheme="minorHAnsi"/>
        </w:rPr>
      </w:pPr>
    </w:p>
    <w:p w:rsidR="00633E1A" w:rsidRPr="006667CD" w:rsidRDefault="00633E1A" w:rsidP="00633E1A">
      <w:pPr>
        <w:rPr>
          <w:b/>
        </w:rPr>
      </w:pPr>
      <w:r w:rsidRPr="006667CD">
        <w:rPr>
          <w:b/>
        </w:rPr>
        <w:t>Q3</w:t>
      </w:r>
      <w:r w:rsidR="00690D10">
        <w:rPr>
          <w:b/>
        </w:rPr>
        <w:t xml:space="preserve"> </w:t>
      </w:r>
      <w:r w:rsidRPr="006667CD">
        <w:rPr>
          <w:b/>
        </w:rPr>
        <w:t>What aspects of the current PBS scheme hav</w:t>
      </w:r>
      <w:r w:rsidR="00690D10">
        <w:rPr>
          <w:b/>
        </w:rPr>
        <w:t>e attracted you to participate?</w:t>
      </w:r>
    </w:p>
    <w:p w:rsidR="00327452" w:rsidRDefault="00690D10" w:rsidP="00633E1A">
      <w:pPr>
        <w:rPr>
          <w:rFonts w:asciiTheme="minorHAnsi" w:hAnsiTheme="minorHAnsi"/>
        </w:rPr>
      </w:pPr>
      <w:r>
        <w:rPr>
          <w:rFonts w:asciiTheme="minorHAnsi" w:hAnsiTheme="minorHAnsi"/>
        </w:rPr>
        <w:t xml:space="preserve">Some </w:t>
      </w:r>
      <w:r w:rsidR="00633E1A" w:rsidRPr="00633E1A">
        <w:rPr>
          <w:rFonts w:asciiTheme="minorHAnsi" w:hAnsiTheme="minorHAnsi"/>
        </w:rPr>
        <w:t xml:space="preserve">operators </w:t>
      </w:r>
      <w:r w:rsidR="00266FD2">
        <w:rPr>
          <w:rFonts w:asciiTheme="minorHAnsi" w:hAnsiTheme="minorHAnsi"/>
        </w:rPr>
        <w:t xml:space="preserve">reported </w:t>
      </w:r>
      <w:r>
        <w:rPr>
          <w:rFonts w:asciiTheme="minorHAnsi" w:hAnsiTheme="minorHAnsi"/>
        </w:rPr>
        <w:t xml:space="preserve">the </w:t>
      </w:r>
      <w:r w:rsidR="00327452">
        <w:rPr>
          <w:rFonts w:asciiTheme="minorHAnsi" w:hAnsiTheme="minorHAnsi"/>
        </w:rPr>
        <w:t xml:space="preserve">use of </w:t>
      </w:r>
      <w:r w:rsidR="00633E1A" w:rsidRPr="00633E1A">
        <w:rPr>
          <w:rFonts w:asciiTheme="minorHAnsi" w:hAnsiTheme="minorHAnsi"/>
        </w:rPr>
        <w:t xml:space="preserve">B-double </w:t>
      </w:r>
      <w:r w:rsidR="00266FD2">
        <w:rPr>
          <w:rFonts w:asciiTheme="minorHAnsi" w:hAnsiTheme="minorHAnsi"/>
        </w:rPr>
        <w:t xml:space="preserve">vehicle </w:t>
      </w:r>
      <w:r w:rsidR="00633E1A" w:rsidRPr="00633E1A">
        <w:rPr>
          <w:rFonts w:asciiTheme="minorHAnsi" w:hAnsiTheme="minorHAnsi"/>
        </w:rPr>
        <w:t>configurations</w:t>
      </w:r>
      <w:r w:rsidR="00327452">
        <w:rPr>
          <w:rFonts w:asciiTheme="minorHAnsi" w:hAnsiTheme="minorHAnsi"/>
        </w:rPr>
        <w:t xml:space="preserve"> </w:t>
      </w:r>
      <w:r w:rsidR="00266FD2">
        <w:rPr>
          <w:rFonts w:asciiTheme="minorHAnsi" w:hAnsiTheme="minorHAnsi"/>
        </w:rPr>
        <w:t xml:space="preserve">and </w:t>
      </w:r>
      <w:r w:rsidR="00327452">
        <w:rPr>
          <w:rFonts w:asciiTheme="minorHAnsi" w:hAnsiTheme="minorHAnsi"/>
        </w:rPr>
        <w:t>that they also held</w:t>
      </w:r>
      <w:r w:rsidR="00633E1A" w:rsidRPr="00633E1A">
        <w:rPr>
          <w:rFonts w:asciiTheme="minorHAnsi" w:hAnsiTheme="minorHAnsi"/>
        </w:rPr>
        <w:t xml:space="preserve"> a number of other PBS approvals.</w:t>
      </w:r>
    </w:p>
    <w:p w:rsidR="00327452" w:rsidRDefault="00327452" w:rsidP="00633E1A">
      <w:pPr>
        <w:rPr>
          <w:rFonts w:asciiTheme="minorHAnsi" w:hAnsiTheme="minorHAnsi"/>
        </w:rPr>
      </w:pPr>
    </w:p>
    <w:p w:rsidR="00633E1A" w:rsidRDefault="00266FD2" w:rsidP="00633E1A">
      <w:pPr>
        <w:rPr>
          <w:rFonts w:asciiTheme="minorHAnsi" w:hAnsiTheme="minorHAnsi"/>
        </w:rPr>
      </w:pPr>
      <w:r>
        <w:rPr>
          <w:rFonts w:asciiTheme="minorHAnsi" w:hAnsiTheme="minorHAnsi"/>
        </w:rPr>
        <w:t>Improved p</w:t>
      </w:r>
      <w:r w:rsidR="00633E1A" w:rsidRPr="00633E1A">
        <w:rPr>
          <w:rFonts w:asciiTheme="minorHAnsi" w:hAnsiTheme="minorHAnsi"/>
        </w:rPr>
        <w:t xml:space="preserve">roductivity and </w:t>
      </w:r>
      <w:r w:rsidR="00BA1C11">
        <w:rPr>
          <w:rFonts w:asciiTheme="minorHAnsi" w:hAnsiTheme="minorHAnsi"/>
        </w:rPr>
        <w:t>reduced costs</w:t>
      </w:r>
      <w:r w:rsidR="00633E1A" w:rsidRPr="00633E1A">
        <w:rPr>
          <w:rFonts w:asciiTheme="minorHAnsi" w:hAnsiTheme="minorHAnsi"/>
        </w:rPr>
        <w:t xml:space="preserve"> </w:t>
      </w:r>
      <w:r w:rsidR="00327452">
        <w:rPr>
          <w:rFonts w:asciiTheme="minorHAnsi" w:hAnsiTheme="minorHAnsi"/>
        </w:rPr>
        <w:t>remain</w:t>
      </w:r>
      <w:r w:rsidR="00633E1A" w:rsidRPr="00633E1A">
        <w:rPr>
          <w:rFonts w:asciiTheme="minorHAnsi" w:hAnsiTheme="minorHAnsi"/>
        </w:rPr>
        <w:t xml:space="preserve"> the </w:t>
      </w:r>
      <w:r>
        <w:rPr>
          <w:rFonts w:asciiTheme="minorHAnsi" w:hAnsiTheme="minorHAnsi"/>
        </w:rPr>
        <w:t xml:space="preserve">twin </w:t>
      </w:r>
      <w:r w:rsidR="00633E1A" w:rsidRPr="00633E1A">
        <w:rPr>
          <w:rFonts w:asciiTheme="minorHAnsi" w:hAnsiTheme="minorHAnsi"/>
        </w:rPr>
        <w:t>motivation</w:t>
      </w:r>
      <w:r w:rsidR="00327452">
        <w:rPr>
          <w:rFonts w:asciiTheme="minorHAnsi" w:hAnsiTheme="minorHAnsi"/>
        </w:rPr>
        <w:t>s</w:t>
      </w:r>
      <w:r w:rsidR="00633E1A" w:rsidRPr="00633E1A">
        <w:rPr>
          <w:rFonts w:asciiTheme="minorHAnsi" w:hAnsiTheme="minorHAnsi"/>
        </w:rPr>
        <w:t xml:space="preserve"> for </w:t>
      </w:r>
      <w:r w:rsidR="00BA1C11">
        <w:rPr>
          <w:rFonts w:asciiTheme="minorHAnsi" w:hAnsiTheme="minorHAnsi"/>
        </w:rPr>
        <w:t xml:space="preserve">operator </w:t>
      </w:r>
      <w:r w:rsidR="00633E1A" w:rsidRPr="00633E1A">
        <w:rPr>
          <w:rFonts w:asciiTheme="minorHAnsi" w:hAnsiTheme="minorHAnsi"/>
        </w:rPr>
        <w:t xml:space="preserve">participation </w:t>
      </w:r>
      <w:r w:rsidR="00327452">
        <w:rPr>
          <w:rFonts w:asciiTheme="minorHAnsi" w:hAnsiTheme="minorHAnsi"/>
        </w:rPr>
        <w:t>in the</w:t>
      </w:r>
      <w:r w:rsidR="00633E1A" w:rsidRPr="00633E1A">
        <w:rPr>
          <w:rFonts w:asciiTheme="minorHAnsi" w:hAnsiTheme="minorHAnsi"/>
        </w:rPr>
        <w:t xml:space="preserve"> PBS</w:t>
      </w:r>
      <w:r w:rsidR="00327452">
        <w:rPr>
          <w:rFonts w:asciiTheme="minorHAnsi" w:hAnsiTheme="minorHAnsi"/>
        </w:rPr>
        <w:t xml:space="preserve">. </w:t>
      </w:r>
      <w:r w:rsidR="00D973D7">
        <w:rPr>
          <w:rFonts w:asciiTheme="minorHAnsi" w:hAnsiTheme="minorHAnsi"/>
        </w:rPr>
        <w:t>Th</w:t>
      </w:r>
      <w:r w:rsidR="00163FEC">
        <w:rPr>
          <w:rFonts w:asciiTheme="minorHAnsi" w:hAnsiTheme="minorHAnsi"/>
        </w:rPr>
        <w:t>is</w:t>
      </w:r>
      <w:r w:rsidR="00D973D7">
        <w:rPr>
          <w:rFonts w:asciiTheme="minorHAnsi" w:hAnsiTheme="minorHAnsi"/>
        </w:rPr>
        <w:t xml:space="preserve"> scheme </w:t>
      </w:r>
      <w:r w:rsidR="00327452">
        <w:rPr>
          <w:rFonts w:asciiTheme="minorHAnsi" w:hAnsiTheme="minorHAnsi"/>
        </w:rPr>
        <w:t xml:space="preserve">is still </w:t>
      </w:r>
      <w:r w:rsidR="00633E1A" w:rsidRPr="00633E1A">
        <w:rPr>
          <w:rFonts w:asciiTheme="minorHAnsi" w:hAnsiTheme="minorHAnsi"/>
        </w:rPr>
        <w:t xml:space="preserve">the only available means </w:t>
      </w:r>
      <w:r w:rsidR="007E4DB2">
        <w:rPr>
          <w:rFonts w:asciiTheme="minorHAnsi" w:hAnsiTheme="minorHAnsi"/>
        </w:rPr>
        <w:t>(</w:t>
      </w:r>
      <w:r w:rsidR="005755F4">
        <w:rPr>
          <w:rFonts w:asciiTheme="minorHAnsi" w:hAnsiTheme="minorHAnsi"/>
        </w:rPr>
        <w:t>excluding livestock transport options</w:t>
      </w:r>
      <w:r w:rsidR="007E4DB2">
        <w:rPr>
          <w:rFonts w:asciiTheme="minorHAnsi" w:hAnsiTheme="minorHAnsi"/>
        </w:rPr>
        <w:t xml:space="preserve">) </w:t>
      </w:r>
      <w:r w:rsidR="00327452">
        <w:rPr>
          <w:rFonts w:asciiTheme="minorHAnsi" w:hAnsiTheme="minorHAnsi"/>
        </w:rPr>
        <w:t>of</w:t>
      </w:r>
      <w:r w:rsidR="00633E1A" w:rsidRPr="00633E1A">
        <w:rPr>
          <w:rFonts w:asciiTheme="minorHAnsi" w:hAnsiTheme="minorHAnsi"/>
        </w:rPr>
        <w:t xml:space="preserve"> increasing dimension (volumetric productivity) </w:t>
      </w:r>
      <w:r w:rsidR="00327452">
        <w:rPr>
          <w:rFonts w:asciiTheme="minorHAnsi" w:hAnsiTheme="minorHAnsi"/>
        </w:rPr>
        <w:t>and</w:t>
      </w:r>
      <w:r w:rsidR="00633E1A" w:rsidRPr="00633E1A">
        <w:rPr>
          <w:rFonts w:asciiTheme="minorHAnsi" w:hAnsiTheme="minorHAnsi"/>
        </w:rPr>
        <w:t xml:space="preserve"> mass (4.6metre high trailers).</w:t>
      </w:r>
    </w:p>
    <w:p w:rsidR="00690D10" w:rsidRPr="00633E1A" w:rsidRDefault="00690D10" w:rsidP="00633E1A">
      <w:pPr>
        <w:rPr>
          <w:rFonts w:asciiTheme="minorHAnsi" w:hAnsiTheme="minorHAnsi"/>
        </w:rPr>
      </w:pPr>
    </w:p>
    <w:p w:rsidR="00633E1A" w:rsidRDefault="006D0ACD" w:rsidP="00633E1A">
      <w:pPr>
        <w:rPr>
          <w:rFonts w:asciiTheme="minorHAnsi" w:hAnsiTheme="minorHAnsi"/>
        </w:rPr>
      </w:pPr>
      <w:r>
        <w:rPr>
          <w:rFonts w:asciiTheme="minorHAnsi" w:hAnsiTheme="minorHAnsi"/>
        </w:rPr>
        <w:t xml:space="preserve">With respect to infrastructure, </w:t>
      </w:r>
      <w:r w:rsidR="00327452">
        <w:rPr>
          <w:rFonts w:asciiTheme="minorHAnsi" w:hAnsiTheme="minorHAnsi"/>
        </w:rPr>
        <w:t xml:space="preserve">neither </w:t>
      </w:r>
      <w:r>
        <w:rPr>
          <w:rFonts w:asciiTheme="minorHAnsi" w:hAnsiTheme="minorHAnsi"/>
        </w:rPr>
        <w:t xml:space="preserve">road </w:t>
      </w:r>
      <w:r w:rsidR="00633E1A" w:rsidRPr="00633E1A">
        <w:rPr>
          <w:rFonts w:asciiTheme="minorHAnsi" w:hAnsiTheme="minorHAnsi"/>
        </w:rPr>
        <w:t xml:space="preserve">pavement </w:t>
      </w:r>
      <w:r w:rsidR="00327452">
        <w:rPr>
          <w:rFonts w:asciiTheme="minorHAnsi" w:hAnsiTheme="minorHAnsi"/>
        </w:rPr>
        <w:t>nor</w:t>
      </w:r>
      <w:r w:rsidR="00633E1A" w:rsidRPr="00633E1A">
        <w:rPr>
          <w:rFonts w:asciiTheme="minorHAnsi" w:hAnsiTheme="minorHAnsi"/>
        </w:rPr>
        <w:t xml:space="preserve"> bridge</w:t>
      </w:r>
      <w:r>
        <w:rPr>
          <w:rFonts w:asciiTheme="minorHAnsi" w:hAnsiTheme="minorHAnsi"/>
        </w:rPr>
        <w:t>s</w:t>
      </w:r>
      <w:r w:rsidR="00633E1A" w:rsidRPr="00633E1A">
        <w:rPr>
          <w:rFonts w:asciiTheme="minorHAnsi" w:hAnsiTheme="minorHAnsi"/>
        </w:rPr>
        <w:t xml:space="preserve"> </w:t>
      </w:r>
      <w:r w:rsidR="00B24390">
        <w:rPr>
          <w:rFonts w:asciiTheme="minorHAnsi" w:hAnsiTheme="minorHAnsi"/>
        </w:rPr>
        <w:t>respond differently to</w:t>
      </w:r>
      <w:r w:rsidR="00633E1A" w:rsidRPr="00633E1A">
        <w:rPr>
          <w:rFonts w:asciiTheme="minorHAnsi" w:hAnsiTheme="minorHAnsi"/>
        </w:rPr>
        <w:t xml:space="preserve"> </w:t>
      </w:r>
      <w:r w:rsidR="00327452">
        <w:rPr>
          <w:rFonts w:asciiTheme="minorHAnsi" w:hAnsiTheme="minorHAnsi"/>
        </w:rPr>
        <w:t xml:space="preserve">access by </w:t>
      </w:r>
      <w:r w:rsidR="00633E1A" w:rsidRPr="00633E1A">
        <w:rPr>
          <w:rFonts w:asciiTheme="minorHAnsi" w:hAnsiTheme="minorHAnsi"/>
        </w:rPr>
        <w:t xml:space="preserve">a truck and dog or </w:t>
      </w:r>
      <w:r w:rsidR="00327452">
        <w:rPr>
          <w:rFonts w:asciiTheme="minorHAnsi" w:hAnsiTheme="minorHAnsi"/>
        </w:rPr>
        <w:t xml:space="preserve">by </w:t>
      </w:r>
      <w:r w:rsidR="00633E1A" w:rsidRPr="00633E1A">
        <w:rPr>
          <w:rFonts w:asciiTheme="minorHAnsi" w:hAnsiTheme="minorHAnsi"/>
        </w:rPr>
        <w:t>a B-double of the same axle configuration</w:t>
      </w:r>
      <w:r w:rsidR="00291675">
        <w:rPr>
          <w:rFonts w:asciiTheme="minorHAnsi" w:hAnsiTheme="minorHAnsi"/>
        </w:rPr>
        <w:t>. T</w:t>
      </w:r>
      <w:r>
        <w:rPr>
          <w:rFonts w:asciiTheme="minorHAnsi" w:hAnsiTheme="minorHAnsi"/>
        </w:rPr>
        <w:t>he disparity in registration costs</w:t>
      </w:r>
      <w:r w:rsidR="00B61B09">
        <w:rPr>
          <w:rFonts w:asciiTheme="minorHAnsi" w:hAnsiTheme="minorHAnsi"/>
        </w:rPr>
        <w:t xml:space="preserve">, </w:t>
      </w:r>
      <w:r w:rsidR="001F3702">
        <w:rPr>
          <w:rFonts w:asciiTheme="minorHAnsi" w:hAnsiTheme="minorHAnsi"/>
        </w:rPr>
        <w:t xml:space="preserve">as </w:t>
      </w:r>
      <w:r w:rsidR="00B61B09">
        <w:rPr>
          <w:rFonts w:asciiTheme="minorHAnsi" w:hAnsiTheme="minorHAnsi"/>
        </w:rPr>
        <w:t>noted in section 1 above,</w:t>
      </w:r>
      <w:r w:rsidR="0097508B">
        <w:rPr>
          <w:rFonts w:asciiTheme="minorHAnsi" w:hAnsiTheme="minorHAnsi"/>
        </w:rPr>
        <w:t xml:space="preserve"> between these two types of vehicle combination</w:t>
      </w:r>
      <w:r w:rsidR="00291675">
        <w:rPr>
          <w:rFonts w:asciiTheme="minorHAnsi" w:hAnsiTheme="minorHAnsi"/>
        </w:rPr>
        <w:t xml:space="preserve"> therefore needs explanation</w:t>
      </w:r>
      <w:r>
        <w:rPr>
          <w:rFonts w:asciiTheme="minorHAnsi" w:hAnsiTheme="minorHAnsi"/>
        </w:rPr>
        <w:t>.</w:t>
      </w:r>
    </w:p>
    <w:p w:rsidR="00B24390" w:rsidRDefault="00B24390" w:rsidP="00633E1A">
      <w:pPr>
        <w:rPr>
          <w:rFonts w:asciiTheme="minorHAnsi" w:hAnsiTheme="minorHAnsi"/>
        </w:rPr>
      </w:pPr>
    </w:p>
    <w:p w:rsidR="00B24390" w:rsidRDefault="001F3702" w:rsidP="00B24390">
      <w:pPr>
        <w:rPr>
          <w:rFonts w:asciiTheme="minorHAnsi" w:hAnsiTheme="minorHAnsi"/>
        </w:rPr>
      </w:pPr>
      <w:r>
        <w:rPr>
          <w:rFonts w:asciiTheme="minorHAnsi" w:hAnsiTheme="minorHAnsi"/>
        </w:rPr>
        <w:t>As also</w:t>
      </w:r>
      <w:r w:rsidR="00CC161B">
        <w:rPr>
          <w:rFonts w:asciiTheme="minorHAnsi" w:hAnsiTheme="minorHAnsi"/>
        </w:rPr>
        <w:t xml:space="preserve"> noted, the</w:t>
      </w:r>
      <w:r>
        <w:rPr>
          <w:rFonts w:asciiTheme="minorHAnsi" w:hAnsiTheme="minorHAnsi"/>
        </w:rPr>
        <w:t xml:space="preserve">re is the </w:t>
      </w:r>
      <w:r w:rsidR="00CC161B" w:rsidRPr="00040F2E">
        <w:rPr>
          <w:rFonts w:asciiTheme="minorHAnsi" w:hAnsiTheme="minorHAnsi"/>
        </w:rPr>
        <w:t>outstanding matter of comprehensive (published) PBS Access level networks</w:t>
      </w:r>
      <w:r w:rsidR="00CC161B">
        <w:rPr>
          <w:rFonts w:asciiTheme="minorHAnsi" w:hAnsiTheme="minorHAnsi"/>
        </w:rPr>
        <w:t xml:space="preserve"> </w:t>
      </w:r>
      <w:r>
        <w:rPr>
          <w:rFonts w:asciiTheme="minorHAnsi" w:hAnsiTheme="minorHAnsi"/>
        </w:rPr>
        <w:t>after</w:t>
      </w:r>
      <w:r w:rsidRPr="00040F2E">
        <w:rPr>
          <w:rFonts w:asciiTheme="minorHAnsi" w:hAnsiTheme="minorHAnsi"/>
        </w:rPr>
        <w:t xml:space="preserve"> years </w:t>
      </w:r>
      <w:r>
        <w:rPr>
          <w:rFonts w:asciiTheme="minorHAnsi" w:hAnsiTheme="minorHAnsi"/>
        </w:rPr>
        <w:t>of</w:t>
      </w:r>
      <w:r w:rsidRPr="00040F2E">
        <w:rPr>
          <w:rFonts w:asciiTheme="minorHAnsi" w:hAnsiTheme="minorHAnsi"/>
        </w:rPr>
        <w:t xml:space="preserve"> PBS</w:t>
      </w:r>
      <w:r>
        <w:rPr>
          <w:rFonts w:asciiTheme="minorHAnsi" w:hAnsiTheme="minorHAnsi"/>
        </w:rPr>
        <w:t xml:space="preserve"> vehicle approvals</w:t>
      </w:r>
      <w:r w:rsidR="00CC161B" w:rsidRPr="00040F2E">
        <w:rPr>
          <w:rFonts w:asciiTheme="minorHAnsi" w:hAnsiTheme="minorHAnsi"/>
        </w:rPr>
        <w:t>.</w:t>
      </w:r>
      <w:r w:rsidR="00CC161B">
        <w:rPr>
          <w:rFonts w:asciiTheme="minorHAnsi" w:hAnsiTheme="minorHAnsi"/>
        </w:rPr>
        <w:t xml:space="preserve"> For all levels of PBS access, t</w:t>
      </w:r>
      <w:r w:rsidR="00CC161B" w:rsidRPr="00040F2E">
        <w:rPr>
          <w:rFonts w:asciiTheme="minorHAnsi" w:hAnsiTheme="minorHAnsi"/>
        </w:rPr>
        <w:t>he broader principle of network maps needs to be addressed</w:t>
      </w:r>
      <w:r w:rsidR="001C1684">
        <w:rPr>
          <w:rFonts w:asciiTheme="minorHAnsi" w:hAnsiTheme="minorHAnsi"/>
        </w:rPr>
        <w:t>.</w:t>
      </w:r>
    </w:p>
    <w:p w:rsidR="00CC161B" w:rsidRDefault="00CC161B" w:rsidP="00B24390">
      <w:pPr>
        <w:rPr>
          <w:rFonts w:asciiTheme="minorHAnsi" w:hAnsiTheme="minorHAnsi"/>
        </w:rPr>
      </w:pPr>
    </w:p>
    <w:p w:rsidR="00B61B09" w:rsidRDefault="0078473C" w:rsidP="00B24390">
      <w:pPr>
        <w:rPr>
          <w:rFonts w:asciiTheme="minorHAnsi" w:hAnsiTheme="minorHAnsi"/>
        </w:rPr>
      </w:pPr>
      <w:r>
        <w:rPr>
          <w:rFonts w:asciiTheme="minorHAnsi" w:hAnsiTheme="minorHAnsi"/>
        </w:rPr>
        <w:t xml:space="preserve">An access table is provided below that indicates stakeholder </w:t>
      </w:r>
      <w:r w:rsidR="002E1554">
        <w:rPr>
          <w:rFonts w:asciiTheme="minorHAnsi" w:hAnsiTheme="minorHAnsi"/>
        </w:rPr>
        <w:t>understanding</w:t>
      </w:r>
      <w:r>
        <w:rPr>
          <w:rFonts w:asciiTheme="minorHAnsi" w:hAnsiTheme="minorHAnsi"/>
        </w:rPr>
        <w:t xml:space="preserve"> </w:t>
      </w:r>
      <w:r w:rsidR="002E1554">
        <w:rPr>
          <w:rFonts w:asciiTheme="minorHAnsi" w:hAnsiTheme="minorHAnsi"/>
        </w:rPr>
        <w:t>of</w:t>
      </w:r>
      <w:r>
        <w:rPr>
          <w:rFonts w:asciiTheme="minorHAnsi" w:hAnsiTheme="minorHAnsi"/>
        </w:rPr>
        <w:t xml:space="preserve"> </w:t>
      </w:r>
      <w:r w:rsidR="002E1554" w:rsidRPr="0078473C">
        <w:rPr>
          <w:rFonts w:asciiTheme="minorHAnsi" w:hAnsiTheme="minorHAnsi"/>
        </w:rPr>
        <w:t xml:space="preserve">current access </w:t>
      </w:r>
      <w:r w:rsidR="002E1554">
        <w:rPr>
          <w:rFonts w:asciiTheme="minorHAnsi" w:hAnsiTheme="minorHAnsi"/>
        </w:rPr>
        <w:t>for</w:t>
      </w:r>
      <w:r w:rsidR="002E1554" w:rsidRPr="0078473C">
        <w:rPr>
          <w:rFonts w:asciiTheme="minorHAnsi" w:hAnsiTheme="minorHAnsi"/>
        </w:rPr>
        <w:t xml:space="preserve"> PBS vehicles</w:t>
      </w:r>
      <w:r w:rsidRPr="0078473C">
        <w:rPr>
          <w:rFonts w:asciiTheme="minorHAnsi" w:hAnsiTheme="minorHAnsi"/>
        </w:rPr>
        <w:t xml:space="preserve">. The ATA believes </w:t>
      </w:r>
      <w:r>
        <w:rPr>
          <w:rFonts w:asciiTheme="minorHAnsi" w:hAnsiTheme="minorHAnsi"/>
        </w:rPr>
        <w:t xml:space="preserve">the </w:t>
      </w:r>
      <w:r w:rsidR="00173DB5">
        <w:rPr>
          <w:rFonts w:asciiTheme="minorHAnsi" w:hAnsiTheme="minorHAnsi"/>
        </w:rPr>
        <w:t xml:space="preserve">NTC paper </w:t>
      </w:r>
      <w:r>
        <w:rPr>
          <w:rFonts w:asciiTheme="minorHAnsi" w:hAnsiTheme="minorHAnsi"/>
        </w:rPr>
        <w:t xml:space="preserve">overstates </w:t>
      </w:r>
      <w:r w:rsidR="00C8423D">
        <w:rPr>
          <w:rFonts w:asciiTheme="minorHAnsi" w:hAnsiTheme="minorHAnsi"/>
        </w:rPr>
        <w:t xml:space="preserve">the </w:t>
      </w:r>
      <w:r w:rsidR="008B1307">
        <w:rPr>
          <w:rFonts w:asciiTheme="minorHAnsi" w:hAnsiTheme="minorHAnsi"/>
        </w:rPr>
        <w:t xml:space="preserve">level of </w:t>
      </w:r>
      <w:r w:rsidRPr="0078473C">
        <w:rPr>
          <w:rFonts w:asciiTheme="minorHAnsi" w:hAnsiTheme="minorHAnsi"/>
        </w:rPr>
        <w:t>access.</w:t>
      </w:r>
    </w:p>
    <w:p w:rsidR="00B61B09" w:rsidRDefault="00B61B09" w:rsidP="00B24390">
      <w:pPr>
        <w:rPr>
          <w:rFonts w:asciiTheme="minorHAnsi" w:hAnsiTheme="minorHAnsi"/>
        </w:rPr>
      </w:pPr>
    </w:p>
    <w:tbl>
      <w:tblPr>
        <w:tblStyle w:val="TableGrid"/>
        <w:tblW w:w="0" w:type="auto"/>
        <w:tblLook w:val="04A0" w:firstRow="1" w:lastRow="0" w:firstColumn="1" w:lastColumn="0" w:noHBand="0" w:noVBand="1"/>
      </w:tblPr>
      <w:tblGrid>
        <w:gridCol w:w="1076"/>
        <w:gridCol w:w="1076"/>
        <w:gridCol w:w="1077"/>
        <w:gridCol w:w="1077"/>
        <w:gridCol w:w="1077"/>
        <w:gridCol w:w="1077"/>
        <w:gridCol w:w="1077"/>
        <w:gridCol w:w="1077"/>
      </w:tblGrid>
      <w:tr w:rsidR="00B24390" w:rsidRPr="00DA7427" w:rsidTr="00E55F87">
        <w:tc>
          <w:tcPr>
            <w:tcW w:w="1076" w:type="dxa"/>
            <w:vAlign w:val="center"/>
          </w:tcPr>
          <w:p w:rsidR="00B24390" w:rsidRPr="00DA7427" w:rsidRDefault="00B24390" w:rsidP="00E55F87">
            <w:pPr>
              <w:jc w:val="center"/>
              <w:rPr>
                <w:b/>
              </w:rPr>
            </w:pPr>
            <w:r w:rsidRPr="00DA7427">
              <w:rPr>
                <w:b/>
              </w:rPr>
              <w:t>Level</w:t>
            </w:r>
          </w:p>
        </w:tc>
        <w:tc>
          <w:tcPr>
            <w:tcW w:w="1076" w:type="dxa"/>
            <w:vAlign w:val="center"/>
          </w:tcPr>
          <w:p w:rsidR="00B24390" w:rsidRPr="00DA7427" w:rsidRDefault="00B24390" w:rsidP="00E55F87">
            <w:pPr>
              <w:jc w:val="center"/>
              <w:rPr>
                <w:b/>
              </w:rPr>
            </w:pPr>
            <w:r w:rsidRPr="00DA7427">
              <w:rPr>
                <w:b/>
              </w:rPr>
              <w:t>ACT</w:t>
            </w:r>
          </w:p>
        </w:tc>
        <w:tc>
          <w:tcPr>
            <w:tcW w:w="1077" w:type="dxa"/>
            <w:vAlign w:val="center"/>
          </w:tcPr>
          <w:p w:rsidR="00B24390" w:rsidRPr="00DA7427" w:rsidRDefault="00B24390" w:rsidP="00E55F87">
            <w:pPr>
              <w:jc w:val="center"/>
              <w:rPr>
                <w:b/>
              </w:rPr>
            </w:pPr>
            <w:r w:rsidRPr="00DA7427">
              <w:rPr>
                <w:b/>
              </w:rPr>
              <w:t>NSW</w:t>
            </w:r>
          </w:p>
        </w:tc>
        <w:tc>
          <w:tcPr>
            <w:tcW w:w="1077" w:type="dxa"/>
            <w:vAlign w:val="center"/>
          </w:tcPr>
          <w:p w:rsidR="00B24390" w:rsidRPr="00DA7427" w:rsidRDefault="00B24390" w:rsidP="00E55F87">
            <w:pPr>
              <w:jc w:val="center"/>
              <w:rPr>
                <w:b/>
              </w:rPr>
            </w:pPr>
            <w:r w:rsidRPr="00DA7427">
              <w:rPr>
                <w:b/>
              </w:rPr>
              <w:t>NT</w:t>
            </w:r>
          </w:p>
        </w:tc>
        <w:tc>
          <w:tcPr>
            <w:tcW w:w="1077" w:type="dxa"/>
            <w:vAlign w:val="center"/>
          </w:tcPr>
          <w:p w:rsidR="00B24390" w:rsidRPr="00DA7427" w:rsidRDefault="00B24390" w:rsidP="00E55F87">
            <w:pPr>
              <w:jc w:val="center"/>
              <w:rPr>
                <w:b/>
              </w:rPr>
            </w:pPr>
            <w:r w:rsidRPr="00DA7427">
              <w:rPr>
                <w:b/>
              </w:rPr>
              <w:t>QLD</w:t>
            </w:r>
          </w:p>
        </w:tc>
        <w:tc>
          <w:tcPr>
            <w:tcW w:w="1077" w:type="dxa"/>
            <w:vAlign w:val="center"/>
          </w:tcPr>
          <w:p w:rsidR="00B24390" w:rsidRPr="00DA7427" w:rsidRDefault="00B24390" w:rsidP="00E55F87">
            <w:pPr>
              <w:jc w:val="center"/>
              <w:rPr>
                <w:b/>
              </w:rPr>
            </w:pPr>
            <w:r w:rsidRPr="00DA7427">
              <w:rPr>
                <w:b/>
              </w:rPr>
              <w:t>SA</w:t>
            </w:r>
          </w:p>
        </w:tc>
        <w:tc>
          <w:tcPr>
            <w:tcW w:w="1077" w:type="dxa"/>
            <w:vAlign w:val="center"/>
          </w:tcPr>
          <w:p w:rsidR="00B24390" w:rsidRPr="00DA7427" w:rsidRDefault="00B24390" w:rsidP="00E55F87">
            <w:pPr>
              <w:jc w:val="center"/>
              <w:rPr>
                <w:b/>
              </w:rPr>
            </w:pPr>
            <w:r w:rsidRPr="00DA7427">
              <w:rPr>
                <w:b/>
              </w:rPr>
              <w:t>TAS</w:t>
            </w:r>
          </w:p>
        </w:tc>
        <w:tc>
          <w:tcPr>
            <w:tcW w:w="1077" w:type="dxa"/>
            <w:vAlign w:val="center"/>
          </w:tcPr>
          <w:p w:rsidR="00B24390" w:rsidRPr="00DA7427" w:rsidRDefault="00B24390" w:rsidP="00E55F87">
            <w:pPr>
              <w:jc w:val="center"/>
              <w:rPr>
                <w:b/>
              </w:rPr>
            </w:pPr>
            <w:r w:rsidRPr="00DA7427">
              <w:rPr>
                <w:b/>
              </w:rPr>
              <w:t>VIC</w:t>
            </w:r>
          </w:p>
        </w:tc>
      </w:tr>
      <w:tr w:rsidR="00B24390" w:rsidTr="00E55F87">
        <w:tc>
          <w:tcPr>
            <w:tcW w:w="1076" w:type="dxa"/>
            <w:vAlign w:val="center"/>
          </w:tcPr>
          <w:p w:rsidR="00B24390" w:rsidRPr="00DA7427" w:rsidRDefault="00B24390" w:rsidP="00E55F87">
            <w:pPr>
              <w:jc w:val="center"/>
              <w:rPr>
                <w:b/>
              </w:rPr>
            </w:pPr>
            <w:r w:rsidRPr="00DA7427">
              <w:rPr>
                <w:b/>
              </w:rPr>
              <w:t>2</w:t>
            </w:r>
          </w:p>
        </w:tc>
        <w:tc>
          <w:tcPr>
            <w:tcW w:w="1076" w:type="dxa"/>
            <w:vAlign w:val="center"/>
          </w:tcPr>
          <w:p w:rsidR="00B24390" w:rsidRDefault="00B24390" w:rsidP="00E55F87">
            <w:pPr>
              <w:jc w:val="center"/>
            </w:pPr>
            <w:r>
              <w:sym w:font="Wingdings 2" w:char="F04F"/>
            </w:r>
          </w:p>
        </w:tc>
        <w:tc>
          <w:tcPr>
            <w:tcW w:w="1077" w:type="dxa"/>
            <w:vAlign w:val="center"/>
          </w:tcPr>
          <w:p w:rsidR="00B24390" w:rsidRDefault="00B24390" w:rsidP="00E55F87">
            <w:pPr>
              <w:jc w:val="center"/>
            </w:pPr>
            <w:r>
              <w:sym w:font="Wingdings 2" w:char="F050"/>
            </w:r>
          </w:p>
        </w:tc>
        <w:tc>
          <w:tcPr>
            <w:tcW w:w="1077" w:type="dxa"/>
            <w:vAlign w:val="center"/>
          </w:tcPr>
          <w:p w:rsidR="00B24390" w:rsidRDefault="00B24390" w:rsidP="00E55F87">
            <w:pPr>
              <w:jc w:val="center"/>
            </w:pPr>
            <w:r w:rsidRPr="002E127E">
              <w:sym w:font="Wingdings 2" w:char="F050"/>
            </w:r>
          </w:p>
        </w:tc>
        <w:tc>
          <w:tcPr>
            <w:tcW w:w="1077" w:type="dxa"/>
            <w:vAlign w:val="center"/>
          </w:tcPr>
          <w:p w:rsidR="00B24390" w:rsidRDefault="00B24390" w:rsidP="00E55F87">
            <w:pPr>
              <w:jc w:val="center"/>
            </w:pPr>
            <w:r w:rsidRPr="002E127E">
              <w:sym w:font="Wingdings 2" w:char="F050"/>
            </w:r>
          </w:p>
        </w:tc>
        <w:tc>
          <w:tcPr>
            <w:tcW w:w="1077" w:type="dxa"/>
            <w:vAlign w:val="center"/>
          </w:tcPr>
          <w:p w:rsidR="00B24390" w:rsidRDefault="00B24390" w:rsidP="00E55F87">
            <w:pPr>
              <w:jc w:val="center"/>
            </w:pPr>
            <w:r w:rsidRPr="002E127E">
              <w:sym w:font="Wingdings 2" w:char="F050"/>
            </w:r>
          </w:p>
        </w:tc>
        <w:tc>
          <w:tcPr>
            <w:tcW w:w="1077" w:type="dxa"/>
            <w:vAlign w:val="center"/>
          </w:tcPr>
          <w:p w:rsidR="00B24390" w:rsidRDefault="00B24390" w:rsidP="00E55F87">
            <w:pPr>
              <w:jc w:val="center"/>
            </w:pPr>
            <w:r w:rsidRPr="002E127E">
              <w:sym w:font="Wingdings 2" w:char="F050"/>
            </w:r>
          </w:p>
        </w:tc>
        <w:tc>
          <w:tcPr>
            <w:tcW w:w="1077" w:type="dxa"/>
            <w:vAlign w:val="center"/>
          </w:tcPr>
          <w:p w:rsidR="00B24390" w:rsidRDefault="00B24390" w:rsidP="00E55F87">
            <w:pPr>
              <w:jc w:val="center"/>
            </w:pPr>
            <w:r w:rsidRPr="002E127E">
              <w:sym w:font="Wingdings 2" w:char="F050"/>
            </w:r>
          </w:p>
        </w:tc>
      </w:tr>
      <w:tr w:rsidR="00B24390" w:rsidTr="00E55F87">
        <w:tc>
          <w:tcPr>
            <w:tcW w:w="1076" w:type="dxa"/>
            <w:vAlign w:val="center"/>
          </w:tcPr>
          <w:p w:rsidR="00B24390" w:rsidRPr="00DA7427" w:rsidRDefault="00B24390" w:rsidP="00E55F87">
            <w:pPr>
              <w:jc w:val="center"/>
              <w:rPr>
                <w:b/>
              </w:rPr>
            </w:pPr>
            <w:r w:rsidRPr="00DA7427">
              <w:rPr>
                <w:b/>
              </w:rPr>
              <w:t>2B</w:t>
            </w:r>
          </w:p>
        </w:tc>
        <w:tc>
          <w:tcPr>
            <w:tcW w:w="1076" w:type="dxa"/>
            <w:vAlign w:val="center"/>
          </w:tcPr>
          <w:p w:rsidR="00B24390" w:rsidRDefault="00B24390" w:rsidP="00E55F87">
            <w:pPr>
              <w:jc w:val="center"/>
            </w:pPr>
            <w:r>
              <w:sym w:font="Wingdings 2" w:char="F04F"/>
            </w:r>
          </w:p>
        </w:tc>
        <w:tc>
          <w:tcPr>
            <w:tcW w:w="1077" w:type="dxa"/>
            <w:vAlign w:val="center"/>
          </w:tcPr>
          <w:p w:rsidR="00B24390" w:rsidRDefault="00B24390" w:rsidP="00E55F87">
            <w:pPr>
              <w:jc w:val="center"/>
            </w:pPr>
            <w:r>
              <w:sym w:font="Wingdings 2" w:char="F04F"/>
            </w:r>
          </w:p>
        </w:tc>
        <w:tc>
          <w:tcPr>
            <w:tcW w:w="1077" w:type="dxa"/>
            <w:vAlign w:val="center"/>
          </w:tcPr>
          <w:p w:rsidR="00B24390" w:rsidRDefault="00B24390" w:rsidP="00E55F87">
            <w:pPr>
              <w:jc w:val="center"/>
            </w:pPr>
            <w:r w:rsidRPr="002E127E">
              <w:sym w:font="Wingdings 2" w:char="F050"/>
            </w:r>
          </w:p>
        </w:tc>
        <w:tc>
          <w:tcPr>
            <w:tcW w:w="1077" w:type="dxa"/>
            <w:vAlign w:val="center"/>
          </w:tcPr>
          <w:p w:rsidR="00B24390" w:rsidRDefault="00B24390" w:rsidP="00E55F87">
            <w:pPr>
              <w:jc w:val="center"/>
            </w:pPr>
            <w:r>
              <w:t>Limited</w:t>
            </w:r>
          </w:p>
        </w:tc>
        <w:tc>
          <w:tcPr>
            <w:tcW w:w="1077" w:type="dxa"/>
            <w:vAlign w:val="center"/>
          </w:tcPr>
          <w:p w:rsidR="00B24390" w:rsidRDefault="00B24390" w:rsidP="00E55F87">
            <w:pPr>
              <w:jc w:val="center"/>
            </w:pPr>
            <w:r>
              <w:sym w:font="Wingdings 2" w:char="F04F"/>
            </w:r>
          </w:p>
        </w:tc>
        <w:tc>
          <w:tcPr>
            <w:tcW w:w="1077" w:type="dxa"/>
            <w:vAlign w:val="center"/>
          </w:tcPr>
          <w:p w:rsidR="00B24390" w:rsidRDefault="00B24390" w:rsidP="00E55F87">
            <w:pPr>
              <w:jc w:val="center"/>
            </w:pPr>
            <w:r>
              <w:sym w:font="Wingdings 2" w:char="F04F"/>
            </w:r>
          </w:p>
        </w:tc>
        <w:tc>
          <w:tcPr>
            <w:tcW w:w="1077" w:type="dxa"/>
            <w:vAlign w:val="center"/>
          </w:tcPr>
          <w:p w:rsidR="00B24390" w:rsidRDefault="00B24390" w:rsidP="00E55F87">
            <w:pPr>
              <w:jc w:val="center"/>
            </w:pPr>
            <w:r>
              <w:sym w:font="Wingdings 2" w:char="F04F"/>
            </w:r>
          </w:p>
        </w:tc>
      </w:tr>
      <w:tr w:rsidR="00B24390" w:rsidTr="00E55F87">
        <w:tc>
          <w:tcPr>
            <w:tcW w:w="1076" w:type="dxa"/>
            <w:vAlign w:val="center"/>
          </w:tcPr>
          <w:p w:rsidR="00B24390" w:rsidRPr="00DA7427" w:rsidRDefault="00B24390" w:rsidP="00E55F87">
            <w:pPr>
              <w:jc w:val="center"/>
              <w:rPr>
                <w:b/>
              </w:rPr>
            </w:pPr>
            <w:r w:rsidRPr="00DA7427">
              <w:rPr>
                <w:b/>
              </w:rPr>
              <w:t>3</w:t>
            </w:r>
          </w:p>
        </w:tc>
        <w:tc>
          <w:tcPr>
            <w:tcW w:w="1076" w:type="dxa"/>
            <w:vAlign w:val="center"/>
          </w:tcPr>
          <w:p w:rsidR="00B24390" w:rsidRDefault="00B24390" w:rsidP="00E55F87">
            <w:pPr>
              <w:jc w:val="center"/>
            </w:pPr>
            <w:r>
              <w:sym w:font="Wingdings 2" w:char="F04F"/>
            </w:r>
          </w:p>
        </w:tc>
        <w:tc>
          <w:tcPr>
            <w:tcW w:w="1077" w:type="dxa"/>
            <w:vAlign w:val="center"/>
          </w:tcPr>
          <w:p w:rsidR="00B24390" w:rsidRDefault="00B24390" w:rsidP="00E55F87">
            <w:pPr>
              <w:jc w:val="center"/>
            </w:pPr>
            <w:r>
              <w:t>Limited</w:t>
            </w:r>
          </w:p>
        </w:tc>
        <w:tc>
          <w:tcPr>
            <w:tcW w:w="1077" w:type="dxa"/>
            <w:vAlign w:val="center"/>
          </w:tcPr>
          <w:p w:rsidR="00B24390" w:rsidRDefault="00B24390" w:rsidP="00E55F87">
            <w:pPr>
              <w:jc w:val="center"/>
            </w:pPr>
            <w:r w:rsidRPr="002E127E">
              <w:sym w:font="Wingdings 2" w:char="F050"/>
            </w:r>
          </w:p>
        </w:tc>
        <w:tc>
          <w:tcPr>
            <w:tcW w:w="1077" w:type="dxa"/>
            <w:vAlign w:val="center"/>
          </w:tcPr>
          <w:p w:rsidR="00B24390" w:rsidRDefault="00B24390" w:rsidP="00E55F87">
            <w:pPr>
              <w:jc w:val="center"/>
            </w:pPr>
            <w:r w:rsidRPr="002E127E">
              <w:sym w:font="Wingdings 2" w:char="F050"/>
            </w:r>
          </w:p>
        </w:tc>
        <w:tc>
          <w:tcPr>
            <w:tcW w:w="1077" w:type="dxa"/>
            <w:vAlign w:val="center"/>
          </w:tcPr>
          <w:p w:rsidR="00B24390" w:rsidRDefault="00B24390" w:rsidP="00E55F87">
            <w:pPr>
              <w:jc w:val="center"/>
            </w:pPr>
            <w:r w:rsidRPr="002E127E">
              <w:sym w:font="Wingdings 2" w:char="F050"/>
            </w:r>
          </w:p>
        </w:tc>
        <w:tc>
          <w:tcPr>
            <w:tcW w:w="1077" w:type="dxa"/>
            <w:vAlign w:val="center"/>
          </w:tcPr>
          <w:p w:rsidR="00B24390" w:rsidRDefault="00B24390" w:rsidP="00E55F87">
            <w:pPr>
              <w:jc w:val="center"/>
            </w:pPr>
            <w:r>
              <w:sym w:font="Wingdings 2" w:char="F04F"/>
            </w:r>
          </w:p>
        </w:tc>
        <w:tc>
          <w:tcPr>
            <w:tcW w:w="1077" w:type="dxa"/>
            <w:vAlign w:val="center"/>
          </w:tcPr>
          <w:p w:rsidR="00B24390" w:rsidRDefault="00055D56" w:rsidP="00E55F87">
            <w:pPr>
              <w:jc w:val="center"/>
            </w:pPr>
            <w:r>
              <w:sym w:font="Wingdings 2" w:char="F04F"/>
            </w:r>
          </w:p>
        </w:tc>
      </w:tr>
    </w:tbl>
    <w:p w:rsidR="00633E1A" w:rsidRPr="006667CD" w:rsidRDefault="00633E1A" w:rsidP="00633E1A">
      <w:pPr>
        <w:rPr>
          <w:b/>
        </w:rPr>
      </w:pPr>
      <w:r w:rsidRPr="006667CD">
        <w:rPr>
          <w:b/>
        </w:rPr>
        <w:t>Q4</w:t>
      </w:r>
      <w:r w:rsidR="00690D10">
        <w:rPr>
          <w:b/>
        </w:rPr>
        <w:t xml:space="preserve"> </w:t>
      </w:r>
      <w:r w:rsidRPr="006667CD">
        <w:rPr>
          <w:b/>
        </w:rPr>
        <w:t>Of the options presented here, which do you prefer and why?</w:t>
      </w:r>
    </w:p>
    <w:p w:rsidR="00DA3DF8" w:rsidRDefault="00DA3DF8" w:rsidP="00633E1A">
      <w:pPr>
        <w:rPr>
          <w:b/>
        </w:rPr>
      </w:pPr>
    </w:p>
    <w:p w:rsidR="00633E1A" w:rsidRPr="00C65D6A" w:rsidRDefault="00C65D6A" w:rsidP="00C65D6A">
      <w:pPr>
        <w:rPr>
          <w:b/>
        </w:rPr>
      </w:pPr>
      <w:r>
        <w:rPr>
          <w:b/>
        </w:rPr>
        <w:t xml:space="preserve">a. </w:t>
      </w:r>
      <w:r w:rsidR="00633E1A" w:rsidRPr="00C65D6A">
        <w:rPr>
          <w:b/>
        </w:rPr>
        <w:t>Are there any options that have not been considered in this paper, but you feel deserve merit? If</w:t>
      </w:r>
      <w:r w:rsidR="00633E1A" w:rsidRPr="00C65D6A">
        <w:rPr>
          <w:rFonts w:asciiTheme="minorHAnsi" w:hAnsiTheme="minorHAnsi"/>
        </w:rPr>
        <w:t xml:space="preserve"> </w:t>
      </w:r>
      <w:r w:rsidR="00633E1A" w:rsidRPr="00C65D6A">
        <w:rPr>
          <w:b/>
        </w:rPr>
        <w:t>so, please provide details.</w:t>
      </w:r>
    </w:p>
    <w:p w:rsidR="00633E1A" w:rsidRPr="00633E1A" w:rsidRDefault="00DA3DF8" w:rsidP="00633E1A">
      <w:pPr>
        <w:rPr>
          <w:rFonts w:asciiTheme="minorHAnsi" w:hAnsiTheme="minorHAnsi"/>
        </w:rPr>
      </w:pPr>
      <w:r>
        <w:rPr>
          <w:rFonts w:asciiTheme="minorHAnsi" w:hAnsiTheme="minorHAnsi"/>
        </w:rPr>
        <w:t>No</w:t>
      </w:r>
      <w:r w:rsidR="006D0ACD">
        <w:rPr>
          <w:rFonts w:asciiTheme="minorHAnsi" w:hAnsiTheme="minorHAnsi"/>
        </w:rPr>
        <w:t>.</w:t>
      </w:r>
    </w:p>
    <w:p w:rsidR="00DA3DF8" w:rsidRDefault="00DA3DF8" w:rsidP="00633E1A">
      <w:pPr>
        <w:rPr>
          <w:b/>
        </w:rPr>
      </w:pPr>
    </w:p>
    <w:p w:rsidR="00633E1A" w:rsidRPr="006667CD" w:rsidRDefault="00633E1A" w:rsidP="00633E1A">
      <w:pPr>
        <w:rPr>
          <w:b/>
        </w:rPr>
      </w:pPr>
      <w:r w:rsidRPr="006667CD">
        <w:rPr>
          <w:b/>
        </w:rPr>
        <w:t>b.</w:t>
      </w:r>
      <w:r w:rsidR="00690D10">
        <w:rPr>
          <w:b/>
        </w:rPr>
        <w:t xml:space="preserve"> </w:t>
      </w:r>
      <w:r w:rsidRPr="006667CD">
        <w:rPr>
          <w:b/>
        </w:rPr>
        <w:t>Of the options presented here, are there any you feel strongly against? If so, why?</w:t>
      </w:r>
    </w:p>
    <w:p w:rsidR="00633E1A" w:rsidRPr="00633E1A" w:rsidRDefault="002A34FB" w:rsidP="00633E1A">
      <w:pPr>
        <w:rPr>
          <w:rFonts w:asciiTheme="minorHAnsi" w:hAnsiTheme="minorHAnsi"/>
        </w:rPr>
      </w:pPr>
      <w:r>
        <w:rPr>
          <w:rFonts w:asciiTheme="minorHAnsi" w:hAnsiTheme="minorHAnsi"/>
        </w:rPr>
        <w:t>Yes, options 1; 2; &amp; 3</w:t>
      </w:r>
      <w:r w:rsidR="00474140">
        <w:rPr>
          <w:rFonts w:asciiTheme="minorHAnsi" w:hAnsiTheme="minorHAnsi"/>
        </w:rPr>
        <w:t xml:space="preserve"> are not supported.</w:t>
      </w:r>
    </w:p>
    <w:p w:rsidR="002A34FB" w:rsidRDefault="002A34FB" w:rsidP="00633E1A">
      <w:pPr>
        <w:rPr>
          <w:rFonts w:asciiTheme="minorHAnsi" w:hAnsiTheme="minorHAnsi"/>
        </w:rPr>
      </w:pPr>
    </w:p>
    <w:p w:rsidR="002A34FB" w:rsidRPr="009F7A65" w:rsidRDefault="00633E1A" w:rsidP="005114F2">
      <w:pPr>
        <w:pStyle w:val="ListParagraph"/>
        <w:numPr>
          <w:ilvl w:val="0"/>
          <w:numId w:val="9"/>
        </w:numPr>
        <w:rPr>
          <w:rFonts w:asciiTheme="minorHAnsi" w:hAnsiTheme="minorHAnsi"/>
        </w:rPr>
      </w:pPr>
      <w:r w:rsidRPr="009F7A65">
        <w:rPr>
          <w:rFonts w:asciiTheme="minorHAnsi" w:hAnsiTheme="minorHAnsi"/>
          <w:i/>
        </w:rPr>
        <w:t>Status quo:</w:t>
      </w:r>
      <w:r w:rsidRPr="009F7A65">
        <w:rPr>
          <w:rFonts w:asciiTheme="minorHAnsi" w:hAnsiTheme="minorHAnsi"/>
        </w:rPr>
        <w:t xml:space="preserve"> This </w:t>
      </w:r>
      <w:r w:rsidR="0097508B">
        <w:rPr>
          <w:rFonts w:asciiTheme="minorHAnsi" w:hAnsiTheme="minorHAnsi"/>
        </w:rPr>
        <w:t>would</w:t>
      </w:r>
      <w:r w:rsidR="009F7A65">
        <w:rPr>
          <w:rFonts w:asciiTheme="minorHAnsi" w:hAnsiTheme="minorHAnsi"/>
        </w:rPr>
        <w:t xml:space="preserve"> not</w:t>
      </w:r>
      <w:r w:rsidRPr="009F7A65">
        <w:rPr>
          <w:rFonts w:asciiTheme="minorHAnsi" w:hAnsiTheme="minorHAnsi"/>
        </w:rPr>
        <w:t xml:space="preserve"> progress </w:t>
      </w:r>
      <w:r w:rsidR="009F7A65">
        <w:rPr>
          <w:rFonts w:asciiTheme="minorHAnsi" w:hAnsiTheme="minorHAnsi"/>
        </w:rPr>
        <w:t xml:space="preserve">the </w:t>
      </w:r>
      <w:r w:rsidRPr="009F7A65">
        <w:rPr>
          <w:rFonts w:asciiTheme="minorHAnsi" w:hAnsiTheme="minorHAnsi"/>
        </w:rPr>
        <w:t xml:space="preserve">original </w:t>
      </w:r>
      <w:r w:rsidR="009F7A65">
        <w:rPr>
          <w:rFonts w:asciiTheme="minorHAnsi" w:hAnsiTheme="minorHAnsi"/>
        </w:rPr>
        <w:t>vision</w:t>
      </w:r>
      <w:r w:rsidRPr="009F7A65">
        <w:rPr>
          <w:rFonts w:asciiTheme="minorHAnsi" w:hAnsiTheme="minorHAnsi"/>
        </w:rPr>
        <w:t xml:space="preserve"> of PBS </w:t>
      </w:r>
      <w:r w:rsidR="00173DB5">
        <w:rPr>
          <w:rFonts w:asciiTheme="minorHAnsi" w:hAnsiTheme="minorHAnsi"/>
        </w:rPr>
        <w:t>since</w:t>
      </w:r>
      <w:r w:rsidR="009F7A65">
        <w:rPr>
          <w:rFonts w:asciiTheme="minorHAnsi" w:hAnsiTheme="minorHAnsi"/>
        </w:rPr>
        <w:t xml:space="preserve"> </w:t>
      </w:r>
      <w:r w:rsidR="00D973D7">
        <w:rPr>
          <w:rFonts w:asciiTheme="minorHAnsi" w:hAnsiTheme="minorHAnsi"/>
        </w:rPr>
        <w:t>it</w:t>
      </w:r>
      <w:r w:rsidRPr="009F7A65">
        <w:rPr>
          <w:rFonts w:asciiTheme="minorHAnsi" w:hAnsiTheme="minorHAnsi"/>
        </w:rPr>
        <w:t xml:space="preserve"> </w:t>
      </w:r>
      <w:r w:rsidR="00173DB5">
        <w:rPr>
          <w:rFonts w:asciiTheme="minorHAnsi" w:hAnsiTheme="minorHAnsi"/>
        </w:rPr>
        <w:t>was</w:t>
      </w:r>
      <w:r w:rsidR="009F7A65">
        <w:rPr>
          <w:rFonts w:asciiTheme="minorHAnsi" w:hAnsiTheme="minorHAnsi"/>
        </w:rPr>
        <w:t xml:space="preserve"> that</w:t>
      </w:r>
      <w:r w:rsidRPr="009F7A65">
        <w:rPr>
          <w:rFonts w:asciiTheme="minorHAnsi" w:hAnsiTheme="minorHAnsi"/>
        </w:rPr>
        <w:t xml:space="preserve"> PBS vehicles </w:t>
      </w:r>
      <w:r w:rsidR="009F7A65">
        <w:rPr>
          <w:rFonts w:asciiTheme="minorHAnsi" w:hAnsiTheme="minorHAnsi"/>
        </w:rPr>
        <w:t>over</w:t>
      </w:r>
      <w:r w:rsidRPr="009F7A65">
        <w:rPr>
          <w:rFonts w:asciiTheme="minorHAnsi" w:hAnsiTheme="minorHAnsi"/>
        </w:rPr>
        <w:t xml:space="preserve"> time would migrate to prescriptive vehicles.</w:t>
      </w:r>
    </w:p>
    <w:p w:rsidR="00633E1A" w:rsidRPr="009F7A65" w:rsidRDefault="00633E1A" w:rsidP="005114F2">
      <w:pPr>
        <w:pStyle w:val="ListParagraph"/>
        <w:numPr>
          <w:ilvl w:val="0"/>
          <w:numId w:val="9"/>
        </w:numPr>
        <w:rPr>
          <w:rFonts w:asciiTheme="minorHAnsi" w:hAnsiTheme="minorHAnsi"/>
        </w:rPr>
      </w:pPr>
      <w:r w:rsidRPr="009F7A65">
        <w:rPr>
          <w:rFonts w:asciiTheme="minorHAnsi" w:hAnsiTheme="minorHAnsi"/>
          <w:i/>
        </w:rPr>
        <w:t>Limit bin and payload heights</w:t>
      </w:r>
      <w:r w:rsidR="00690D10" w:rsidRPr="009F7A65">
        <w:rPr>
          <w:rFonts w:asciiTheme="minorHAnsi" w:hAnsiTheme="minorHAnsi"/>
        </w:rPr>
        <w:t xml:space="preserve">: Such requirements are not </w:t>
      </w:r>
      <w:r w:rsidRPr="009F7A65">
        <w:rPr>
          <w:rFonts w:asciiTheme="minorHAnsi" w:hAnsiTheme="minorHAnsi"/>
        </w:rPr>
        <w:t>generally enforceable</w:t>
      </w:r>
      <w:r w:rsidR="0097508B">
        <w:rPr>
          <w:rFonts w:asciiTheme="minorHAnsi" w:hAnsiTheme="minorHAnsi"/>
        </w:rPr>
        <w:t xml:space="preserve"> and do not</w:t>
      </w:r>
      <w:r w:rsidRPr="009F7A65">
        <w:rPr>
          <w:rFonts w:asciiTheme="minorHAnsi" w:hAnsiTheme="minorHAnsi"/>
        </w:rPr>
        <w:t xml:space="preserve"> guarantee </w:t>
      </w:r>
      <w:r w:rsidR="00690D10" w:rsidRPr="009F7A65">
        <w:rPr>
          <w:rFonts w:asciiTheme="minorHAnsi" w:hAnsiTheme="minorHAnsi"/>
        </w:rPr>
        <w:t xml:space="preserve">superior </w:t>
      </w:r>
      <w:r w:rsidRPr="009F7A65">
        <w:rPr>
          <w:rFonts w:asciiTheme="minorHAnsi" w:hAnsiTheme="minorHAnsi"/>
        </w:rPr>
        <w:t>dynamic performance.</w:t>
      </w:r>
    </w:p>
    <w:p w:rsidR="00633E1A" w:rsidRPr="009F7A65" w:rsidRDefault="00633E1A" w:rsidP="005114F2">
      <w:pPr>
        <w:pStyle w:val="ListParagraph"/>
        <w:numPr>
          <w:ilvl w:val="0"/>
          <w:numId w:val="9"/>
        </w:numPr>
        <w:rPr>
          <w:rFonts w:asciiTheme="minorHAnsi" w:hAnsiTheme="minorHAnsi"/>
        </w:rPr>
      </w:pPr>
      <w:r w:rsidRPr="009F7A65">
        <w:rPr>
          <w:rFonts w:asciiTheme="minorHAnsi" w:hAnsiTheme="minorHAnsi"/>
          <w:i/>
        </w:rPr>
        <w:t>Develop a PBS-compliant blueprint:</w:t>
      </w:r>
      <w:r w:rsidRPr="009F7A65">
        <w:rPr>
          <w:rFonts w:asciiTheme="minorHAnsi" w:hAnsiTheme="minorHAnsi"/>
        </w:rPr>
        <w:t xml:space="preserve"> </w:t>
      </w:r>
      <w:r w:rsidR="00690D10" w:rsidRPr="009F7A65">
        <w:rPr>
          <w:rFonts w:asciiTheme="minorHAnsi" w:hAnsiTheme="minorHAnsi"/>
        </w:rPr>
        <w:t>This option is t</w:t>
      </w:r>
      <w:r w:rsidRPr="009F7A65">
        <w:rPr>
          <w:rFonts w:asciiTheme="minorHAnsi" w:hAnsiTheme="minorHAnsi"/>
        </w:rPr>
        <w:t>o</w:t>
      </w:r>
      <w:r w:rsidR="00690D10" w:rsidRPr="009F7A65">
        <w:rPr>
          <w:rFonts w:asciiTheme="minorHAnsi" w:hAnsiTheme="minorHAnsi"/>
        </w:rPr>
        <w:t xml:space="preserve">o detailed and inflexible and </w:t>
      </w:r>
      <w:r w:rsidRPr="009F7A65">
        <w:rPr>
          <w:rFonts w:asciiTheme="minorHAnsi" w:hAnsiTheme="minorHAnsi"/>
        </w:rPr>
        <w:t xml:space="preserve">doesn’t meet </w:t>
      </w:r>
      <w:r w:rsidR="00690D10" w:rsidRPr="009F7A65">
        <w:rPr>
          <w:rFonts w:asciiTheme="minorHAnsi" w:hAnsiTheme="minorHAnsi"/>
        </w:rPr>
        <w:t xml:space="preserve">the </w:t>
      </w:r>
      <w:r w:rsidRPr="009F7A65">
        <w:rPr>
          <w:rFonts w:asciiTheme="minorHAnsi" w:hAnsiTheme="minorHAnsi"/>
        </w:rPr>
        <w:t>original goal of a prescriptive vehicle</w:t>
      </w:r>
      <w:r w:rsidR="00690D10" w:rsidRPr="009F7A65">
        <w:rPr>
          <w:rFonts w:asciiTheme="minorHAnsi" w:hAnsiTheme="minorHAnsi"/>
        </w:rPr>
        <w:t>.</w:t>
      </w:r>
    </w:p>
    <w:p w:rsidR="007917C0" w:rsidRPr="007917C0" w:rsidRDefault="00633E1A" w:rsidP="00633E1A">
      <w:pPr>
        <w:rPr>
          <w:rFonts w:asciiTheme="minorHAnsi" w:hAnsiTheme="minorHAnsi"/>
          <w:i/>
        </w:rPr>
      </w:pPr>
      <w:r w:rsidRPr="007917C0">
        <w:rPr>
          <w:rFonts w:asciiTheme="minorHAnsi" w:hAnsiTheme="minorHAnsi"/>
          <w:i/>
        </w:rPr>
        <w:t>4</w:t>
      </w:r>
      <w:r w:rsidR="00D973D7">
        <w:rPr>
          <w:rFonts w:asciiTheme="minorHAnsi" w:hAnsiTheme="minorHAnsi"/>
          <w:i/>
        </w:rPr>
        <w:t>.</w:t>
      </w:r>
      <w:r w:rsidR="007917C0">
        <w:rPr>
          <w:rFonts w:asciiTheme="minorHAnsi" w:hAnsiTheme="minorHAnsi"/>
          <w:i/>
        </w:rPr>
        <w:t xml:space="preserve">    </w:t>
      </w:r>
      <w:r w:rsidRPr="007917C0">
        <w:rPr>
          <w:rFonts w:asciiTheme="minorHAnsi" w:hAnsiTheme="minorHAnsi"/>
          <w:i/>
        </w:rPr>
        <w:t>De</w:t>
      </w:r>
      <w:r w:rsidR="00474140" w:rsidRPr="007917C0">
        <w:rPr>
          <w:rFonts w:asciiTheme="minorHAnsi" w:hAnsiTheme="minorHAnsi"/>
          <w:i/>
        </w:rPr>
        <w:t>velop a specification envelope:</w:t>
      </w:r>
      <w:r w:rsidRPr="007917C0">
        <w:rPr>
          <w:rFonts w:asciiTheme="minorHAnsi" w:hAnsiTheme="minorHAnsi"/>
          <w:i/>
        </w:rPr>
        <w:t xml:space="preserve"> </w:t>
      </w:r>
    </w:p>
    <w:p w:rsidR="00B80FA0" w:rsidRDefault="00633E1A" w:rsidP="00633E1A">
      <w:pPr>
        <w:rPr>
          <w:rFonts w:asciiTheme="minorHAnsi" w:hAnsiTheme="minorHAnsi"/>
        </w:rPr>
      </w:pPr>
      <w:r w:rsidRPr="007917C0">
        <w:rPr>
          <w:rFonts w:asciiTheme="minorHAnsi" w:hAnsiTheme="minorHAnsi"/>
        </w:rPr>
        <w:t xml:space="preserve">This approach removes </w:t>
      </w:r>
      <w:r w:rsidR="00B80FA0">
        <w:rPr>
          <w:rFonts w:asciiTheme="minorHAnsi" w:hAnsiTheme="minorHAnsi"/>
        </w:rPr>
        <w:t xml:space="preserve">elements of the </w:t>
      </w:r>
      <w:r w:rsidRPr="007917C0">
        <w:rPr>
          <w:rFonts w:asciiTheme="minorHAnsi" w:hAnsiTheme="minorHAnsi"/>
        </w:rPr>
        <w:t xml:space="preserve">PBS process </w:t>
      </w:r>
      <w:r w:rsidR="00B80FA0">
        <w:rPr>
          <w:rFonts w:asciiTheme="minorHAnsi" w:hAnsiTheme="minorHAnsi"/>
        </w:rPr>
        <w:t>using</w:t>
      </w:r>
      <w:r w:rsidRPr="007917C0">
        <w:rPr>
          <w:rFonts w:asciiTheme="minorHAnsi" w:hAnsiTheme="minorHAnsi"/>
        </w:rPr>
        <w:t xml:space="preserve"> critical dimensions and </w:t>
      </w:r>
      <w:r w:rsidR="00B80FA0">
        <w:rPr>
          <w:rFonts w:asciiTheme="minorHAnsi" w:hAnsiTheme="minorHAnsi"/>
        </w:rPr>
        <w:t xml:space="preserve">the </w:t>
      </w:r>
      <w:r w:rsidRPr="007917C0">
        <w:rPr>
          <w:rFonts w:asciiTheme="minorHAnsi" w:hAnsiTheme="minorHAnsi"/>
        </w:rPr>
        <w:t>performance formula</w:t>
      </w:r>
      <w:r w:rsidR="00B80FA0">
        <w:rPr>
          <w:rFonts w:asciiTheme="minorHAnsi" w:hAnsiTheme="minorHAnsi"/>
        </w:rPr>
        <w:t xml:space="preserve"> but it w</w:t>
      </w:r>
      <w:r w:rsidRPr="007917C0">
        <w:rPr>
          <w:rFonts w:asciiTheme="minorHAnsi" w:hAnsiTheme="minorHAnsi"/>
        </w:rPr>
        <w:t>ould need to be supported by a “certification” as a template that could be prepared by NTC</w:t>
      </w:r>
      <w:r w:rsidR="00806ED9">
        <w:rPr>
          <w:rFonts w:asciiTheme="minorHAnsi" w:hAnsiTheme="minorHAnsi"/>
        </w:rPr>
        <w:t>, thus</w:t>
      </w:r>
      <w:r w:rsidRPr="007917C0">
        <w:rPr>
          <w:rFonts w:asciiTheme="minorHAnsi" w:hAnsiTheme="minorHAnsi"/>
        </w:rPr>
        <w:t xml:space="preserve"> enabling self-certification </w:t>
      </w:r>
      <w:r w:rsidR="00D973D7">
        <w:rPr>
          <w:rFonts w:asciiTheme="minorHAnsi" w:hAnsiTheme="minorHAnsi"/>
        </w:rPr>
        <w:t>as well as</w:t>
      </w:r>
      <w:r w:rsidR="00D973D7" w:rsidRPr="007917C0">
        <w:rPr>
          <w:rFonts w:asciiTheme="minorHAnsi" w:hAnsiTheme="minorHAnsi"/>
        </w:rPr>
        <w:t xml:space="preserve"> </w:t>
      </w:r>
      <w:r w:rsidRPr="007917C0">
        <w:rPr>
          <w:rFonts w:asciiTheme="minorHAnsi" w:hAnsiTheme="minorHAnsi"/>
        </w:rPr>
        <w:t>a refer</w:t>
      </w:r>
      <w:r w:rsidR="00B80FA0">
        <w:rPr>
          <w:rFonts w:asciiTheme="minorHAnsi" w:hAnsiTheme="minorHAnsi"/>
        </w:rPr>
        <w:t xml:space="preserve">ence for roadside enforcement. </w:t>
      </w:r>
    </w:p>
    <w:p w:rsidR="00B80FA0" w:rsidRDefault="00B80FA0" w:rsidP="00633E1A">
      <w:pPr>
        <w:rPr>
          <w:rFonts w:asciiTheme="minorHAnsi" w:hAnsiTheme="minorHAnsi"/>
        </w:rPr>
      </w:pPr>
    </w:p>
    <w:p w:rsidR="00633E1A" w:rsidRPr="007917C0" w:rsidRDefault="00B80FA0" w:rsidP="00633E1A">
      <w:pPr>
        <w:rPr>
          <w:rFonts w:asciiTheme="minorHAnsi" w:hAnsiTheme="minorHAnsi"/>
        </w:rPr>
      </w:pPr>
      <w:r>
        <w:rPr>
          <w:rFonts w:asciiTheme="minorHAnsi" w:hAnsiTheme="minorHAnsi"/>
        </w:rPr>
        <w:t xml:space="preserve">Operators also suggest </w:t>
      </w:r>
      <w:r w:rsidR="00633E1A" w:rsidRPr="007917C0">
        <w:rPr>
          <w:rFonts w:asciiTheme="minorHAnsi" w:hAnsiTheme="minorHAnsi"/>
        </w:rPr>
        <w:t xml:space="preserve">that </w:t>
      </w:r>
      <w:r>
        <w:rPr>
          <w:rFonts w:asciiTheme="minorHAnsi" w:hAnsiTheme="minorHAnsi"/>
        </w:rPr>
        <w:t xml:space="preserve">application </w:t>
      </w:r>
      <w:r w:rsidR="00633E1A" w:rsidRPr="007917C0">
        <w:rPr>
          <w:rFonts w:asciiTheme="minorHAnsi" w:hAnsiTheme="minorHAnsi"/>
        </w:rPr>
        <w:t>form entries would include (but not be limited to):</w:t>
      </w:r>
    </w:p>
    <w:p w:rsidR="00474140" w:rsidRPr="006667CD" w:rsidRDefault="00474140" w:rsidP="00633E1A">
      <w:pPr>
        <w:rPr>
          <w:b/>
        </w:rPr>
      </w:pPr>
    </w:p>
    <w:p w:rsidR="00633E1A" w:rsidRPr="0097508B" w:rsidRDefault="0097508B" w:rsidP="0097508B">
      <w:pPr>
        <w:rPr>
          <w:rFonts w:asciiTheme="minorHAnsi" w:hAnsiTheme="minorHAnsi"/>
        </w:rPr>
      </w:pPr>
      <w:r w:rsidRPr="0097508B">
        <w:rPr>
          <w:rFonts w:asciiTheme="minorHAnsi" w:hAnsiTheme="minorHAnsi"/>
        </w:rPr>
        <w:t xml:space="preserve">Truck </w:t>
      </w:r>
      <w:r w:rsidR="00633E1A" w:rsidRPr="0097508B">
        <w:rPr>
          <w:rFonts w:asciiTheme="minorHAnsi" w:hAnsiTheme="minorHAnsi"/>
        </w:rPr>
        <w:t>make</w:t>
      </w:r>
      <w:r w:rsidRPr="0097508B">
        <w:rPr>
          <w:rFonts w:asciiTheme="minorHAnsi" w:hAnsiTheme="minorHAnsi"/>
        </w:rPr>
        <w:t xml:space="preserve"> and </w:t>
      </w:r>
      <w:r w:rsidR="00633E1A" w:rsidRPr="0097508B">
        <w:rPr>
          <w:rFonts w:asciiTheme="minorHAnsi" w:hAnsiTheme="minorHAnsi"/>
        </w:rPr>
        <w:t>model</w:t>
      </w:r>
    </w:p>
    <w:p w:rsidR="00633E1A" w:rsidRPr="00474140" w:rsidRDefault="0097508B" w:rsidP="005114F2">
      <w:pPr>
        <w:pStyle w:val="ListParagraph"/>
        <w:numPr>
          <w:ilvl w:val="0"/>
          <w:numId w:val="5"/>
        </w:numPr>
        <w:rPr>
          <w:rFonts w:asciiTheme="minorHAnsi" w:hAnsiTheme="minorHAnsi"/>
        </w:rPr>
      </w:pPr>
      <w:r>
        <w:rPr>
          <w:rFonts w:asciiTheme="minorHAnsi" w:hAnsiTheme="minorHAnsi"/>
        </w:rPr>
        <w:t>Vehicle Identification Number (VIN)</w:t>
      </w:r>
    </w:p>
    <w:p w:rsidR="00633E1A" w:rsidRPr="00474140" w:rsidRDefault="00633E1A" w:rsidP="005114F2">
      <w:pPr>
        <w:pStyle w:val="ListParagraph"/>
        <w:numPr>
          <w:ilvl w:val="0"/>
          <w:numId w:val="5"/>
        </w:numPr>
        <w:rPr>
          <w:rFonts w:asciiTheme="minorHAnsi" w:hAnsiTheme="minorHAnsi"/>
        </w:rPr>
      </w:pPr>
      <w:r w:rsidRPr="00474140">
        <w:rPr>
          <w:rFonts w:asciiTheme="minorHAnsi" w:hAnsiTheme="minorHAnsi"/>
        </w:rPr>
        <w:t>Wheelbase</w:t>
      </w:r>
    </w:p>
    <w:p w:rsidR="00633E1A" w:rsidRPr="00474140" w:rsidRDefault="00633E1A" w:rsidP="005114F2">
      <w:pPr>
        <w:pStyle w:val="ListParagraph"/>
        <w:numPr>
          <w:ilvl w:val="0"/>
          <w:numId w:val="5"/>
        </w:numPr>
        <w:rPr>
          <w:rFonts w:asciiTheme="minorHAnsi" w:hAnsiTheme="minorHAnsi"/>
        </w:rPr>
      </w:pPr>
      <w:r w:rsidRPr="00474140">
        <w:rPr>
          <w:rFonts w:asciiTheme="minorHAnsi" w:hAnsiTheme="minorHAnsi"/>
        </w:rPr>
        <w:t>Axle group spread</w:t>
      </w:r>
    </w:p>
    <w:p w:rsidR="00633E1A" w:rsidRPr="00474140" w:rsidRDefault="00633E1A" w:rsidP="005114F2">
      <w:pPr>
        <w:pStyle w:val="ListParagraph"/>
        <w:numPr>
          <w:ilvl w:val="0"/>
          <w:numId w:val="5"/>
        </w:numPr>
        <w:rPr>
          <w:rFonts w:asciiTheme="minorHAnsi" w:hAnsiTheme="minorHAnsi"/>
        </w:rPr>
      </w:pPr>
      <w:r w:rsidRPr="00474140">
        <w:rPr>
          <w:rFonts w:asciiTheme="minorHAnsi" w:hAnsiTheme="minorHAnsi"/>
        </w:rPr>
        <w:t xml:space="preserve">Coupling </w:t>
      </w:r>
      <w:r w:rsidR="0097508B">
        <w:rPr>
          <w:rFonts w:asciiTheme="minorHAnsi" w:hAnsiTheme="minorHAnsi"/>
        </w:rPr>
        <w:t>o</w:t>
      </w:r>
      <w:r w:rsidRPr="00474140">
        <w:rPr>
          <w:rFonts w:asciiTheme="minorHAnsi" w:hAnsiTheme="minorHAnsi"/>
        </w:rPr>
        <w:t>ffset</w:t>
      </w:r>
    </w:p>
    <w:p w:rsidR="00633E1A" w:rsidRPr="00474140" w:rsidRDefault="00633E1A" w:rsidP="005114F2">
      <w:pPr>
        <w:pStyle w:val="ListParagraph"/>
        <w:numPr>
          <w:ilvl w:val="0"/>
          <w:numId w:val="5"/>
        </w:numPr>
        <w:rPr>
          <w:rFonts w:asciiTheme="minorHAnsi" w:hAnsiTheme="minorHAnsi"/>
        </w:rPr>
      </w:pPr>
      <w:r w:rsidRPr="00474140">
        <w:rPr>
          <w:rFonts w:asciiTheme="minorHAnsi" w:hAnsiTheme="minorHAnsi"/>
        </w:rPr>
        <w:t>Engine max power/torque</w:t>
      </w:r>
    </w:p>
    <w:p w:rsidR="00633E1A" w:rsidRPr="0097508B" w:rsidRDefault="00633E1A" w:rsidP="0097508B">
      <w:pPr>
        <w:rPr>
          <w:rFonts w:asciiTheme="minorHAnsi" w:hAnsiTheme="minorHAnsi"/>
        </w:rPr>
      </w:pPr>
      <w:r w:rsidRPr="0097508B">
        <w:rPr>
          <w:rFonts w:asciiTheme="minorHAnsi" w:hAnsiTheme="minorHAnsi"/>
        </w:rPr>
        <w:t>Trailer</w:t>
      </w:r>
      <w:r w:rsidR="0097508B" w:rsidRPr="0097508B">
        <w:rPr>
          <w:rFonts w:asciiTheme="minorHAnsi" w:hAnsiTheme="minorHAnsi"/>
        </w:rPr>
        <w:t xml:space="preserve"> </w:t>
      </w:r>
      <w:r w:rsidRPr="0097508B">
        <w:rPr>
          <w:rFonts w:asciiTheme="minorHAnsi" w:hAnsiTheme="minorHAnsi"/>
        </w:rPr>
        <w:t>make</w:t>
      </w:r>
      <w:r w:rsidR="0097508B" w:rsidRPr="0097508B">
        <w:rPr>
          <w:rFonts w:asciiTheme="minorHAnsi" w:hAnsiTheme="minorHAnsi"/>
        </w:rPr>
        <w:t xml:space="preserve"> and </w:t>
      </w:r>
      <w:r w:rsidRPr="0097508B">
        <w:rPr>
          <w:rFonts w:asciiTheme="minorHAnsi" w:hAnsiTheme="minorHAnsi"/>
        </w:rPr>
        <w:t>model</w:t>
      </w:r>
    </w:p>
    <w:p w:rsidR="00633E1A" w:rsidRPr="00474140" w:rsidRDefault="00633E1A" w:rsidP="005114F2">
      <w:pPr>
        <w:pStyle w:val="ListParagraph"/>
        <w:numPr>
          <w:ilvl w:val="0"/>
          <w:numId w:val="5"/>
        </w:numPr>
        <w:rPr>
          <w:rFonts w:asciiTheme="minorHAnsi" w:hAnsiTheme="minorHAnsi"/>
        </w:rPr>
      </w:pPr>
      <w:r w:rsidRPr="00474140">
        <w:rPr>
          <w:rFonts w:asciiTheme="minorHAnsi" w:hAnsiTheme="minorHAnsi"/>
        </w:rPr>
        <w:t>VIN</w:t>
      </w:r>
    </w:p>
    <w:p w:rsidR="00633E1A" w:rsidRPr="00474140" w:rsidRDefault="00633E1A" w:rsidP="005114F2">
      <w:pPr>
        <w:pStyle w:val="ListParagraph"/>
        <w:numPr>
          <w:ilvl w:val="0"/>
          <w:numId w:val="5"/>
        </w:numPr>
        <w:rPr>
          <w:rFonts w:asciiTheme="minorHAnsi" w:hAnsiTheme="minorHAnsi"/>
        </w:rPr>
      </w:pPr>
      <w:r w:rsidRPr="00474140">
        <w:rPr>
          <w:rFonts w:asciiTheme="minorHAnsi" w:hAnsiTheme="minorHAnsi"/>
        </w:rPr>
        <w:t>Wheelbase</w:t>
      </w:r>
    </w:p>
    <w:p w:rsidR="00633E1A" w:rsidRPr="00474140" w:rsidRDefault="00633E1A" w:rsidP="005114F2">
      <w:pPr>
        <w:pStyle w:val="ListParagraph"/>
        <w:numPr>
          <w:ilvl w:val="0"/>
          <w:numId w:val="5"/>
        </w:numPr>
        <w:rPr>
          <w:rFonts w:asciiTheme="minorHAnsi" w:hAnsiTheme="minorHAnsi"/>
        </w:rPr>
      </w:pPr>
      <w:r w:rsidRPr="00474140">
        <w:rPr>
          <w:rFonts w:asciiTheme="minorHAnsi" w:hAnsiTheme="minorHAnsi"/>
        </w:rPr>
        <w:t>Axle group/s spread</w:t>
      </w:r>
    </w:p>
    <w:p w:rsidR="00633E1A" w:rsidRPr="00633E1A" w:rsidRDefault="0097508B" w:rsidP="00633E1A">
      <w:pPr>
        <w:rPr>
          <w:rFonts w:asciiTheme="minorHAnsi" w:hAnsiTheme="minorHAnsi"/>
        </w:rPr>
      </w:pPr>
      <w:r>
        <w:rPr>
          <w:rFonts w:asciiTheme="minorHAnsi" w:hAnsiTheme="minorHAnsi"/>
        </w:rPr>
        <w:t>Vehicle c</w:t>
      </w:r>
      <w:r w:rsidR="00474140">
        <w:rPr>
          <w:rFonts w:asciiTheme="minorHAnsi" w:hAnsiTheme="minorHAnsi"/>
        </w:rPr>
        <w:t xml:space="preserve">ertification records </w:t>
      </w:r>
      <w:r w:rsidR="00633E1A" w:rsidRPr="00633E1A">
        <w:rPr>
          <w:rFonts w:asciiTheme="minorHAnsi" w:hAnsiTheme="minorHAnsi"/>
        </w:rPr>
        <w:t xml:space="preserve">should </w:t>
      </w:r>
      <w:r w:rsidR="00244995">
        <w:rPr>
          <w:rFonts w:asciiTheme="minorHAnsi" w:hAnsiTheme="minorHAnsi"/>
        </w:rPr>
        <w:t xml:space="preserve">also </w:t>
      </w:r>
      <w:r w:rsidR="00633E1A" w:rsidRPr="00633E1A">
        <w:rPr>
          <w:rFonts w:asciiTheme="minorHAnsi" w:hAnsiTheme="minorHAnsi"/>
        </w:rPr>
        <w:t>be held by</w:t>
      </w:r>
      <w:r w:rsidR="00124EEB">
        <w:rPr>
          <w:rFonts w:asciiTheme="minorHAnsi" w:hAnsiTheme="minorHAnsi"/>
        </w:rPr>
        <w:t xml:space="preserve"> the National Heavy Vehicle Regulator</w:t>
      </w:r>
      <w:r w:rsidR="00633E1A" w:rsidRPr="00633E1A">
        <w:rPr>
          <w:rFonts w:asciiTheme="minorHAnsi" w:hAnsiTheme="minorHAnsi"/>
        </w:rPr>
        <w:t xml:space="preserve"> </w:t>
      </w:r>
      <w:r w:rsidR="00124EEB">
        <w:rPr>
          <w:rFonts w:asciiTheme="minorHAnsi" w:hAnsiTheme="minorHAnsi"/>
        </w:rPr>
        <w:t>(</w:t>
      </w:r>
      <w:r w:rsidR="00633E1A" w:rsidRPr="00633E1A">
        <w:rPr>
          <w:rFonts w:asciiTheme="minorHAnsi" w:hAnsiTheme="minorHAnsi"/>
        </w:rPr>
        <w:t>NHVR</w:t>
      </w:r>
      <w:r w:rsidR="00124EEB">
        <w:rPr>
          <w:rFonts w:asciiTheme="minorHAnsi" w:hAnsiTheme="minorHAnsi"/>
        </w:rPr>
        <w:t xml:space="preserve">) </w:t>
      </w:r>
      <w:r w:rsidR="00244995">
        <w:rPr>
          <w:rFonts w:asciiTheme="minorHAnsi" w:hAnsiTheme="minorHAnsi"/>
        </w:rPr>
        <w:t>with information</w:t>
      </w:r>
      <w:r w:rsidR="00124EEB">
        <w:rPr>
          <w:rFonts w:asciiTheme="minorHAnsi" w:hAnsiTheme="minorHAnsi"/>
        </w:rPr>
        <w:t xml:space="preserve"> submitted through</w:t>
      </w:r>
      <w:r w:rsidR="00633E1A" w:rsidRPr="00633E1A">
        <w:rPr>
          <w:rFonts w:asciiTheme="minorHAnsi" w:hAnsiTheme="minorHAnsi"/>
        </w:rPr>
        <w:t xml:space="preserve"> </w:t>
      </w:r>
      <w:r w:rsidR="00244995" w:rsidRPr="00633E1A">
        <w:rPr>
          <w:rFonts w:asciiTheme="minorHAnsi" w:hAnsiTheme="minorHAnsi"/>
        </w:rPr>
        <w:t>secure access</w:t>
      </w:r>
      <w:r w:rsidR="00244995">
        <w:rPr>
          <w:rFonts w:asciiTheme="minorHAnsi" w:hAnsiTheme="minorHAnsi"/>
        </w:rPr>
        <w:t xml:space="preserve"> to </w:t>
      </w:r>
      <w:r w:rsidR="00633E1A" w:rsidRPr="00633E1A">
        <w:rPr>
          <w:rFonts w:asciiTheme="minorHAnsi" w:hAnsiTheme="minorHAnsi"/>
        </w:rPr>
        <w:t>online application</w:t>
      </w:r>
      <w:r w:rsidR="00124EEB">
        <w:rPr>
          <w:rFonts w:asciiTheme="minorHAnsi" w:hAnsiTheme="minorHAnsi"/>
        </w:rPr>
        <w:t xml:space="preserve"> forms or </w:t>
      </w:r>
      <w:r w:rsidR="00633E1A" w:rsidRPr="00633E1A">
        <w:rPr>
          <w:rFonts w:asciiTheme="minorHAnsi" w:hAnsiTheme="minorHAnsi"/>
        </w:rPr>
        <w:t>template</w:t>
      </w:r>
      <w:r w:rsidR="00124EEB">
        <w:rPr>
          <w:rFonts w:asciiTheme="minorHAnsi" w:hAnsiTheme="minorHAnsi"/>
        </w:rPr>
        <w:t>s</w:t>
      </w:r>
      <w:r w:rsidR="00633E1A" w:rsidRPr="00633E1A">
        <w:rPr>
          <w:rFonts w:asciiTheme="minorHAnsi" w:hAnsiTheme="minorHAnsi"/>
        </w:rPr>
        <w:t xml:space="preserve"> </w:t>
      </w:r>
      <w:r w:rsidR="00124EEB">
        <w:rPr>
          <w:rFonts w:asciiTheme="minorHAnsi" w:hAnsiTheme="minorHAnsi"/>
        </w:rPr>
        <w:t xml:space="preserve">for </w:t>
      </w:r>
      <w:r w:rsidR="00633E1A" w:rsidRPr="00633E1A">
        <w:rPr>
          <w:rFonts w:asciiTheme="minorHAnsi" w:hAnsiTheme="minorHAnsi"/>
        </w:rPr>
        <w:t>pre-registration</w:t>
      </w:r>
      <w:r w:rsidR="00124EEB">
        <w:rPr>
          <w:rFonts w:asciiTheme="minorHAnsi" w:hAnsiTheme="minorHAnsi"/>
        </w:rPr>
        <w:t xml:space="preserve"> and </w:t>
      </w:r>
      <w:r w:rsidR="00633E1A" w:rsidRPr="00633E1A">
        <w:rPr>
          <w:rFonts w:asciiTheme="minorHAnsi" w:hAnsiTheme="minorHAnsi"/>
        </w:rPr>
        <w:t>registration. The application would complete calculations in accordance with the formula</w:t>
      </w:r>
      <w:r w:rsidR="00474140">
        <w:rPr>
          <w:rFonts w:asciiTheme="minorHAnsi" w:hAnsiTheme="minorHAnsi"/>
        </w:rPr>
        <w:t xml:space="preserve"> and </w:t>
      </w:r>
      <w:r w:rsidR="00633E1A" w:rsidRPr="00633E1A">
        <w:rPr>
          <w:rFonts w:asciiTheme="minorHAnsi" w:hAnsiTheme="minorHAnsi"/>
        </w:rPr>
        <w:t>specifications and the result would be a Pass/Fail.</w:t>
      </w:r>
    </w:p>
    <w:p w:rsidR="00633E1A" w:rsidRDefault="00633E1A" w:rsidP="00633E1A">
      <w:pPr>
        <w:rPr>
          <w:rFonts w:asciiTheme="minorHAnsi" w:hAnsiTheme="minorHAnsi"/>
        </w:rPr>
      </w:pPr>
    </w:p>
    <w:p w:rsidR="00633E1A" w:rsidRPr="006667CD" w:rsidRDefault="008D5445" w:rsidP="00633E1A">
      <w:pPr>
        <w:rPr>
          <w:b/>
        </w:rPr>
      </w:pPr>
      <w:r>
        <w:rPr>
          <w:b/>
        </w:rPr>
        <w:t xml:space="preserve">Q5 </w:t>
      </w:r>
      <w:r w:rsidR="00633E1A" w:rsidRPr="006667CD">
        <w:rPr>
          <w:b/>
        </w:rPr>
        <w:t xml:space="preserve">Have you used any of the NTC released PBS approved blueprints? If so, which and to what </w:t>
      </w:r>
      <w:r w:rsidR="002A34FB">
        <w:rPr>
          <w:b/>
        </w:rPr>
        <w:t>degree of success?</w:t>
      </w:r>
    </w:p>
    <w:p w:rsidR="00633E1A" w:rsidRPr="00633E1A" w:rsidRDefault="00E1593F" w:rsidP="00633E1A">
      <w:pPr>
        <w:rPr>
          <w:rFonts w:asciiTheme="minorHAnsi" w:hAnsiTheme="minorHAnsi"/>
        </w:rPr>
      </w:pPr>
      <w:r>
        <w:rPr>
          <w:rFonts w:asciiTheme="minorHAnsi" w:hAnsiTheme="minorHAnsi"/>
        </w:rPr>
        <w:t xml:space="preserve">ATA feedback </w:t>
      </w:r>
      <w:r w:rsidR="00244995">
        <w:rPr>
          <w:rFonts w:asciiTheme="minorHAnsi" w:hAnsiTheme="minorHAnsi"/>
        </w:rPr>
        <w:t xml:space="preserve">indicates </w:t>
      </w:r>
      <w:r w:rsidR="00401DAB">
        <w:rPr>
          <w:rFonts w:asciiTheme="minorHAnsi" w:hAnsiTheme="minorHAnsi"/>
        </w:rPr>
        <w:t xml:space="preserve">that </w:t>
      </w:r>
      <w:r w:rsidR="00244995">
        <w:rPr>
          <w:rFonts w:asciiTheme="minorHAnsi" w:hAnsiTheme="minorHAnsi"/>
        </w:rPr>
        <w:t>so</w:t>
      </w:r>
      <w:r>
        <w:rPr>
          <w:rFonts w:asciiTheme="minorHAnsi" w:hAnsiTheme="minorHAnsi"/>
        </w:rPr>
        <w:t>me operators hav</w:t>
      </w:r>
      <w:r w:rsidR="00633E1A" w:rsidRPr="00633E1A">
        <w:rPr>
          <w:rFonts w:asciiTheme="minorHAnsi" w:hAnsiTheme="minorHAnsi"/>
        </w:rPr>
        <w:t xml:space="preserve">e attempted </w:t>
      </w:r>
      <w:r>
        <w:rPr>
          <w:rFonts w:asciiTheme="minorHAnsi" w:hAnsiTheme="minorHAnsi"/>
        </w:rPr>
        <w:t xml:space="preserve">and failed </w:t>
      </w:r>
      <w:r w:rsidR="00633E1A" w:rsidRPr="00633E1A">
        <w:rPr>
          <w:rFonts w:asciiTheme="minorHAnsi" w:hAnsiTheme="minorHAnsi"/>
        </w:rPr>
        <w:t>to use the 20</w:t>
      </w:r>
      <w:r w:rsidR="008D5445">
        <w:rPr>
          <w:rFonts w:asciiTheme="minorHAnsi" w:hAnsiTheme="minorHAnsi"/>
        </w:rPr>
        <w:t xml:space="preserve"> </w:t>
      </w:r>
      <w:r w:rsidR="00633E1A" w:rsidRPr="00633E1A">
        <w:rPr>
          <w:rFonts w:asciiTheme="minorHAnsi" w:hAnsiTheme="minorHAnsi"/>
        </w:rPr>
        <w:t xml:space="preserve">metre </w:t>
      </w:r>
      <w:r>
        <w:rPr>
          <w:rFonts w:asciiTheme="minorHAnsi" w:hAnsiTheme="minorHAnsi"/>
        </w:rPr>
        <w:t xml:space="preserve">semi-trailer “blueprint” tool </w:t>
      </w:r>
      <w:r w:rsidR="00432C6D">
        <w:rPr>
          <w:rFonts w:asciiTheme="minorHAnsi" w:hAnsiTheme="minorHAnsi"/>
        </w:rPr>
        <w:t>primarily because</w:t>
      </w:r>
      <w:r>
        <w:rPr>
          <w:rFonts w:asciiTheme="minorHAnsi" w:hAnsiTheme="minorHAnsi"/>
        </w:rPr>
        <w:t xml:space="preserve"> the </w:t>
      </w:r>
      <w:r w:rsidR="00633E1A" w:rsidRPr="00633E1A">
        <w:rPr>
          <w:rFonts w:asciiTheme="minorHAnsi" w:hAnsiTheme="minorHAnsi"/>
        </w:rPr>
        <w:t xml:space="preserve">input limits are </w:t>
      </w:r>
      <w:r>
        <w:rPr>
          <w:rFonts w:asciiTheme="minorHAnsi" w:hAnsiTheme="minorHAnsi"/>
        </w:rPr>
        <w:t>far</w:t>
      </w:r>
      <w:r w:rsidR="00633E1A" w:rsidRPr="00633E1A">
        <w:rPr>
          <w:rFonts w:asciiTheme="minorHAnsi" w:hAnsiTheme="minorHAnsi"/>
        </w:rPr>
        <w:t xml:space="preserve"> too conservative.</w:t>
      </w:r>
    </w:p>
    <w:p w:rsidR="00633E1A" w:rsidRPr="00633E1A" w:rsidRDefault="00633E1A" w:rsidP="00633E1A">
      <w:pPr>
        <w:rPr>
          <w:rFonts w:asciiTheme="minorHAnsi" w:hAnsiTheme="minorHAnsi"/>
        </w:rPr>
      </w:pPr>
    </w:p>
    <w:p w:rsidR="00633E1A" w:rsidRPr="006667CD" w:rsidRDefault="008D5445" w:rsidP="00633E1A">
      <w:pPr>
        <w:rPr>
          <w:b/>
        </w:rPr>
      </w:pPr>
      <w:r>
        <w:rPr>
          <w:b/>
        </w:rPr>
        <w:t xml:space="preserve">Q6 </w:t>
      </w:r>
      <w:r w:rsidR="00633E1A" w:rsidRPr="006667CD">
        <w:rPr>
          <w:b/>
        </w:rPr>
        <w:t xml:space="preserve">What effect do you expect the release of NTC - developed blueprints to have on the industry? Please provide a </w:t>
      </w:r>
      <w:r w:rsidR="002A34FB">
        <w:rPr>
          <w:b/>
        </w:rPr>
        <w:t>detailed response.</w:t>
      </w:r>
    </w:p>
    <w:p w:rsidR="00633E1A" w:rsidRPr="00633E1A" w:rsidRDefault="00CE27B0" w:rsidP="00633E1A">
      <w:pPr>
        <w:rPr>
          <w:rFonts w:asciiTheme="minorHAnsi" w:hAnsiTheme="minorHAnsi"/>
        </w:rPr>
      </w:pPr>
      <w:r>
        <w:rPr>
          <w:rFonts w:asciiTheme="minorHAnsi" w:hAnsiTheme="minorHAnsi"/>
        </w:rPr>
        <w:t>As per Q5 above, u</w:t>
      </w:r>
      <w:r w:rsidR="00633E1A" w:rsidRPr="00633E1A">
        <w:rPr>
          <w:rFonts w:asciiTheme="minorHAnsi" w:hAnsiTheme="minorHAnsi"/>
        </w:rPr>
        <w:t xml:space="preserve">nless </w:t>
      </w:r>
      <w:r w:rsidR="00401DAB">
        <w:rPr>
          <w:rFonts w:asciiTheme="minorHAnsi" w:hAnsiTheme="minorHAnsi"/>
        </w:rPr>
        <w:t>the</w:t>
      </w:r>
      <w:r w:rsidR="00DF121E">
        <w:rPr>
          <w:rFonts w:asciiTheme="minorHAnsi" w:hAnsiTheme="minorHAnsi"/>
        </w:rPr>
        <w:t>se</w:t>
      </w:r>
      <w:r w:rsidR="00401DAB">
        <w:rPr>
          <w:rFonts w:asciiTheme="minorHAnsi" w:hAnsiTheme="minorHAnsi"/>
        </w:rPr>
        <w:t xml:space="preserve"> </w:t>
      </w:r>
      <w:r>
        <w:rPr>
          <w:rFonts w:asciiTheme="minorHAnsi" w:hAnsiTheme="minorHAnsi"/>
        </w:rPr>
        <w:t xml:space="preserve">new </w:t>
      </w:r>
      <w:r w:rsidR="00633E1A" w:rsidRPr="00633E1A">
        <w:rPr>
          <w:rFonts w:asciiTheme="minorHAnsi" w:hAnsiTheme="minorHAnsi"/>
        </w:rPr>
        <w:t xml:space="preserve">blueprints </w:t>
      </w:r>
      <w:r>
        <w:rPr>
          <w:rFonts w:asciiTheme="minorHAnsi" w:hAnsiTheme="minorHAnsi"/>
        </w:rPr>
        <w:t>a</w:t>
      </w:r>
      <w:r w:rsidR="00633E1A" w:rsidRPr="00633E1A">
        <w:rPr>
          <w:rFonts w:asciiTheme="minorHAnsi" w:hAnsiTheme="minorHAnsi"/>
        </w:rPr>
        <w:t>re very flexible</w:t>
      </w:r>
      <w:r>
        <w:rPr>
          <w:rFonts w:asciiTheme="minorHAnsi" w:hAnsiTheme="minorHAnsi"/>
        </w:rPr>
        <w:t xml:space="preserve">, </w:t>
      </w:r>
      <w:r w:rsidR="000158A5">
        <w:rPr>
          <w:rFonts w:asciiTheme="minorHAnsi" w:hAnsiTheme="minorHAnsi"/>
        </w:rPr>
        <w:t xml:space="preserve">the </w:t>
      </w:r>
      <w:r>
        <w:rPr>
          <w:rFonts w:asciiTheme="minorHAnsi" w:hAnsiTheme="minorHAnsi"/>
        </w:rPr>
        <w:t>ATA</w:t>
      </w:r>
      <w:r w:rsidR="000158A5">
        <w:rPr>
          <w:rFonts w:asciiTheme="minorHAnsi" w:hAnsiTheme="minorHAnsi"/>
        </w:rPr>
        <w:t>’s</w:t>
      </w:r>
      <w:r>
        <w:rPr>
          <w:rFonts w:asciiTheme="minorHAnsi" w:hAnsiTheme="minorHAnsi"/>
        </w:rPr>
        <w:t xml:space="preserve"> feedback indicates operators are </w:t>
      </w:r>
      <w:r w:rsidR="00633E1A" w:rsidRPr="00633E1A">
        <w:rPr>
          <w:rFonts w:asciiTheme="minorHAnsi" w:hAnsiTheme="minorHAnsi"/>
        </w:rPr>
        <w:t xml:space="preserve">unlikely to </w:t>
      </w:r>
      <w:r>
        <w:rPr>
          <w:rFonts w:asciiTheme="minorHAnsi" w:hAnsiTheme="minorHAnsi"/>
        </w:rPr>
        <w:t>receive</w:t>
      </w:r>
      <w:r w:rsidR="00633E1A" w:rsidRPr="00633E1A">
        <w:rPr>
          <w:rFonts w:asciiTheme="minorHAnsi" w:hAnsiTheme="minorHAnsi"/>
        </w:rPr>
        <w:t xml:space="preserve"> significant benefit</w:t>
      </w:r>
      <w:r>
        <w:rPr>
          <w:rFonts w:asciiTheme="minorHAnsi" w:hAnsiTheme="minorHAnsi"/>
        </w:rPr>
        <w:t>s</w:t>
      </w:r>
      <w:r w:rsidR="00633E1A" w:rsidRPr="00633E1A">
        <w:rPr>
          <w:rFonts w:asciiTheme="minorHAnsi" w:hAnsiTheme="minorHAnsi"/>
        </w:rPr>
        <w:t>.</w:t>
      </w:r>
    </w:p>
    <w:p w:rsidR="00B97989" w:rsidRDefault="00B97989" w:rsidP="00633E1A">
      <w:pPr>
        <w:rPr>
          <w:b/>
        </w:rPr>
      </w:pPr>
    </w:p>
    <w:p w:rsidR="00633E1A" w:rsidRPr="006667CD" w:rsidRDefault="008D5445" w:rsidP="00633E1A">
      <w:pPr>
        <w:rPr>
          <w:b/>
        </w:rPr>
      </w:pPr>
      <w:r>
        <w:rPr>
          <w:b/>
        </w:rPr>
        <w:t xml:space="preserve">Q7 </w:t>
      </w:r>
      <w:r w:rsidR="00633E1A" w:rsidRPr="006667CD">
        <w:rPr>
          <w:b/>
        </w:rPr>
        <w:t>Does the use of available manufacturer blueprints meet the needs of operators see</w:t>
      </w:r>
      <w:r w:rsidR="002A34FB">
        <w:rPr>
          <w:b/>
        </w:rPr>
        <w:t>king access to PBS mass limits?</w:t>
      </w:r>
    </w:p>
    <w:p w:rsidR="00633E1A" w:rsidRPr="00633E1A" w:rsidRDefault="00633E1A" w:rsidP="00633E1A">
      <w:pPr>
        <w:rPr>
          <w:rFonts w:asciiTheme="minorHAnsi" w:hAnsiTheme="minorHAnsi"/>
        </w:rPr>
      </w:pPr>
      <w:r w:rsidRPr="00633E1A">
        <w:rPr>
          <w:rFonts w:asciiTheme="minorHAnsi" w:hAnsiTheme="minorHAnsi"/>
        </w:rPr>
        <w:t xml:space="preserve">Potentially yes, but many </w:t>
      </w:r>
      <w:r w:rsidR="00C769CA">
        <w:rPr>
          <w:rFonts w:asciiTheme="minorHAnsi" w:hAnsiTheme="minorHAnsi"/>
        </w:rPr>
        <w:t xml:space="preserve">stakeholders </w:t>
      </w:r>
      <w:r w:rsidRPr="00633E1A">
        <w:rPr>
          <w:rFonts w:asciiTheme="minorHAnsi" w:hAnsiTheme="minorHAnsi"/>
        </w:rPr>
        <w:t xml:space="preserve">do not understand the axle spacing requirements (internal groups </w:t>
      </w:r>
      <w:r w:rsidRPr="00A35CCF">
        <w:rPr>
          <w:rFonts w:asciiTheme="minorHAnsi" w:hAnsiTheme="minorHAnsi"/>
        </w:rPr>
        <w:t>and EAM</w:t>
      </w:r>
      <w:r w:rsidR="002060CF" w:rsidRPr="00A35CCF">
        <w:rPr>
          <w:rStyle w:val="FootnoteReference"/>
          <w:rFonts w:asciiTheme="minorHAnsi" w:hAnsiTheme="minorHAnsi"/>
        </w:rPr>
        <w:footnoteReference w:id="3"/>
      </w:r>
      <w:r w:rsidRPr="00A35CCF">
        <w:rPr>
          <w:rFonts w:asciiTheme="minorHAnsi" w:hAnsiTheme="minorHAnsi"/>
        </w:rPr>
        <w:t>) therefore</w:t>
      </w:r>
      <w:r w:rsidRPr="00633E1A">
        <w:rPr>
          <w:rFonts w:asciiTheme="minorHAnsi" w:hAnsiTheme="minorHAnsi"/>
        </w:rPr>
        <w:t xml:space="preserve"> any tool must include Pass/Fail for all aspects.</w:t>
      </w:r>
    </w:p>
    <w:p w:rsidR="00633E1A" w:rsidRPr="00633E1A" w:rsidRDefault="00633E1A" w:rsidP="00633E1A">
      <w:pPr>
        <w:rPr>
          <w:rFonts w:asciiTheme="minorHAnsi" w:hAnsiTheme="minorHAnsi"/>
        </w:rPr>
      </w:pPr>
    </w:p>
    <w:p w:rsidR="00633E1A" w:rsidRPr="006667CD" w:rsidRDefault="008D5445" w:rsidP="00633E1A">
      <w:pPr>
        <w:rPr>
          <w:b/>
        </w:rPr>
      </w:pPr>
      <w:r>
        <w:rPr>
          <w:b/>
        </w:rPr>
        <w:t xml:space="preserve">Q8 </w:t>
      </w:r>
      <w:r w:rsidR="00633E1A" w:rsidRPr="006667CD">
        <w:rPr>
          <w:b/>
        </w:rPr>
        <w:t>If, as a manufacturer, you do not have your own PBS blueprints, how would the release of government developed blueprints/specification envelopes (An envelope is envisaged as a document that contains a set of requirements in drawings and text form that a vehicle will be required to comply with so it operates with increased mass limits.) influence your decision to pursue the PBS truck</w:t>
      </w:r>
      <w:r>
        <w:rPr>
          <w:b/>
        </w:rPr>
        <w:t xml:space="preserve"> and dog market?</w:t>
      </w:r>
    </w:p>
    <w:p w:rsidR="00633E1A" w:rsidRPr="00633E1A" w:rsidRDefault="00843D83" w:rsidP="00633E1A">
      <w:pPr>
        <w:rPr>
          <w:rFonts w:asciiTheme="minorHAnsi" w:hAnsiTheme="minorHAnsi"/>
        </w:rPr>
      </w:pPr>
      <w:r>
        <w:rPr>
          <w:rFonts w:asciiTheme="minorHAnsi" w:hAnsiTheme="minorHAnsi"/>
        </w:rPr>
        <w:t>Operator feedback indicates that p</w:t>
      </w:r>
      <w:r w:rsidR="00633E1A" w:rsidRPr="00633E1A">
        <w:rPr>
          <w:rFonts w:asciiTheme="minorHAnsi" w:hAnsiTheme="minorHAnsi"/>
        </w:rPr>
        <w:t>rescriptive dimensions and formula</w:t>
      </w:r>
      <w:r w:rsidR="00C769CA">
        <w:rPr>
          <w:rFonts w:asciiTheme="minorHAnsi" w:hAnsiTheme="minorHAnsi"/>
        </w:rPr>
        <w:t>e</w:t>
      </w:r>
      <w:r w:rsidR="00633E1A" w:rsidRPr="00633E1A">
        <w:rPr>
          <w:rFonts w:asciiTheme="minorHAnsi" w:hAnsiTheme="minorHAnsi"/>
        </w:rPr>
        <w:t xml:space="preserve"> </w:t>
      </w:r>
      <w:r w:rsidR="00AC26CE">
        <w:rPr>
          <w:rFonts w:asciiTheme="minorHAnsi" w:hAnsiTheme="minorHAnsi"/>
        </w:rPr>
        <w:t>will</w:t>
      </w:r>
      <w:r w:rsidR="00633E1A" w:rsidRPr="00633E1A">
        <w:rPr>
          <w:rFonts w:asciiTheme="minorHAnsi" w:hAnsiTheme="minorHAnsi"/>
        </w:rPr>
        <w:t xml:space="preserve"> result in simplification</w:t>
      </w:r>
      <w:r w:rsidR="00E340E3">
        <w:rPr>
          <w:rFonts w:asciiTheme="minorHAnsi" w:hAnsiTheme="minorHAnsi"/>
        </w:rPr>
        <w:t xml:space="preserve"> </w:t>
      </w:r>
      <w:r w:rsidR="00C769CA">
        <w:rPr>
          <w:rFonts w:asciiTheme="minorHAnsi" w:hAnsiTheme="minorHAnsi"/>
        </w:rPr>
        <w:t>and that</w:t>
      </w:r>
      <w:r w:rsidR="00AC26CE">
        <w:rPr>
          <w:rFonts w:asciiTheme="minorHAnsi" w:hAnsiTheme="minorHAnsi"/>
        </w:rPr>
        <w:t xml:space="preserve"> a </w:t>
      </w:r>
      <w:r w:rsidR="00633E1A" w:rsidRPr="00633E1A">
        <w:rPr>
          <w:rFonts w:asciiTheme="minorHAnsi" w:hAnsiTheme="minorHAnsi"/>
        </w:rPr>
        <w:t>self-certification pro</w:t>
      </w:r>
      <w:r w:rsidR="00AC26CE">
        <w:rPr>
          <w:rFonts w:asciiTheme="minorHAnsi" w:hAnsiTheme="minorHAnsi"/>
        </w:rPr>
        <w:t>c</w:t>
      </w:r>
      <w:r w:rsidR="00633E1A" w:rsidRPr="00633E1A">
        <w:rPr>
          <w:rFonts w:asciiTheme="minorHAnsi" w:hAnsiTheme="minorHAnsi"/>
        </w:rPr>
        <w:t xml:space="preserve">ess would be </w:t>
      </w:r>
      <w:r w:rsidR="00AC26CE">
        <w:rPr>
          <w:rFonts w:asciiTheme="minorHAnsi" w:hAnsiTheme="minorHAnsi"/>
        </w:rPr>
        <w:t>of</w:t>
      </w:r>
      <w:r w:rsidR="00633E1A" w:rsidRPr="00633E1A">
        <w:rPr>
          <w:rFonts w:asciiTheme="minorHAnsi" w:hAnsiTheme="minorHAnsi"/>
        </w:rPr>
        <w:t xml:space="preserve"> general benefit.</w:t>
      </w:r>
    </w:p>
    <w:p w:rsidR="00633E1A" w:rsidRPr="00633E1A" w:rsidRDefault="00633E1A" w:rsidP="00633E1A">
      <w:pPr>
        <w:rPr>
          <w:rFonts w:asciiTheme="minorHAnsi" w:hAnsiTheme="minorHAnsi"/>
        </w:rPr>
      </w:pPr>
    </w:p>
    <w:p w:rsidR="008D5445" w:rsidRDefault="00633E1A" w:rsidP="00633E1A">
      <w:pPr>
        <w:rPr>
          <w:b/>
        </w:rPr>
      </w:pPr>
      <w:r w:rsidRPr="006667CD">
        <w:rPr>
          <w:b/>
        </w:rPr>
        <w:t>Q10</w:t>
      </w:r>
      <w:r w:rsidR="008D5445">
        <w:rPr>
          <w:b/>
        </w:rPr>
        <w:t xml:space="preserve"> </w:t>
      </w:r>
      <w:r w:rsidRPr="006667CD">
        <w:rPr>
          <w:b/>
        </w:rPr>
        <w:t xml:space="preserve">If the NTC develops these specification envelopes for commercial use, do you think this will affect innovation in the design and manufacture of truck and trailer combinations? </w:t>
      </w:r>
    </w:p>
    <w:p w:rsidR="00633E1A" w:rsidRPr="00633E1A" w:rsidRDefault="008D5445" w:rsidP="00633E1A">
      <w:pPr>
        <w:rPr>
          <w:rFonts w:asciiTheme="minorHAnsi" w:hAnsiTheme="minorHAnsi"/>
        </w:rPr>
      </w:pPr>
      <w:r>
        <w:rPr>
          <w:rFonts w:asciiTheme="minorHAnsi" w:hAnsiTheme="minorHAnsi"/>
        </w:rPr>
        <w:t xml:space="preserve">No. </w:t>
      </w:r>
      <w:r w:rsidR="00945844">
        <w:rPr>
          <w:rFonts w:asciiTheme="minorHAnsi" w:hAnsiTheme="minorHAnsi"/>
        </w:rPr>
        <w:t>A</w:t>
      </w:r>
      <w:r w:rsidR="00633E1A" w:rsidRPr="00633E1A">
        <w:rPr>
          <w:rFonts w:asciiTheme="minorHAnsi" w:hAnsiTheme="minorHAnsi"/>
        </w:rPr>
        <w:t xml:space="preserve">ccess to PBS for configurations outside the parameter limits of specification envelopes will </w:t>
      </w:r>
      <w:r w:rsidR="00945844">
        <w:rPr>
          <w:rFonts w:asciiTheme="minorHAnsi" w:hAnsiTheme="minorHAnsi"/>
        </w:rPr>
        <w:t xml:space="preserve">hopefully </w:t>
      </w:r>
      <w:r w:rsidR="00633E1A" w:rsidRPr="00633E1A">
        <w:rPr>
          <w:rFonts w:asciiTheme="minorHAnsi" w:hAnsiTheme="minorHAnsi"/>
        </w:rPr>
        <w:t>remain</w:t>
      </w:r>
      <w:r w:rsidR="00945844">
        <w:rPr>
          <w:rFonts w:asciiTheme="minorHAnsi" w:hAnsiTheme="minorHAnsi"/>
        </w:rPr>
        <w:t xml:space="preserve"> and </w:t>
      </w:r>
      <w:r w:rsidR="00AE4A71">
        <w:rPr>
          <w:rFonts w:asciiTheme="minorHAnsi" w:hAnsiTheme="minorHAnsi"/>
        </w:rPr>
        <w:t>thus</w:t>
      </w:r>
      <w:r w:rsidR="00633E1A" w:rsidRPr="00633E1A">
        <w:rPr>
          <w:rFonts w:asciiTheme="minorHAnsi" w:hAnsiTheme="minorHAnsi"/>
        </w:rPr>
        <w:t xml:space="preserve"> innovation </w:t>
      </w:r>
      <w:r w:rsidR="00AE4A71">
        <w:rPr>
          <w:rFonts w:asciiTheme="minorHAnsi" w:hAnsiTheme="minorHAnsi"/>
        </w:rPr>
        <w:t>should</w:t>
      </w:r>
      <w:r w:rsidR="00945844" w:rsidRPr="00633E1A">
        <w:rPr>
          <w:rFonts w:asciiTheme="minorHAnsi" w:hAnsiTheme="minorHAnsi"/>
        </w:rPr>
        <w:t xml:space="preserve"> continue </w:t>
      </w:r>
      <w:r w:rsidR="00945844">
        <w:rPr>
          <w:rFonts w:asciiTheme="minorHAnsi" w:hAnsiTheme="minorHAnsi"/>
        </w:rPr>
        <w:t xml:space="preserve">to emerge </w:t>
      </w:r>
      <w:r w:rsidR="00633E1A" w:rsidRPr="00633E1A">
        <w:rPr>
          <w:rFonts w:asciiTheme="minorHAnsi" w:hAnsiTheme="minorHAnsi"/>
        </w:rPr>
        <w:t xml:space="preserve">where </w:t>
      </w:r>
      <w:r w:rsidR="00945844">
        <w:rPr>
          <w:rFonts w:asciiTheme="minorHAnsi" w:hAnsiTheme="minorHAnsi"/>
        </w:rPr>
        <w:t xml:space="preserve">the </w:t>
      </w:r>
      <w:r w:rsidR="00633E1A" w:rsidRPr="00633E1A">
        <w:rPr>
          <w:rFonts w:asciiTheme="minorHAnsi" w:hAnsiTheme="minorHAnsi"/>
        </w:rPr>
        <w:t>freight task requires combinations outside envelope limits.</w:t>
      </w:r>
    </w:p>
    <w:p w:rsidR="00633E1A" w:rsidRPr="00633E1A" w:rsidRDefault="00633E1A" w:rsidP="00633E1A">
      <w:pPr>
        <w:rPr>
          <w:rFonts w:asciiTheme="minorHAnsi" w:hAnsiTheme="minorHAnsi"/>
        </w:rPr>
      </w:pPr>
    </w:p>
    <w:p w:rsidR="00633E1A" w:rsidRPr="006667CD" w:rsidRDefault="00633E1A" w:rsidP="00633E1A">
      <w:pPr>
        <w:rPr>
          <w:b/>
        </w:rPr>
      </w:pPr>
      <w:r w:rsidRPr="006667CD">
        <w:rPr>
          <w:b/>
        </w:rPr>
        <w:t>Q11</w:t>
      </w:r>
      <w:r w:rsidR="001A5A79">
        <w:rPr>
          <w:b/>
        </w:rPr>
        <w:t xml:space="preserve"> </w:t>
      </w:r>
      <w:r w:rsidRPr="006667CD">
        <w:rPr>
          <w:b/>
        </w:rPr>
        <w:t>Are the specification envelopes developed in this discussion paper practical and easy to read and adopt, from a manufacturer/operator as well as a sta</w:t>
      </w:r>
      <w:r w:rsidR="001A5A79">
        <w:rPr>
          <w:b/>
        </w:rPr>
        <w:t>te and territory point of view?</w:t>
      </w:r>
    </w:p>
    <w:p w:rsidR="00633E1A" w:rsidRPr="00633E1A" w:rsidRDefault="00633E1A" w:rsidP="00633E1A">
      <w:pPr>
        <w:rPr>
          <w:rFonts w:asciiTheme="minorHAnsi" w:hAnsiTheme="minorHAnsi"/>
        </w:rPr>
      </w:pPr>
      <w:r w:rsidRPr="00633E1A">
        <w:rPr>
          <w:rFonts w:asciiTheme="minorHAnsi" w:hAnsiTheme="minorHAnsi"/>
        </w:rPr>
        <w:t>Yes</w:t>
      </w:r>
      <w:r w:rsidR="00F02FBC">
        <w:rPr>
          <w:rFonts w:asciiTheme="minorHAnsi" w:hAnsiTheme="minorHAnsi"/>
        </w:rPr>
        <w:t>.</w:t>
      </w:r>
    </w:p>
    <w:p w:rsidR="00F01018" w:rsidRDefault="00F01018" w:rsidP="00633E1A">
      <w:pPr>
        <w:rPr>
          <w:b/>
        </w:rPr>
      </w:pPr>
    </w:p>
    <w:p w:rsidR="00633E1A" w:rsidRPr="006667CD" w:rsidRDefault="00633E1A" w:rsidP="00633E1A">
      <w:pPr>
        <w:rPr>
          <w:b/>
        </w:rPr>
      </w:pPr>
      <w:r w:rsidRPr="006667CD">
        <w:rPr>
          <w:b/>
        </w:rPr>
        <w:t>Q12</w:t>
      </w:r>
      <w:r w:rsidR="00086965">
        <w:rPr>
          <w:b/>
        </w:rPr>
        <w:t xml:space="preserve"> </w:t>
      </w:r>
      <w:r w:rsidRPr="006667CD">
        <w:rPr>
          <w:b/>
        </w:rPr>
        <w:t xml:space="preserve">Are the assumptions on which the envelopes are based reasonable? Do any of these assumptions need to be modified before such an envelope can be implemented ? </w:t>
      </w:r>
    </w:p>
    <w:p w:rsidR="00633E1A" w:rsidRDefault="00633E1A" w:rsidP="00633E1A">
      <w:pPr>
        <w:rPr>
          <w:rFonts w:asciiTheme="minorHAnsi" w:hAnsiTheme="minorHAnsi"/>
        </w:rPr>
      </w:pPr>
      <w:r w:rsidRPr="00633E1A">
        <w:rPr>
          <w:rFonts w:asciiTheme="minorHAnsi" w:hAnsiTheme="minorHAnsi"/>
        </w:rPr>
        <w:t>No</w:t>
      </w:r>
      <w:r w:rsidR="00086965">
        <w:rPr>
          <w:rFonts w:asciiTheme="minorHAnsi" w:hAnsiTheme="minorHAnsi"/>
        </w:rPr>
        <w:t xml:space="preserve">. </w:t>
      </w:r>
      <w:r w:rsidR="00CF603E">
        <w:rPr>
          <w:rFonts w:asciiTheme="minorHAnsi" w:hAnsiTheme="minorHAnsi"/>
        </w:rPr>
        <w:t>For example, s</w:t>
      </w:r>
      <w:r w:rsidRPr="00633E1A">
        <w:rPr>
          <w:rFonts w:asciiTheme="minorHAnsi" w:hAnsiTheme="minorHAnsi"/>
        </w:rPr>
        <w:t xml:space="preserve">ome drawbar length dimensions do not </w:t>
      </w:r>
      <w:r w:rsidR="00086965">
        <w:rPr>
          <w:rFonts w:asciiTheme="minorHAnsi" w:hAnsiTheme="minorHAnsi"/>
        </w:rPr>
        <w:t>meet</w:t>
      </w:r>
      <w:r w:rsidRPr="00633E1A">
        <w:rPr>
          <w:rFonts w:asciiTheme="minorHAnsi" w:hAnsiTheme="minorHAnsi"/>
        </w:rPr>
        <w:t xml:space="preserve"> ADR limits. Torque requirements </w:t>
      </w:r>
      <w:r w:rsidR="00CF603E">
        <w:rPr>
          <w:rFonts w:asciiTheme="minorHAnsi" w:hAnsiTheme="minorHAnsi"/>
        </w:rPr>
        <w:t xml:space="preserve">also </w:t>
      </w:r>
      <w:r w:rsidRPr="00633E1A">
        <w:rPr>
          <w:rFonts w:asciiTheme="minorHAnsi" w:hAnsiTheme="minorHAnsi"/>
        </w:rPr>
        <w:t>seem to have been based on 11R22.5 tyres only.</w:t>
      </w:r>
    </w:p>
    <w:p w:rsidR="00633E1A" w:rsidRDefault="002060CF" w:rsidP="00633E1A">
      <w:pPr>
        <w:rPr>
          <w:rFonts w:asciiTheme="minorHAnsi" w:hAnsiTheme="minorHAnsi"/>
        </w:rPr>
      </w:pPr>
      <w:r w:rsidRPr="009F2A7A">
        <w:rPr>
          <w:rFonts w:asciiTheme="minorHAnsi" w:hAnsiTheme="minorHAnsi"/>
          <w:noProof/>
          <w:lang w:eastAsia="en-AU"/>
        </w:rPr>
        <w:drawing>
          <wp:anchor distT="0" distB="0" distL="114300" distR="114300" simplePos="0" relativeHeight="251658240" behindDoc="0" locked="0" layoutInCell="1" allowOverlap="1" wp14:anchorId="0D476BEE" wp14:editId="204517CB">
            <wp:simplePos x="0" y="0"/>
            <wp:positionH relativeFrom="margin">
              <wp:align>left</wp:align>
            </wp:positionH>
            <wp:positionV relativeFrom="paragraph">
              <wp:posOffset>170815</wp:posOffset>
            </wp:positionV>
            <wp:extent cx="2600960" cy="373888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0960" cy="3738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50C0" w:rsidRDefault="00BE50C0" w:rsidP="009F2A7A">
      <w:pPr>
        <w:rPr>
          <w:b/>
        </w:rPr>
      </w:pPr>
    </w:p>
    <w:p w:rsidR="009F2A7A" w:rsidRPr="00A2461C" w:rsidRDefault="00FC3B2E" w:rsidP="009F2A7A">
      <w:pPr>
        <w:rPr>
          <w:b/>
        </w:rPr>
      </w:pPr>
      <w:r>
        <w:rPr>
          <w:b/>
        </w:rPr>
        <w:t xml:space="preserve">Figure 9 </w:t>
      </w:r>
      <w:r w:rsidR="0023210F">
        <w:rPr>
          <w:b/>
        </w:rPr>
        <w:t xml:space="preserve"> </w:t>
      </w:r>
      <w:r>
        <w:rPr>
          <w:b/>
        </w:rPr>
        <w:t xml:space="preserve">Specification </w:t>
      </w:r>
      <w:r w:rsidR="00187F6F">
        <w:rPr>
          <w:b/>
        </w:rPr>
        <w:t xml:space="preserve">envelope </w:t>
      </w:r>
      <w:r>
        <w:rPr>
          <w:b/>
        </w:rPr>
        <w:t>for 6-axle Truck &amp;Trailer</w:t>
      </w:r>
      <w:r w:rsidR="00A943B3">
        <w:rPr>
          <w:b/>
        </w:rPr>
        <w:t xml:space="preserve"> (p</w:t>
      </w:r>
      <w:r w:rsidR="00187F6F">
        <w:rPr>
          <w:b/>
        </w:rPr>
        <w:t xml:space="preserve">age </w:t>
      </w:r>
      <w:r w:rsidR="00A943B3">
        <w:rPr>
          <w:b/>
        </w:rPr>
        <w:t>22)</w:t>
      </w:r>
    </w:p>
    <w:p w:rsidR="009F2A7A" w:rsidRPr="002B330D" w:rsidRDefault="009F2A7A" w:rsidP="009F2A7A">
      <w:r w:rsidRPr="002B330D">
        <w:t>CROmax:</w:t>
      </w:r>
      <w:r w:rsidR="004538B4">
        <w:t xml:space="preserve">  </w:t>
      </w:r>
      <w:r w:rsidRPr="002B330D">
        <w:t>is design limiting at 1.650</w:t>
      </w:r>
      <w:r w:rsidR="002B330D" w:rsidRPr="002B330D">
        <w:t>metres</w:t>
      </w:r>
      <w:r w:rsidRPr="002B330D">
        <w:t xml:space="preserve"> requires minor increase </w:t>
      </w:r>
      <w:r w:rsidRPr="002B330D">
        <w:rPr>
          <w:rFonts w:cstheme="minorHAnsi"/>
        </w:rPr>
        <w:t>≤</w:t>
      </w:r>
      <w:r w:rsidRPr="002B330D">
        <w:t xml:space="preserve"> 1.800</w:t>
      </w:r>
      <w:r w:rsidR="002B330D" w:rsidRPr="002B330D">
        <w:t>metres</w:t>
      </w:r>
      <w:r w:rsidRPr="002B330D">
        <w:t>.</w:t>
      </w:r>
    </w:p>
    <w:p w:rsidR="009F2A7A" w:rsidRPr="002B330D" w:rsidRDefault="009F2A7A" w:rsidP="009F2A7A">
      <w:r w:rsidRPr="002B330D">
        <w:t>DBLmax:</w:t>
      </w:r>
      <w:r w:rsidR="004538B4">
        <w:t xml:space="preserve"> </w:t>
      </w:r>
      <w:r w:rsidRPr="002B330D">
        <w:t xml:space="preserve"> at 5.900</w:t>
      </w:r>
      <w:r w:rsidR="002B330D" w:rsidRPr="002B330D">
        <w:t>metres</w:t>
      </w:r>
      <w:r w:rsidRPr="002B330D">
        <w:t xml:space="preserve"> is too long – exceeds ADR maximum of 5.00</w:t>
      </w:r>
      <w:r w:rsidR="002B330D" w:rsidRPr="002B330D">
        <w:t>metres</w:t>
      </w:r>
    </w:p>
    <w:p w:rsidR="009F2A7A" w:rsidRPr="002B330D" w:rsidRDefault="009F2A7A" w:rsidP="009F2A7A">
      <w:pPr>
        <w:ind w:left="1440" w:hanging="1440"/>
      </w:pPr>
      <w:r w:rsidRPr="002B330D">
        <w:t>GCM:</w:t>
      </w:r>
      <w:r w:rsidR="004538B4">
        <w:t xml:space="preserve">  </w:t>
      </w:r>
      <w:r w:rsidRPr="002B330D">
        <w:t xml:space="preserve">HML is not applicable for this configuration CML = GML </w:t>
      </w:r>
      <w:r w:rsidR="004538B4">
        <w:t>+</w:t>
      </w:r>
      <w:r w:rsidRPr="002B330D">
        <w:t xml:space="preserve"> 1 tonne</w:t>
      </w:r>
      <w:r w:rsidR="004538B4">
        <w:t xml:space="preserve"> - </w:t>
      </w:r>
      <w:r w:rsidRPr="002B330D">
        <w:t>this also equals HML option.</w:t>
      </w:r>
    </w:p>
    <w:p w:rsidR="009F2A7A" w:rsidRDefault="009F2A7A" w:rsidP="009F2A7A">
      <w:pPr>
        <w:ind w:left="2160" w:hanging="2160"/>
      </w:pPr>
    </w:p>
    <w:p w:rsidR="009F2A7A" w:rsidRPr="009F2A7A" w:rsidRDefault="009F2A7A" w:rsidP="009F2A7A">
      <w:pPr>
        <w:ind w:left="2160" w:hanging="2160"/>
        <w:rPr>
          <w:i/>
        </w:rPr>
      </w:pPr>
      <w:r w:rsidRPr="009F2A7A">
        <w:rPr>
          <w:i/>
        </w:rPr>
        <w:t>Peak Engine Torque:</w:t>
      </w:r>
      <w:r w:rsidRPr="009F2A7A">
        <w:rPr>
          <w:i/>
        </w:rPr>
        <w:tab/>
      </w:r>
    </w:p>
    <w:p w:rsidR="006F4355" w:rsidRDefault="009F2A7A" w:rsidP="009F2A7A">
      <w:pPr>
        <w:ind w:left="720"/>
      </w:pPr>
      <w:r>
        <w:t>The formula does not appear to provide a concession (driveline benefit) for the use of low profile tyres.</w:t>
      </w:r>
      <w:r w:rsidR="002B330D">
        <w:t xml:space="preserve"> </w:t>
      </w:r>
    </w:p>
    <w:p w:rsidR="002B330D" w:rsidRDefault="009F2A7A" w:rsidP="009F2A7A">
      <w:pPr>
        <w:ind w:left="720"/>
      </w:pPr>
      <w:r>
        <w:t xml:space="preserve">The formula </w:t>
      </w:r>
      <w:r w:rsidR="004538B4">
        <w:t>appears</w:t>
      </w:r>
      <w:r>
        <w:t xml:space="preserve"> based on 11R22.5 tyres using </w:t>
      </w:r>
      <w:r w:rsidR="002B330D">
        <w:t>315 revolutions per kilometre.</w:t>
      </w:r>
    </w:p>
    <w:p w:rsidR="002B330D" w:rsidRDefault="002B330D" w:rsidP="009F2A7A">
      <w:pPr>
        <w:ind w:left="720"/>
      </w:pPr>
    </w:p>
    <w:p w:rsidR="009F2A7A" w:rsidRDefault="009F2A7A" w:rsidP="009F2A7A">
      <w:pPr>
        <w:ind w:left="720"/>
      </w:pPr>
      <w:r>
        <w:t>The formula should be modified to:</w:t>
      </w:r>
    </w:p>
    <w:p w:rsidR="002B330D" w:rsidRDefault="009F2A7A" w:rsidP="009F2A7A">
      <w:pPr>
        <w:ind w:left="720"/>
      </w:pPr>
      <w:r>
        <w:t xml:space="preserve">Peak Engine Torque (in Nm) </w:t>
      </w:r>
      <w:r w:rsidR="00FC3B2E">
        <w:t xml:space="preserve">must </w:t>
      </w:r>
      <w:r>
        <w:t>not</w:t>
      </w:r>
      <w:r w:rsidR="00421C64">
        <w:t xml:space="preserve"> be</w:t>
      </w:r>
      <w:r>
        <w:t xml:space="preserve"> less than 2772000 (nominal) divided by (LGR x FDR x TRK) where LGR equals lowest gear ratio of transmission; FDR equals Final Drive Ratio of driven axles; and, TKR equals Tyre Revolutions per Kilometre: </w:t>
      </w:r>
    </w:p>
    <w:p w:rsidR="002B330D" w:rsidRDefault="002B330D" w:rsidP="009F2A7A">
      <w:pPr>
        <w:ind w:left="720"/>
      </w:pPr>
    </w:p>
    <w:p w:rsidR="006F4355" w:rsidRDefault="00125813" w:rsidP="00DA7427">
      <w:r>
        <w:t>Further</w:t>
      </w:r>
      <w:r w:rsidR="009F2A7A">
        <w:t xml:space="preserve">, </w:t>
      </w:r>
      <w:r w:rsidR="002B330D">
        <w:t>a table should</w:t>
      </w:r>
      <w:r w:rsidR="009F2A7A">
        <w:t xml:space="preserve"> </w:t>
      </w:r>
      <w:r w:rsidR="002B330D">
        <w:t xml:space="preserve">be </w:t>
      </w:r>
      <w:r w:rsidR="009F2A7A">
        <w:t>prepare</w:t>
      </w:r>
      <w:r w:rsidR="002B330D">
        <w:t>d</w:t>
      </w:r>
      <w:r w:rsidR="009F2A7A">
        <w:t xml:space="preserve"> (based on Table 1 of ADR 65/00) setting out</w:t>
      </w:r>
      <w:r w:rsidR="00075B0E">
        <w:t xml:space="preserve"> the</w:t>
      </w:r>
      <w:r w:rsidR="009F2A7A">
        <w:t xml:space="preserve"> tyre revolutions per kilometre ensuring that modern fuel ef</w:t>
      </w:r>
      <w:r w:rsidR="00DA7427">
        <w:t>ficient tyre sizes are included:</w:t>
      </w:r>
    </w:p>
    <w:p w:rsidR="009F2A7A" w:rsidRDefault="009F2A7A" w:rsidP="005114F2">
      <w:pPr>
        <w:pStyle w:val="ListParagraph"/>
        <w:numPr>
          <w:ilvl w:val="0"/>
          <w:numId w:val="10"/>
        </w:numPr>
        <w:spacing w:after="0" w:line="240" w:lineRule="auto"/>
      </w:pPr>
      <w:r>
        <w:t>305/70R22.5</w:t>
      </w:r>
    </w:p>
    <w:p w:rsidR="009F2A7A" w:rsidRDefault="009F2A7A" w:rsidP="005114F2">
      <w:pPr>
        <w:pStyle w:val="ListParagraph"/>
        <w:numPr>
          <w:ilvl w:val="0"/>
          <w:numId w:val="10"/>
        </w:numPr>
        <w:spacing w:after="0" w:line="240" w:lineRule="auto"/>
      </w:pPr>
      <w:r>
        <w:t>295/75R22.5</w:t>
      </w:r>
    </w:p>
    <w:p w:rsidR="00BE50C0" w:rsidRDefault="00BE50C0" w:rsidP="009F2A7A">
      <w:pPr>
        <w:rPr>
          <w:b/>
        </w:rPr>
      </w:pPr>
      <w:r w:rsidRPr="009F2A7A">
        <w:rPr>
          <w:rFonts w:asciiTheme="minorHAnsi" w:hAnsiTheme="minorHAnsi"/>
          <w:noProof/>
          <w:lang w:eastAsia="en-AU"/>
        </w:rPr>
        <w:drawing>
          <wp:anchor distT="0" distB="0" distL="114300" distR="114300" simplePos="0" relativeHeight="251659264" behindDoc="0" locked="0" layoutInCell="1" allowOverlap="1" wp14:anchorId="4D0B968E" wp14:editId="509BB0BC">
            <wp:simplePos x="0" y="0"/>
            <wp:positionH relativeFrom="margin">
              <wp:align>left</wp:align>
            </wp:positionH>
            <wp:positionV relativeFrom="paragraph">
              <wp:posOffset>82251</wp:posOffset>
            </wp:positionV>
            <wp:extent cx="2769870" cy="37230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9870" cy="3723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2A7A" w:rsidRPr="00A2461C" w:rsidRDefault="009F2A7A" w:rsidP="009F2A7A">
      <w:pPr>
        <w:rPr>
          <w:b/>
        </w:rPr>
      </w:pPr>
      <w:r w:rsidRPr="00A2461C">
        <w:rPr>
          <w:b/>
        </w:rPr>
        <w:t xml:space="preserve">Figure </w:t>
      </w:r>
      <w:r>
        <w:rPr>
          <w:b/>
        </w:rPr>
        <w:t>10</w:t>
      </w:r>
      <w:r w:rsidR="00D174EE">
        <w:rPr>
          <w:b/>
        </w:rPr>
        <w:t xml:space="preserve"> - Specification envelope for 7-axle Truck &amp;Trailer with</w:t>
      </w:r>
      <w:r w:rsidR="006F669A">
        <w:rPr>
          <w:b/>
        </w:rPr>
        <w:t xml:space="preserve"> </w:t>
      </w:r>
      <w:r w:rsidR="00D174EE">
        <w:rPr>
          <w:b/>
        </w:rPr>
        <w:t>low bins (page 2</w:t>
      </w:r>
      <w:r w:rsidR="0023210F">
        <w:rPr>
          <w:b/>
        </w:rPr>
        <w:t>3</w:t>
      </w:r>
      <w:r w:rsidR="00D174EE">
        <w:rPr>
          <w:b/>
        </w:rPr>
        <w:t>)</w:t>
      </w:r>
    </w:p>
    <w:p w:rsidR="009F2A7A" w:rsidRPr="00187F6F" w:rsidRDefault="009F2A7A" w:rsidP="009F2A7A">
      <w:r w:rsidRPr="00187F6F">
        <w:t>CROmax:</w:t>
      </w:r>
      <w:r w:rsidR="00187F6F">
        <w:t xml:space="preserve"> </w:t>
      </w:r>
      <w:r w:rsidRPr="00187F6F">
        <w:t>is design limiting at 1. 650</w:t>
      </w:r>
      <w:r w:rsidR="002B330D" w:rsidRPr="00187F6F">
        <w:t>metres</w:t>
      </w:r>
      <w:r w:rsidRPr="00187F6F">
        <w:t xml:space="preserve"> requires minor increase </w:t>
      </w:r>
      <w:r w:rsidRPr="00187F6F">
        <w:rPr>
          <w:rFonts w:cstheme="minorHAnsi"/>
        </w:rPr>
        <w:t>≤</w:t>
      </w:r>
      <w:r w:rsidRPr="00187F6F">
        <w:t xml:space="preserve"> 1.800</w:t>
      </w:r>
      <w:r w:rsidR="002B330D" w:rsidRPr="00187F6F">
        <w:t>metres</w:t>
      </w:r>
      <w:r w:rsidRPr="00187F6F">
        <w:t>.</w:t>
      </w:r>
    </w:p>
    <w:p w:rsidR="009F2A7A" w:rsidRPr="00187F6F" w:rsidRDefault="009F2A7A" w:rsidP="009F2A7A">
      <w:r w:rsidRPr="00187F6F">
        <w:t xml:space="preserve">DBLmax: </w:t>
      </w:r>
      <w:r w:rsidR="00187F6F">
        <w:t xml:space="preserve"> </w:t>
      </w:r>
      <w:r w:rsidRPr="00187F6F">
        <w:t>at 5.600</w:t>
      </w:r>
      <w:r w:rsidR="002B330D" w:rsidRPr="00187F6F">
        <w:t>metres</w:t>
      </w:r>
      <w:r w:rsidRPr="00187F6F">
        <w:t xml:space="preserve"> is too long – exceeds ADR maximum of 5.00</w:t>
      </w:r>
      <w:r w:rsidR="002B330D" w:rsidRPr="00187F6F">
        <w:t>metres</w:t>
      </w:r>
    </w:p>
    <w:p w:rsidR="00187F6F" w:rsidRDefault="009F2A7A" w:rsidP="009F2A7A">
      <w:pPr>
        <w:ind w:left="1440" w:hanging="1440"/>
      </w:pPr>
      <w:r w:rsidRPr="00187F6F">
        <w:t>WBD:</w:t>
      </w:r>
      <w:r w:rsidR="00187F6F">
        <w:t xml:space="preserve"> </w:t>
      </w:r>
      <w:r w:rsidRPr="00187F6F">
        <w:t>The minimum reported wheelbase is potentially confusing.  The maximum axle spacing (by the ADR) for tandem axle groups is 2.0</w:t>
      </w:r>
      <w:r w:rsidR="002B330D" w:rsidRPr="00187F6F">
        <w:t>metres</w:t>
      </w:r>
      <w:r w:rsidRPr="00187F6F">
        <w:t xml:space="preserve">.  </w:t>
      </w:r>
    </w:p>
    <w:p w:rsidR="00187F6F" w:rsidRDefault="00187F6F" w:rsidP="009F2A7A">
      <w:pPr>
        <w:ind w:left="1440" w:hanging="1440"/>
      </w:pPr>
    </w:p>
    <w:p w:rsidR="009F2A7A" w:rsidRPr="00187F6F" w:rsidRDefault="009F2A7A" w:rsidP="009F2A7A">
      <w:pPr>
        <w:ind w:left="1440" w:hanging="1440"/>
      </w:pPr>
      <w:r w:rsidRPr="00187F6F">
        <w:t>However, for gross mass dimension L47min is 6.833</w:t>
      </w:r>
      <w:r w:rsidR="007A5D29">
        <w:t xml:space="preserve"> </w:t>
      </w:r>
      <w:r w:rsidR="002B330D" w:rsidRPr="00187F6F">
        <w:t>metres</w:t>
      </w:r>
      <w:r w:rsidRPr="00187F6F">
        <w:t>; therefore the minimum wheelbase (WBD) should be 4.833</w:t>
      </w:r>
      <w:r w:rsidR="007A5D29">
        <w:t xml:space="preserve"> </w:t>
      </w:r>
      <w:r w:rsidR="002B330D" w:rsidRPr="00187F6F">
        <w:t>metres</w:t>
      </w:r>
      <w:r w:rsidR="007A5D29">
        <w:t>.</w:t>
      </w:r>
    </w:p>
    <w:p w:rsidR="005114F2" w:rsidRDefault="005114F2" w:rsidP="009F2A7A">
      <w:pPr>
        <w:ind w:left="1440" w:hanging="1440"/>
      </w:pPr>
    </w:p>
    <w:p w:rsidR="009F2A7A" w:rsidRDefault="009F2A7A" w:rsidP="009F2A7A">
      <w:pPr>
        <w:ind w:left="1440" w:hanging="1440"/>
      </w:pPr>
      <w:r w:rsidRPr="00A2461C">
        <w:t>GCM:</w:t>
      </w:r>
      <w:r w:rsidR="00187F6F">
        <w:t xml:space="preserve"> </w:t>
      </w:r>
      <w:r>
        <w:t xml:space="preserve">The GCM table </w:t>
      </w:r>
      <w:r w:rsidR="00187F6F">
        <w:t>seems</w:t>
      </w:r>
      <w:r>
        <w:t xml:space="preserve"> to treat </w:t>
      </w:r>
      <w:r w:rsidR="00187F6F">
        <w:t>a</w:t>
      </w:r>
      <w:r>
        <w:t xml:space="preserve"> truck and dog combination as a </w:t>
      </w:r>
      <w:r w:rsidR="00187F6F">
        <w:t xml:space="preserve">B-double for CML considerations </w:t>
      </w:r>
      <w:r w:rsidR="00765882">
        <w:t xml:space="preserve">although this may not be </w:t>
      </w:r>
      <w:r>
        <w:t>the intent</w:t>
      </w:r>
      <w:r w:rsidR="00765882">
        <w:t xml:space="preserve"> of the paper.</w:t>
      </w:r>
    </w:p>
    <w:p w:rsidR="009F2A7A" w:rsidRDefault="00187F6F" w:rsidP="009F2A7A">
      <w:pPr>
        <w:ind w:left="1440" w:hanging="1440"/>
      </w:pPr>
      <w:r>
        <w:t>Again, i</w:t>
      </w:r>
      <w:r w:rsidR="009F2A7A">
        <w:t>f</w:t>
      </w:r>
      <w:r>
        <w:t xml:space="preserve"> CML is reported correctly then </w:t>
      </w:r>
      <w:r w:rsidR="009F2A7A">
        <w:t>HML is a redunda</w:t>
      </w:r>
      <w:r w:rsidR="005114F2">
        <w:t>nt option.</w:t>
      </w:r>
    </w:p>
    <w:p w:rsidR="005114F2" w:rsidRDefault="005114F2" w:rsidP="009F2A7A">
      <w:pPr>
        <w:ind w:left="1440" w:hanging="1440"/>
      </w:pPr>
    </w:p>
    <w:p w:rsidR="009F2A7A" w:rsidRDefault="009F2A7A" w:rsidP="009F2A7A">
      <w:r>
        <w:t>Peak Engine Torque:</w:t>
      </w:r>
      <w:r w:rsidR="007A5D29">
        <w:t xml:space="preserve"> </w:t>
      </w:r>
      <w:r w:rsidR="00DA7427">
        <w:t xml:space="preserve"> </w:t>
      </w:r>
      <w:r w:rsidR="00765882">
        <w:t>T</w:t>
      </w:r>
      <w:r w:rsidR="007A5D29">
        <w:t>he</w:t>
      </w:r>
      <w:r>
        <w:t xml:space="preserve"> constant should be 28980000 (nominal).</w:t>
      </w:r>
    </w:p>
    <w:p w:rsidR="00BE50C0" w:rsidRDefault="00BE50C0" w:rsidP="009F2A7A">
      <w:pPr>
        <w:rPr>
          <w:rFonts w:asciiTheme="minorHAnsi" w:hAnsiTheme="minorHAnsi"/>
        </w:rPr>
      </w:pPr>
    </w:p>
    <w:p w:rsidR="00550FE2" w:rsidRDefault="002060CF" w:rsidP="009F2A7A">
      <w:pPr>
        <w:rPr>
          <w:b/>
        </w:rPr>
      </w:pPr>
      <w:r w:rsidRPr="009F2A7A">
        <w:rPr>
          <w:b/>
          <w:noProof/>
          <w:lang w:eastAsia="en-AU"/>
        </w:rPr>
        <w:drawing>
          <wp:anchor distT="0" distB="0" distL="114300" distR="114300" simplePos="0" relativeHeight="251661312" behindDoc="0" locked="0" layoutInCell="1" allowOverlap="1" wp14:anchorId="1914828B" wp14:editId="1F028349">
            <wp:simplePos x="0" y="0"/>
            <wp:positionH relativeFrom="column">
              <wp:posOffset>95250</wp:posOffset>
            </wp:positionH>
            <wp:positionV relativeFrom="paragraph">
              <wp:posOffset>161290</wp:posOffset>
            </wp:positionV>
            <wp:extent cx="2653030" cy="303911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3030" cy="3039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2A7A" w:rsidRDefault="009F2A7A" w:rsidP="009F2A7A">
      <w:pPr>
        <w:rPr>
          <w:b/>
        </w:rPr>
      </w:pPr>
      <w:r w:rsidRPr="00A2461C">
        <w:rPr>
          <w:b/>
        </w:rPr>
        <w:t xml:space="preserve">Figure </w:t>
      </w:r>
      <w:r>
        <w:rPr>
          <w:b/>
        </w:rPr>
        <w:t>11</w:t>
      </w:r>
      <w:r w:rsidRPr="00A2461C">
        <w:rPr>
          <w:b/>
        </w:rPr>
        <w:t>:</w:t>
      </w:r>
      <w:r w:rsidR="0023210F">
        <w:rPr>
          <w:b/>
        </w:rPr>
        <w:t xml:space="preserve">  Specification envelope for 7-axle Truck &amp;Trailer with high bins (page 24)</w:t>
      </w:r>
    </w:p>
    <w:p w:rsidR="0023210F" w:rsidRPr="00A2461C" w:rsidRDefault="0023210F" w:rsidP="009F2A7A">
      <w:pPr>
        <w:rPr>
          <w:b/>
        </w:rPr>
      </w:pPr>
    </w:p>
    <w:p w:rsidR="009F2A7A" w:rsidRPr="007A5D29" w:rsidRDefault="009F2A7A" w:rsidP="009F2A7A">
      <w:r w:rsidRPr="007A5D29">
        <w:t>CROmax</w:t>
      </w:r>
      <w:r w:rsidR="005114F2" w:rsidRPr="007A5D29">
        <w:t>:</w:t>
      </w:r>
      <w:r w:rsidR="007A5D29">
        <w:t xml:space="preserve"> </w:t>
      </w:r>
      <w:r w:rsidRPr="007A5D29">
        <w:t>is design limiting at 1. 650</w:t>
      </w:r>
      <w:r w:rsidR="002B330D" w:rsidRPr="007A5D29">
        <w:t>metres</w:t>
      </w:r>
      <w:r w:rsidRPr="007A5D29">
        <w:t xml:space="preserve"> requires minor increase </w:t>
      </w:r>
      <w:r w:rsidRPr="007A5D29">
        <w:rPr>
          <w:rFonts w:cstheme="minorHAnsi"/>
        </w:rPr>
        <w:t>≤</w:t>
      </w:r>
      <w:r w:rsidRPr="007A5D29">
        <w:t xml:space="preserve"> 1.800</w:t>
      </w:r>
      <w:r w:rsidR="002B330D" w:rsidRPr="007A5D29">
        <w:t>metres</w:t>
      </w:r>
      <w:r w:rsidRPr="007A5D29">
        <w:t>.</w:t>
      </w:r>
    </w:p>
    <w:p w:rsidR="007A5D29" w:rsidRDefault="007A5D29" w:rsidP="009F2A7A">
      <w:pPr>
        <w:ind w:left="1440" w:hanging="1440"/>
      </w:pPr>
    </w:p>
    <w:p w:rsidR="005114F2" w:rsidRDefault="009F2A7A" w:rsidP="009F2A7A">
      <w:pPr>
        <w:ind w:left="1440" w:hanging="1440"/>
      </w:pPr>
      <w:r w:rsidRPr="007A5D29">
        <w:t xml:space="preserve">If CML reported correctly, HML is </w:t>
      </w:r>
      <w:r w:rsidR="005114F2" w:rsidRPr="007A5D29">
        <w:t>a redundant option</w:t>
      </w:r>
      <w:r w:rsidR="007A5D29">
        <w:t>.</w:t>
      </w:r>
    </w:p>
    <w:p w:rsidR="007A5D29" w:rsidRPr="007A5D29" w:rsidRDefault="007A5D29" w:rsidP="009F2A7A">
      <w:pPr>
        <w:ind w:left="1440" w:hanging="1440"/>
      </w:pPr>
    </w:p>
    <w:p w:rsidR="009F2A7A" w:rsidRPr="007A5D29" w:rsidRDefault="009F2A7A" w:rsidP="009F2A7A">
      <w:pPr>
        <w:ind w:left="2160" w:hanging="2160"/>
      </w:pPr>
      <w:r w:rsidRPr="007A5D29">
        <w:t>Peak Engine Torque:</w:t>
      </w:r>
      <w:r w:rsidR="00010D11">
        <w:t xml:space="preserve"> </w:t>
      </w:r>
      <w:r w:rsidRPr="007A5D29">
        <w:t>See comment above constant should be 28980000 (nominal).</w:t>
      </w:r>
    </w:p>
    <w:p w:rsidR="009F2A7A" w:rsidRPr="00454BB5" w:rsidRDefault="009F2A7A" w:rsidP="009F2A7A">
      <w:pPr>
        <w:rPr>
          <w:rFonts w:eastAsia="Times New Roman" w:cstheme="minorHAnsi"/>
          <w:color w:val="0000FF"/>
          <w:lang w:eastAsia="en-AU"/>
        </w:rPr>
      </w:pPr>
    </w:p>
    <w:p w:rsidR="005114F2" w:rsidRDefault="005114F2" w:rsidP="009F2A7A">
      <w:pPr>
        <w:ind w:left="720" w:hanging="720"/>
        <w:rPr>
          <w:rFonts w:eastAsia="Times New Roman" w:cstheme="minorHAnsi"/>
          <w:lang w:eastAsia="en-AU"/>
        </w:rPr>
      </w:pPr>
    </w:p>
    <w:p w:rsidR="00DA7427" w:rsidRDefault="00DA7427" w:rsidP="00633E1A">
      <w:pPr>
        <w:rPr>
          <w:b/>
        </w:rPr>
      </w:pPr>
    </w:p>
    <w:p w:rsidR="00DA7427" w:rsidRDefault="00DA7427" w:rsidP="00633E1A">
      <w:pPr>
        <w:rPr>
          <w:b/>
        </w:rPr>
      </w:pPr>
    </w:p>
    <w:p w:rsidR="00DA7427" w:rsidRDefault="00DA7427" w:rsidP="00633E1A">
      <w:pPr>
        <w:rPr>
          <w:b/>
        </w:rPr>
      </w:pPr>
    </w:p>
    <w:p w:rsidR="00DA7427" w:rsidRDefault="00DA7427" w:rsidP="00633E1A">
      <w:pPr>
        <w:rPr>
          <w:b/>
        </w:rPr>
      </w:pPr>
    </w:p>
    <w:p w:rsidR="00DA7427" w:rsidRDefault="00DA7427" w:rsidP="00633E1A">
      <w:pPr>
        <w:rPr>
          <w:b/>
        </w:rPr>
      </w:pPr>
    </w:p>
    <w:p w:rsidR="00765882" w:rsidRDefault="00765882" w:rsidP="00633E1A">
      <w:pPr>
        <w:rPr>
          <w:b/>
        </w:rPr>
      </w:pPr>
    </w:p>
    <w:p w:rsidR="00765882" w:rsidRDefault="00765882" w:rsidP="00633E1A">
      <w:pPr>
        <w:rPr>
          <w:b/>
        </w:rPr>
      </w:pPr>
    </w:p>
    <w:p w:rsidR="00633E1A" w:rsidRDefault="00086965" w:rsidP="00633E1A">
      <w:pPr>
        <w:rPr>
          <w:b/>
        </w:rPr>
      </w:pPr>
      <w:r>
        <w:rPr>
          <w:b/>
        </w:rPr>
        <w:t xml:space="preserve">Q13 </w:t>
      </w:r>
      <w:r w:rsidR="00633E1A" w:rsidRPr="006667CD">
        <w:rPr>
          <w:b/>
        </w:rPr>
        <w:t>The complexity of PBS blueprints means they can be difficult to add to regulations. Do you expect any of the options presented in this paper to improve access to higher mass limits for heavy vehicles? What is your preferred option to advance this project?</w:t>
      </w:r>
    </w:p>
    <w:p w:rsidR="00086965" w:rsidRDefault="00086965" w:rsidP="00633E1A">
      <w:pPr>
        <w:rPr>
          <w:rFonts w:asciiTheme="minorHAnsi" w:hAnsiTheme="minorHAnsi"/>
        </w:rPr>
      </w:pPr>
    </w:p>
    <w:p w:rsidR="00633E1A" w:rsidRPr="00550FE2" w:rsidRDefault="00633E1A" w:rsidP="00633E1A">
      <w:pPr>
        <w:rPr>
          <w:rFonts w:asciiTheme="minorHAnsi" w:hAnsiTheme="minorHAnsi"/>
        </w:rPr>
      </w:pPr>
      <w:r w:rsidRPr="00550FE2">
        <w:rPr>
          <w:rFonts w:asciiTheme="minorHAnsi" w:hAnsiTheme="minorHAnsi"/>
        </w:rPr>
        <w:t xml:space="preserve">The NHVR describes CML </w:t>
      </w:r>
      <w:r w:rsidR="007B1A27">
        <w:rPr>
          <w:rFonts w:asciiTheme="minorHAnsi" w:hAnsiTheme="minorHAnsi"/>
        </w:rPr>
        <w:t>like this</w:t>
      </w:r>
      <w:r w:rsidRPr="00550FE2">
        <w:rPr>
          <w:rFonts w:asciiTheme="minorHAnsi" w:hAnsiTheme="minorHAnsi"/>
        </w:rPr>
        <w:t>:</w:t>
      </w:r>
    </w:p>
    <w:p w:rsidR="00086965" w:rsidRPr="004A5E2F" w:rsidRDefault="00086965" w:rsidP="00633E1A">
      <w:pPr>
        <w:rPr>
          <w:rFonts w:asciiTheme="minorHAnsi" w:hAnsiTheme="minorHAnsi"/>
          <w:i/>
        </w:rPr>
      </w:pPr>
    </w:p>
    <w:p w:rsidR="00633E1A" w:rsidRPr="004A5E2F" w:rsidRDefault="00633E1A" w:rsidP="00633E1A">
      <w:pPr>
        <w:rPr>
          <w:rFonts w:asciiTheme="minorHAnsi" w:hAnsiTheme="minorHAnsi"/>
          <w:i/>
        </w:rPr>
      </w:pPr>
      <w:r w:rsidRPr="004A5E2F">
        <w:rPr>
          <w:rFonts w:asciiTheme="minorHAnsi" w:hAnsiTheme="minorHAnsi"/>
          <w:i/>
        </w:rPr>
        <w:t>Mass limits for CML are set at 5% above the General Mass Limit (GML), subject to:</w:t>
      </w:r>
    </w:p>
    <w:p w:rsidR="00633E1A" w:rsidRPr="004A5E2F" w:rsidRDefault="00633E1A" w:rsidP="005114F2">
      <w:pPr>
        <w:pStyle w:val="ListParagraph"/>
        <w:numPr>
          <w:ilvl w:val="0"/>
          <w:numId w:val="6"/>
        </w:numPr>
        <w:rPr>
          <w:rFonts w:asciiTheme="minorHAnsi" w:hAnsiTheme="minorHAnsi"/>
          <w:i/>
        </w:rPr>
      </w:pPr>
      <w:r w:rsidRPr="004A5E2F">
        <w:rPr>
          <w:rFonts w:asciiTheme="minorHAnsi" w:hAnsiTheme="minorHAnsi"/>
          <w:i/>
        </w:rPr>
        <w:t>a maximum of 1 tonne for a vehicle or vehicle combination with an allowable gross mass not exceeding 55 tonnes; and,</w:t>
      </w:r>
    </w:p>
    <w:p w:rsidR="00633E1A" w:rsidRPr="004A5E2F" w:rsidRDefault="00633E1A" w:rsidP="005114F2">
      <w:pPr>
        <w:pStyle w:val="ListParagraph"/>
        <w:numPr>
          <w:ilvl w:val="0"/>
          <w:numId w:val="6"/>
        </w:numPr>
        <w:rPr>
          <w:rFonts w:asciiTheme="minorHAnsi" w:hAnsiTheme="minorHAnsi"/>
          <w:i/>
        </w:rPr>
      </w:pPr>
      <w:r w:rsidRPr="004A5E2F">
        <w:rPr>
          <w:rFonts w:asciiTheme="minorHAnsi" w:hAnsiTheme="minorHAnsi"/>
          <w:i/>
        </w:rPr>
        <w:t>a maximum of 2 tonnes for vehicle combinations with an allowable gross mass exceeding 55 tonnes an upper limit on axle and axle group mass as described in the table of Concessional Mass Limits as per following Table 1.0 (not included here)</w:t>
      </w:r>
    </w:p>
    <w:p w:rsidR="004A5E2F" w:rsidRDefault="004A5E2F" w:rsidP="00633E1A">
      <w:pPr>
        <w:rPr>
          <w:rFonts w:asciiTheme="minorHAnsi" w:hAnsiTheme="minorHAnsi"/>
        </w:rPr>
      </w:pPr>
      <w:r>
        <w:rPr>
          <w:rFonts w:asciiTheme="minorHAnsi" w:hAnsiTheme="minorHAnsi"/>
        </w:rPr>
        <w:t>Thus, for comparison:</w:t>
      </w:r>
    </w:p>
    <w:p w:rsidR="004A5E2F" w:rsidRDefault="004A5E2F" w:rsidP="00633E1A">
      <w:pPr>
        <w:rPr>
          <w:rFonts w:asciiTheme="minorHAnsi" w:hAnsiTheme="minorHAnsi"/>
        </w:rPr>
      </w:pPr>
    </w:p>
    <w:p w:rsidR="00633E1A" w:rsidRPr="00633E1A" w:rsidRDefault="004A5E2F" w:rsidP="00633E1A">
      <w:pPr>
        <w:rPr>
          <w:rFonts w:asciiTheme="minorHAnsi" w:hAnsiTheme="minorHAnsi"/>
        </w:rPr>
      </w:pPr>
      <w:r>
        <w:rPr>
          <w:rFonts w:asciiTheme="minorHAnsi" w:hAnsiTheme="minorHAnsi"/>
        </w:rPr>
        <w:t>A</w:t>
      </w:r>
      <w:r w:rsidR="00633E1A" w:rsidRPr="00633E1A">
        <w:rPr>
          <w:rFonts w:asciiTheme="minorHAnsi" w:hAnsiTheme="minorHAnsi"/>
        </w:rPr>
        <w:t xml:space="preserve"> six (6) axle truck and dog trailer:</w:t>
      </w:r>
    </w:p>
    <w:p w:rsidR="00633E1A" w:rsidRPr="00633E1A" w:rsidRDefault="00633E1A" w:rsidP="00633E1A">
      <w:pPr>
        <w:rPr>
          <w:rFonts w:asciiTheme="minorHAnsi" w:hAnsiTheme="minorHAnsi"/>
        </w:rPr>
      </w:pPr>
      <w:r w:rsidRPr="00633E1A">
        <w:rPr>
          <w:rFonts w:asciiTheme="minorHAnsi" w:hAnsiTheme="minorHAnsi"/>
        </w:rPr>
        <w:t>•</w:t>
      </w:r>
      <w:r w:rsidRPr="00633E1A">
        <w:rPr>
          <w:rFonts w:asciiTheme="minorHAnsi" w:hAnsiTheme="minorHAnsi"/>
        </w:rPr>
        <w:tab/>
        <w:t>GML = 6.5 + 16.5 + 9 + 16.5 = 48.5 tonnes</w:t>
      </w:r>
    </w:p>
    <w:p w:rsidR="00633E1A" w:rsidRPr="00633E1A" w:rsidRDefault="00633E1A" w:rsidP="00633E1A">
      <w:pPr>
        <w:rPr>
          <w:rFonts w:asciiTheme="minorHAnsi" w:hAnsiTheme="minorHAnsi"/>
        </w:rPr>
      </w:pPr>
      <w:r w:rsidRPr="00633E1A">
        <w:rPr>
          <w:rFonts w:asciiTheme="minorHAnsi" w:hAnsiTheme="minorHAnsi"/>
        </w:rPr>
        <w:t>•</w:t>
      </w:r>
      <w:r w:rsidRPr="00633E1A">
        <w:rPr>
          <w:rFonts w:asciiTheme="minorHAnsi" w:hAnsiTheme="minorHAnsi"/>
        </w:rPr>
        <w:tab/>
        <w:t>CML = 6.5 + 17 + 9 + 17 = 49.5 tonnes  (≤ 55 tonnes GML + 1 tonne – OK)</w:t>
      </w:r>
    </w:p>
    <w:p w:rsidR="00633E1A" w:rsidRPr="00633E1A" w:rsidRDefault="00633E1A" w:rsidP="00633E1A">
      <w:pPr>
        <w:rPr>
          <w:rFonts w:asciiTheme="minorHAnsi" w:hAnsiTheme="minorHAnsi"/>
        </w:rPr>
      </w:pPr>
      <w:r w:rsidRPr="00633E1A">
        <w:rPr>
          <w:rFonts w:asciiTheme="minorHAnsi" w:hAnsiTheme="minorHAnsi"/>
        </w:rPr>
        <w:t>•</w:t>
      </w:r>
      <w:r w:rsidRPr="00633E1A">
        <w:rPr>
          <w:rFonts w:asciiTheme="minorHAnsi" w:hAnsiTheme="minorHAnsi"/>
        </w:rPr>
        <w:tab/>
        <w:t>HML = 6.5 + 17 + 9 + 17 = 49.5 tonnes  (no benefit over CML)</w:t>
      </w:r>
    </w:p>
    <w:p w:rsidR="00CF7D25" w:rsidRDefault="00CF7D25" w:rsidP="00633E1A">
      <w:pPr>
        <w:rPr>
          <w:rFonts w:asciiTheme="minorHAnsi" w:hAnsiTheme="minorHAnsi"/>
        </w:rPr>
      </w:pPr>
    </w:p>
    <w:p w:rsidR="00633E1A" w:rsidRPr="00633E1A" w:rsidRDefault="00AE692E" w:rsidP="00633E1A">
      <w:pPr>
        <w:rPr>
          <w:rFonts w:asciiTheme="minorHAnsi" w:hAnsiTheme="minorHAnsi"/>
        </w:rPr>
      </w:pPr>
      <w:r>
        <w:rPr>
          <w:rFonts w:asciiTheme="minorHAnsi" w:hAnsiTheme="minorHAnsi"/>
        </w:rPr>
        <w:t>And</w:t>
      </w:r>
      <w:r w:rsidR="00633E1A" w:rsidRPr="00633E1A">
        <w:rPr>
          <w:rFonts w:asciiTheme="minorHAnsi" w:hAnsiTheme="minorHAnsi"/>
        </w:rPr>
        <w:t xml:space="preserve"> seven (7) axle truck and dog trailer: </w:t>
      </w:r>
    </w:p>
    <w:p w:rsidR="00633E1A" w:rsidRPr="00633E1A" w:rsidRDefault="00633E1A" w:rsidP="00633E1A">
      <w:pPr>
        <w:rPr>
          <w:rFonts w:asciiTheme="minorHAnsi" w:hAnsiTheme="minorHAnsi"/>
        </w:rPr>
      </w:pPr>
      <w:r w:rsidRPr="00633E1A">
        <w:rPr>
          <w:rFonts w:asciiTheme="minorHAnsi" w:hAnsiTheme="minorHAnsi"/>
        </w:rPr>
        <w:t>•</w:t>
      </w:r>
      <w:r w:rsidRPr="00633E1A">
        <w:rPr>
          <w:rFonts w:asciiTheme="minorHAnsi" w:hAnsiTheme="minorHAnsi"/>
        </w:rPr>
        <w:tab/>
        <w:t>GML = 6.5 + 16.5 + 16.5 + 16.5 = 56.0 tonnes</w:t>
      </w:r>
    </w:p>
    <w:p w:rsidR="00633E1A" w:rsidRPr="00633E1A" w:rsidRDefault="00633E1A" w:rsidP="00633E1A">
      <w:pPr>
        <w:rPr>
          <w:rFonts w:asciiTheme="minorHAnsi" w:hAnsiTheme="minorHAnsi"/>
        </w:rPr>
      </w:pPr>
      <w:r w:rsidRPr="00633E1A">
        <w:rPr>
          <w:rFonts w:asciiTheme="minorHAnsi" w:hAnsiTheme="minorHAnsi"/>
        </w:rPr>
        <w:t>•</w:t>
      </w:r>
      <w:r w:rsidRPr="00633E1A">
        <w:rPr>
          <w:rFonts w:asciiTheme="minorHAnsi" w:hAnsiTheme="minorHAnsi"/>
        </w:rPr>
        <w:tab/>
        <w:t>CML = 6.5 + 17 + 17 + 17 = 57.5 tonnes  (≤ 55 tonnes GML + 2 tonnes – OK)</w:t>
      </w:r>
    </w:p>
    <w:p w:rsidR="00633E1A" w:rsidRPr="00633E1A" w:rsidRDefault="00633E1A" w:rsidP="00633E1A">
      <w:pPr>
        <w:rPr>
          <w:rFonts w:asciiTheme="minorHAnsi" w:hAnsiTheme="minorHAnsi"/>
        </w:rPr>
      </w:pPr>
      <w:r w:rsidRPr="00633E1A">
        <w:rPr>
          <w:rFonts w:asciiTheme="minorHAnsi" w:hAnsiTheme="minorHAnsi"/>
        </w:rPr>
        <w:t>•</w:t>
      </w:r>
      <w:r w:rsidRPr="00633E1A">
        <w:rPr>
          <w:rFonts w:asciiTheme="minorHAnsi" w:hAnsiTheme="minorHAnsi"/>
        </w:rPr>
        <w:tab/>
        <w:t xml:space="preserve">HML = 6.5 + 17 + 17 + 17 = 57.5 tonnes  (no benefit over CML) </w:t>
      </w:r>
    </w:p>
    <w:p w:rsidR="00633E1A" w:rsidRDefault="00633E1A" w:rsidP="00633E1A">
      <w:pPr>
        <w:rPr>
          <w:rFonts w:asciiTheme="minorHAnsi" w:hAnsiTheme="minorHAnsi"/>
        </w:rPr>
      </w:pPr>
    </w:p>
    <w:p w:rsidR="00627057" w:rsidRDefault="001C1684" w:rsidP="004A5E2F">
      <w:pPr>
        <w:rPr>
          <w:rFonts w:asciiTheme="minorHAnsi" w:hAnsiTheme="minorHAnsi"/>
        </w:rPr>
      </w:pPr>
      <w:r>
        <w:rPr>
          <w:rFonts w:asciiTheme="minorHAnsi" w:hAnsiTheme="minorHAnsi"/>
        </w:rPr>
        <w:t xml:space="preserve">There seem to be issues with </w:t>
      </w:r>
      <w:r w:rsidR="004A5E2F" w:rsidRPr="00633E1A">
        <w:rPr>
          <w:rFonts w:asciiTheme="minorHAnsi" w:hAnsiTheme="minorHAnsi"/>
        </w:rPr>
        <w:t>process</w:t>
      </w:r>
      <w:r>
        <w:rPr>
          <w:rFonts w:asciiTheme="minorHAnsi" w:hAnsiTheme="minorHAnsi"/>
        </w:rPr>
        <w:t>ing</w:t>
      </w:r>
      <w:r w:rsidR="004A5E2F" w:rsidRPr="00633E1A">
        <w:rPr>
          <w:rFonts w:asciiTheme="minorHAnsi" w:hAnsiTheme="minorHAnsi"/>
        </w:rPr>
        <w:t xml:space="preserve"> additional vehicles into existing PBS approvals</w:t>
      </w:r>
      <w:r w:rsidR="004A5E2F">
        <w:rPr>
          <w:rFonts w:asciiTheme="minorHAnsi" w:hAnsiTheme="minorHAnsi"/>
        </w:rPr>
        <w:t xml:space="preserve">. </w:t>
      </w:r>
      <w:r w:rsidR="00B024F4">
        <w:rPr>
          <w:rFonts w:asciiTheme="minorHAnsi" w:hAnsiTheme="minorHAnsi"/>
        </w:rPr>
        <w:t xml:space="preserve">This scheme </w:t>
      </w:r>
      <w:r w:rsidR="004A5E2F" w:rsidRPr="00633E1A">
        <w:rPr>
          <w:rFonts w:asciiTheme="minorHAnsi" w:hAnsiTheme="minorHAnsi"/>
        </w:rPr>
        <w:t>has inherent complexit</w:t>
      </w:r>
      <w:r w:rsidR="004A5E2F">
        <w:rPr>
          <w:rFonts w:asciiTheme="minorHAnsi" w:hAnsiTheme="minorHAnsi"/>
        </w:rPr>
        <w:t>ies when add</w:t>
      </w:r>
      <w:r w:rsidR="004A5E2F" w:rsidRPr="00633E1A">
        <w:rPr>
          <w:rFonts w:asciiTheme="minorHAnsi" w:hAnsiTheme="minorHAnsi"/>
        </w:rPr>
        <w:t>ing vehicles to existing approvals</w:t>
      </w:r>
      <w:r w:rsidR="004A5E2F">
        <w:rPr>
          <w:rFonts w:asciiTheme="minorHAnsi" w:hAnsiTheme="minorHAnsi"/>
        </w:rPr>
        <w:t xml:space="preserve"> or </w:t>
      </w:r>
      <w:r w:rsidR="004A5E2F" w:rsidRPr="00633E1A">
        <w:rPr>
          <w:rFonts w:asciiTheme="minorHAnsi" w:hAnsiTheme="minorHAnsi"/>
        </w:rPr>
        <w:t xml:space="preserve">updating access approvals. </w:t>
      </w:r>
    </w:p>
    <w:p w:rsidR="00627057" w:rsidRDefault="00627057" w:rsidP="004A5E2F">
      <w:pPr>
        <w:rPr>
          <w:rFonts w:asciiTheme="minorHAnsi" w:hAnsiTheme="minorHAnsi"/>
        </w:rPr>
      </w:pPr>
    </w:p>
    <w:p w:rsidR="004A5E2F" w:rsidRDefault="00627057" w:rsidP="004A5E2F">
      <w:pPr>
        <w:rPr>
          <w:rFonts w:asciiTheme="minorHAnsi" w:hAnsiTheme="minorHAnsi"/>
        </w:rPr>
      </w:pPr>
      <w:r w:rsidRPr="00627057">
        <w:rPr>
          <w:rFonts w:asciiTheme="minorHAnsi" w:hAnsiTheme="minorHAnsi"/>
        </w:rPr>
        <w:t xml:space="preserve">For vehicles operating under </w:t>
      </w:r>
      <w:r>
        <w:rPr>
          <w:rFonts w:asciiTheme="minorHAnsi" w:hAnsiTheme="minorHAnsi"/>
        </w:rPr>
        <w:t>CML</w:t>
      </w:r>
      <w:r w:rsidRPr="00627057">
        <w:rPr>
          <w:rFonts w:asciiTheme="minorHAnsi" w:hAnsiTheme="minorHAnsi"/>
        </w:rPr>
        <w:t xml:space="preserve">, </w:t>
      </w:r>
      <w:r>
        <w:rPr>
          <w:rFonts w:asciiTheme="minorHAnsi" w:hAnsiTheme="minorHAnsi"/>
        </w:rPr>
        <w:t xml:space="preserve">the </w:t>
      </w:r>
      <w:r w:rsidRPr="00627057">
        <w:rPr>
          <w:rFonts w:asciiTheme="minorHAnsi" w:hAnsiTheme="minorHAnsi"/>
        </w:rPr>
        <w:t xml:space="preserve">axle groups are treated as </w:t>
      </w:r>
      <w:r>
        <w:rPr>
          <w:rFonts w:asciiTheme="minorHAnsi" w:hAnsiTheme="minorHAnsi"/>
        </w:rPr>
        <w:t>operating at</w:t>
      </w:r>
      <w:r w:rsidRPr="00627057">
        <w:rPr>
          <w:rFonts w:asciiTheme="minorHAnsi" w:hAnsiTheme="minorHAnsi"/>
        </w:rPr>
        <w:t xml:space="preserve"> </w:t>
      </w:r>
      <w:r>
        <w:rPr>
          <w:rFonts w:asciiTheme="minorHAnsi" w:hAnsiTheme="minorHAnsi"/>
        </w:rPr>
        <w:t>GML</w:t>
      </w:r>
      <w:r w:rsidRPr="00627057">
        <w:rPr>
          <w:rFonts w:asciiTheme="minorHAnsi" w:hAnsiTheme="minorHAnsi"/>
        </w:rPr>
        <w:t xml:space="preserve">. </w:t>
      </w:r>
      <w:r w:rsidR="004A5E2F">
        <w:rPr>
          <w:rFonts w:asciiTheme="minorHAnsi" w:hAnsiTheme="minorHAnsi"/>
        </w:rPr>
        <w:t>PBS</w:t>
      </w:r>
      <w:r w:rsidR="004A5E2F" w:rsidRPr="00633E1A">
        <w:rPr>
          <w:rFonts w:asciiTheme="minorHAnsi" w:hAnsiTheme="minorHAnsi"/>
        </w:rPr>
        <w:t xml:space="preserve"> references to CML and HML are most confusing</w:t>
      </w:r>
      <w:r w:rsidR="004A5E2F">
        <w:rPr>
          <w:rFonts w:asciiTheme="minorHAnsi" w:hAnsiTheme="minorHAnsi"/>
        </w:rPr>
        <w:t xml:space="preserve"> and the NHVR </w:t>
      </w:r>
      <w:r>
        <w:rPr>
          <w:rFonts w:asciiTheme="minorHAnsi" w:hAnsiTheme="minorHAnsi"/>
        </w:rPr>
        <w:t>could</w:t>
      </w:r>
      <w:r w:rsidRPr="00633E1A">
        <w:rPr>
          <w:rFonts w:asciiTheme="minorHAnsi" w:hAnsiTheme="minorHAnsi"/>
        </w:rPr>
        <w:t xml:space="preserve"> </w:t>
      </w:r>
      <w:r w:rsidR="004A5E2F">
        <w:rPr>
          <w:rFonts w:asciiTheme="minorHAnsi" w:hAnsiTheme="minorHAnsi"/>
        </w:rPr>
        <w:t xml:space="preserve">simply </w:t>
      </w:r>
      <w:r w:rsidR="004A5E2F" w:rsidRPr="00633E1A">
        <w:rPr>
          <w:rFonts w:asciiTheme="minorHAnsi" w:hAnsiTheme="minorHAnsi"/>
        </w:rPr>
        <w:t>remov</w:t>
      </w:r>
      <w:r w:rsidR="004A5E2F" w:rsidRPr="009652BE">
        <w:rPr>
          <w:rFonts w:asciiTheme="minorHAnsi" w:hAnsiTheme="minorHAnsi"/>
        </w:rPr>
        <w:t>e references to HML since</w:t>
      </w:r>
      <w:r w:rsidR="004A5E2F">
        <w:rPr>
          <w:rFonts w:asciiTheme="minorHAnsi" w:hAnsiTheme="minorHAnsi"/>
        </w:rPr>
        <w:t xml:space="preserve"> </w:t>
      </w:r>
      <w:r w:rsidR="004A5E2F" w:rsidRPr="00633E1A">
        <w:rPr>
          <w:rFonts w:asciiTheme="minorHAnsi" w:hAnsiTheme="minorHAnsi"/>
        </w:rPr>
        <w:t xml:space="preserve">it is </w:t>
      </w:r>
      <w:r w:rsidR="004A5E2F">
        <w:rPr>
          <w:rFonts w:asciiTheme="minorHAnsi" w:hAnsiTheme="minorHAnsi"/>
        </w:rPr>
        <w:t xml:space="preserve">only </w:t>
      </w:r>
      <w:r w:rsidR="004A5E2F" w:rsidRPr="00633E1A">
        <w:rPr>
          <w:rFonts w:asciiTheme="minorHAnsi" w:hAnsiTheme="minorHAnsi"/>
        </w:rPr>
        <w:t xml:space="preserve">an increase in mass limits </w:t>
      </w:r>
      <w:r w:rsidR="004A5E2F">
        <w:rPr>
          <w:rFonts w:asciiTheme="minorHAnsi" w:hAnsiTheme="minorHAnsi"/>
        </w:rPr>
        <w:t xml:space="preserve">in </w:t>
      </w:r>
      <w:r w:rsidR="004A5E2F" w:rsidRPr="00633E1A">
        <w:rPr>
          <w:rFonts w:asciiTheme="minorHAnsi" w:hAnsiTheme="minorHAnsi"/>
        </w:rPr>
        <w:t>compari</w:t>
      </w:r>
      <w:r w:rsidR="004A5E2F">
        <w:rPr>
          <w:rFonts w:asciiTheme="minorHAnsi" w:hAnsiTheme="minorHAnsi"/>
        </w:rPr>
        <w:t>son with the</w:t>
      </w:r>
      <w:r w:rsidR="004A5E2F" w:rsidRPr="00633E1A">
        <w:rPr>
          <w:rFonts w:asciiTheme="minorHAnsi" w:hAnsiTheme="minorHAnsi"/>
        </w:rPr>
        <w:t xml:space="preserve"> statutory limits for the </w:t>
      </w:r>
      <w:r w:rsidR="004A5E2F">
        <w:rPr>
          <w:rFonts w:asciiTheme="minorHAnsi" w:hAnsiTheme="minorHAnsi"/>
        </w:rPr>
        <w:t xml:space="preserve">prescriptive </w:t>
      </w:r>
      <w:r w:rsidR="004A5E2F" w:rsidRPr="00633E1A">
        <w:rPr>
          <w:rFonts w:asciiTheme="minorHAnsi" w:hAnsiTheme="minorHAnsi"/>
        </w:rPr>
        <w:t>combination</w:t>
      </w:r>
      <w:r w:rsidR="009652BE">
        <w:rPr>
          <w:rFonts w:asciiTheme="minorHAnsi" w:hAnsiTheme="minorHAnsi"/>
        </w:rPr>
        <w:t>.</w:t>
      </w:r>
    </w:p>
    <w:p w:rsidR="00627057" w:rsidRDefault="00627057" w:rsidP="00633E1A">
      <w:pPr>
        <w:rPr>
          <w:rFonts w:asciiTheme="minorHAnsi" w:hAnsiTheme="minorHAnsi"/>
        </w:rPr>
      </w:pPr>
    </w:p>
    <w:p w:rsidR="00633E1A" w:rsidRPr="006667CD" w:rsidRDefault="00633E1A" w:rsidP="00633E1A">
      <w:pPr>
        <w:rPr>
          <w:b/>
        </w:rPr>
      </w:pPr>
      <w:r w:rsidRPr="006667CD">
        <w:rPr>
          <w:b/>
        </w:rPr>
        <w:t>Q14</w:t>
      </w:r>
      <w:r w:rsidR="00CF7D25">
        <w:rPr>
          <w:b/>
        </w:rPr>
        <w:t xml:space="preserve"> </w:t>
      </w:r>
      <w:r w:rsidRPr="006667CD">
        <w:rPr>
          <w:b/>
        </w:rPr>
        <w:t xml:space="preserve">For existing combinations, significant modification may be required to take the vehicle from being prescriptive to meeting the requirements of the blueprint. This would likely involve modifications being certified by approved engineers. Given the monetary and time costs associated with getting the vehicle modified, certified and exempted, are you more likely to: </w:t>
      </w:r>
    </w:p>
    <w:p w:rsidR="0023210F" w:rsidRPr="00CF7D25" w:rsidRDefault="0023210F" w:rsidP="00633E1A">
      <w:pPr>
        <w:rPr>
          <w:rFonts w:asciiTheme="minorHAnsi" w:hAnsiTheme="minorHAnsi"/>
          <w:b/>
        </w:rPr>
      </w:pPr>
    </w:p>
    <w:p w:rsidR="00633E1A" w:rsidRPr="00B024F4" w:rsidRDefault="00665252" w:rsidP="00633E1A">
      <w:pPr>
        <w:rPr>
          <w:rFonts w:asciiTheme="minorHAnsi" w:hAnsiTheme="minorHAnsi"/>
          <w:b/>
          <w:i/>
        </w:rPr>
      </w:pPr>
      <w:r w:rsidRPr="00B024F4">
        <w:rPr>
          <w:rFonts w:asciiTheme="minorHAnsi" w:hAnsiTheme="minorHAnsi"/>
          <w:b/>
          <w:i/>
        </w:rPr>
        <w:t xml:space="preserve">a. </w:t>
      </w:r>
      <w:r w:rsidR="00633E1A" w:rsidRPr="00B024F4">
        <w:rPr>
          <w:rFonts w:asciiTheme="minorHAnsi" w:hAnsiTheme="minorHAnsi"/>
          <w:b/>
          <w:i/>
        </w:rPr>
        <w:t>Modify your vehicle? If so, why?</w:t>
      </w:r>
    </w:p>
    <w:p w:rsidR="00633E1A" w:rsidRPr="00633E1A" w:rsidRDefault="00633E1A" w:rsidP="00633E1A">
      <w:pPr>
        <w:rPr>
          <w:rFonts w:asciiTheme="minorHAnsi" w:hAnsiTheme="minorHAnsi"/>
        </w:rPr>
      </w:pPr>
      <w:r w:rsidRPr="00633E1A">
        <w:rPr>
          <w:rFonts w:asciiTheme="minorHAnsi" w:hAnsiTheme="minorHAnsi"/>
        </w:rPr>
        <w:t xml:space="preserve">Vehicles will only be modified </w:t>
      </w:r>
      <w:r w:rsidR="00927ACE">
        <w:rPr>
          <w:rFonts w:asciiTheme="minorHAnsi" w:hAnsiTheme="minorHAnsi"/>
        </w:rPr>
        <w:t xml:space="preserve">after </w:t>
      </w:r>
      <w:r w:rsidRPr="00633E1A">
        <w:rPr>
          <w:rFonts w:asciiTheme="minorHAnsi" w:hAnsiTheme="minorHAnsi"/>
        </w:rPr>
        <w:t>a cost/benefit analysis by the operator</w:t>
      </w:r>
      <w:r w:rsidR="00927ACE">
        <w:rPr>
          <w:rFonts w:asciiTheme="minorHAnsi" w:hAnsiTheme="minorHAnsi"/>
        </w:rPr>
        <w:t xml:space="preserve">, </w:t>
      </w:r>
      <w:r w:rsidR="00CF7D25">
        <w:rPr>
          <w:rFonts w:asciiTheme="minorHAnsi" w:hAnsiTheme="minorHAnsi"/>
        </w:rPr>
        <w:t xml:space="preserve">thus </w:t>
      </w:r>
      <w:r w:rsidR="00927ACE">
        <w:rPr>
          <w:rFonts w:asciiTheme="minorHAnsi" w:hAnsiTheme="minorHAnsi"/>
        </w:rPr>
        <w:t xml:space="preserve">decisions will not be the same </w:t>
      </w:r>
      <w:r w:rsidRPr="00633E1A">
        <w:rPr>
          <w:rFonts w:asciiTheme="minorHAnsi" w:hAnsiTheme="minorHAnsi"/>
        </w:rPr>
        <w:t>for all operators</w:t>
      </w:r>
      <w:r w:rsidR="00927ACE">
        <w:rPr>
          <w:rFonts w:asciiTheme="minorHAnsi" w:hAnsiTheme="minorHAnsi"/>
        </w:rPr>
        <w:t>.</w:t>
      </w:r>
    </w:p>
    <w:p w:rsidR="00CF7D25" w:rsidRDefault="00CF7D25" w:rsidP="00633E1A">
      <w:pPr>
        <w:rPr>
          <w:rFonts w:asciiTheme="minorHAnsi" w:hAnsiTheme="minorHAnsi"/>
        </w:rPr>
      </w:pPr>
    </w:p>
    <w:p w:rsidR="00633E1A" w:rsidRPr="00B024F4" w:rsidRDefault="00665252" w:rsidP="00633E1A">
      <w:pPr>
        <w:rPr>
          <w:rFonts w:asciiTheme="minorHAnsi" w:hAnsiTheme="minorHAnsi"/>
          <w:b/>
          <w:i/>
        </w:rPr>
      </w:pPr>
      <w:r w:rsidRPr="00B024F4">
        <w:rPr>
          <w:rFonts w:asciiTheme="minorHAnsi" w:hAnsiTheme="minorHAnsi"/>
          <w:b/>
          <w:i/>
        </w:rPr>
        <w:t xml:space="preserve">b. </w:t>
      </w:r>
      <w:r w:rsidR="00633E1A" w:rsidRPr="00B024F4">
        <w:rPr>
          <w:rFonts w:asciiTheme="minorHAnsi" w:hAnsiTheme="minorHAnsi"/>
          <w:b/>
          <w:i/>
        </w:rPr>
        <w:t>Replace your vehicle with an ‘off the shelf’ model constructed to the blueprint specification? If so, why?</w:t>
      </w:r>
    </w:p>
    <w:p w:rsidR="00633E1A" w:rsidRPr="00633E1A" w:rsidRDefault="000B0C8A" w:rsidP="00633E1A">
      <w:pPr>
        <w:rPr>
          <w:rFonts w:asciiTheme="minorHAnsi" w:hAnsiTheme="minorHAnsi"/>
        </w:rPr>
      </w:pPr>
      <w:r>
        <w:rPr>
          <w:rFonts w:asciiTheme="minorHAnsi" w:hAnsiTheme="minorHAnsi"/>
        </w:rPr>
        <w:t>This is u</w:t>
      </w:r>
      <w:r w:rsidR="00633E1A" w:rsidRPr="00633E1A">
        <w:rPr>
          <w:rFonts w:asciiTheme="minorHAnsi" w:hAnsiTheme="minorHAnsi"/>
        </w:rPr>
        <w:t>nlikely</w:t>
      </w:r>
      <w:r w:rsidR="00AD6BB9">
        <w:rPr>
          <w:rFonts w:asciiTheme="minorHAnsi" w:hAnsiTheme="minorHAnsi"/>
        </w:rPr>
        <w:t xml:space="preserve"> since</w:t>
      </w:r>
      <w:r>
        <w:rPr>
          <w:rFonts w:asciiTheme="minorHAnsi" w:hAnsiTheme="minorHAnsi"/>
        </w:rPr>
        <w:t xml:space="preserve"> </w:t>
      </w:r>
      <w:r w:rsidR="00633E1A" w:rsidRPr="00633E1A">
        <w:rPr>
          <w:rFonts w:asciiTheme="minorHAnsi" w:hAnsiTheme="minorHAnsi"/>
        </w:rPr>
        <w:t xml:space="preserve">replacement considerations </w:t>
      </w:r>
      <w:r>
        <w:rPr>
          <w:rFonts w:asciiTheme="minorHAnsi" w:hAnsiTheme="minorHAnsi"/>
        </w:rPr>
        <w:t>are always</w:t>
      </w:r>
      <w:r w:rsidR="00633E1A" w:rsidRPr="00633E1A">
        <w:rPr>
          <w:rFonts w:asciiTheme="minorHAnsi" w:hAnsiTheme="minorHAnsi"/>
        </w:rPr>
        <w:t xml:space="preserve"> subject to </w:t>
      </w:r>
      <w:r>
        <w:rPr>
          <w:rFonts w:asciiTheme="minorHAnsi" w:hAnsiTheme="minorHAnsi"/>
        </w:rPr>
        <w:t xml:space="preserve">an </w:t>
      </w:r>
      <w:r w:rsidR="00DA65CF">
        <w:rPr>
          <w:rFonts w:asciiTheme="minorHAnsi" w:hAnsiTheme="minorHAnsi"/>
        </w:rPr>
        <w:t>operator’s</w:t>
      </w:r>
      <w:r>
        <w:rPr>
          <w:rFonts w:asciiTheme="minorHAnsi" w:hAnsiTheme="minorHAnsi"/>
        </w:rPr>
        <w:t xml:space="preserve"> </w:t>
      </w:r>
      <w:r w:rsidR="00633E1A" w:rsidRPr="00633E1A">
        <w:rPr>
          <w:rFonts w:asciiTheme="minorHAnsi" w:hAnsiTheme="minorHAnsi"/>
        </w:rPr>
        <w:t>cost/benefit analysis</w:t>
      </w:r>
      <w:r w:rsidR="00DA65CF">
        <w:rPr>
          <w:rFonts w:asciiTheme="minorHAnsi" w:hAnsiTheme="minorHAnsi"/>
        </w:rPr>
        <w:t>.</w:t>
      </w:r>
    </w:p>
    <w:p w:rsidR="00CF7D25" w:rsidRDefault="00CF7D25" w:rsidP="00633E1A">
      <w:pPr>
        <w:rPr>
          <w:rFonts w:asciiTheme="minorHAnsi" w:hAnsiTheme="minorHAnsi"/>
        </w:rPr>
      </w:pPr>
    </w:p>
    <w:p w:rsidR="00633E1A" w:rsidRPr="00B024F4" w:rsidRDefault="00665252" w:rsidP="00633E1A">
      <w:pPr>
        <w:rPr>
          <w:rFonts w:asciiTheme="minorHAnsi" w:hAnsiTheme="minorHAnsi"/>
          <w:b/>
          <w:i/>
        </w:rPr>
      </w:pPr>
      <w:r w:rsidRPr="00B024F4">
        <w:rPr>
          <w:rFonts w:asciiTheme="minorHAnsi" w:hAnsiTheme="minorHAnsi"/>
          <w:b/>
          <w:i/>
        </w:rPr>
        <w:t xml:space="preserve">c. </w:t>
      </w:r>
      <w:r w:rsidR="00633E1A" w:rsidRPr="00B024F4">
        <w:rPr>
          <w:rFonts w:asciiTheme="minorHAnsi" w:hAnsiTheme="minorHAnsi"/>
          <w:b/>
          <w:i/>
        </w:rPr>
        <w:t>Replace your vehicle with another PBS approved design? If so, why?</w:t>
      </w:r>
    </w:p>
    <w:p w:rsidR="00633E1A" w:rsidRPr="00633E1A" w:rsidRDefault="00633E1A" w:rsidP="00633E1A">
      <w:pPr>
        <w:rPr>
          <w:rFonts w:asciiTheme="minorHAnsi" w:hAnsiTheme="minorHAnsi"/>
        </w:rPr>
      </w:pPr>
      <w:r w:rsidRPr="00633E1A">
        <w:rPr>
          <w:rFonts w:asciiTheme="minorHAnsi" w:hAnsiTheme="minorHAnsi"/>
        </w:rPr>
        <w:t xml:space="preserve">This option </w:t>
      </w:r>
      <w:r w:rsidR="00CF7D25">
        <w:rPr>
          <w:rFonts w:asciiTheme="minorHAnsi" w:hAnsiTheme="minorHAnsi"/>
        </w:rPr>
        <w:t>appears in effect the same as</w:t>
      </w:r>
      <w:r w:rsidRPr="00633E1A">
        <w:rPr>
          <w:rFonts w:asciiTheme="minorHAnsi" w:hAnsiTheme="minorHAnsi"/>
        </w:rPr>
        <w:t xml:space="preserve"> option (b). </w:t>
      </w:r>
    </w:p>
    <w:p w:rsidR="00CF7D25" w:rsidRDefault="00CF7D25" w:rsidP="00633E1A">
      <w:pPr>
        <w:rPr>
          <w:rFonts w:asciiTheme="minorHAnsi" w:hAnsiTheme="minorHAnsi"/>
        </w:rPr>
      </w:pPr>
    </w:p>
    <w:p w:rsidR="00633E1A" w:rsidRPr="00B024F4" w:rsidRDefault="00665252" w:rsidP="00633E1A">
      <w:pPr>
        <w:rPr>
          <w:rFonts w:asciiTheme="minorHAnsi" w:hAnsiTheme="minorHAnsi"/>
          <w:b/>
          <w:i/>
        </w:rPr>
      </w:pPr>
      <w:r w:rsidRPr="00B024F4">
        <w:rPr>
          <w:rFonts w:asciiTheme="minorHAnsi" w:hAnsiTheme="minorHAnsi"/>
          <w:b/>
          <w:i/>
        </w:rPr>
        <w:t xml:space="preserve">d. </w:t>
      </w:r>
      <w:r w:rsidR="00633E1A" w:rsidRPr="00B024F4">
        <w:rPr>
          <w:rFonts w:asciiTheme="minorHAnsi" w:hAnsiTheme="minorHAnsi"/>
          <w:b/>
          <w:i/>
        </w:rPr>
        <w:t>Continue to use the prescriptive vehicle? If so, why?</w:t>
      </w:r>
    </w:p>
    <w:p w:rsidR="00633E1A" w:rsidRPr="00633E1A" w:rsidRDefault="00252350" w:rsidP="00633E1A">
      <w:pPr>
        <w:rPr>
          <w:rFonts w:asciiTheme="minorHAnsi" w:hAnsiTheme="minorHAnsi"/>
        </w:rPr>
      </w:pPr>
      <w:r>
        <w:rPr>
          <w:rFonts w:asciiTheme="minorHAnsi" w:hAnsiTheme="minorHAnsi"/>
        </w:rPr>
        <w:t xml:space="preserve">As noted, configuration </w:t>
      </w:r>
      <w:r w:rsidR="00532885">
        <w:rPr>
          <w:rFonts w:asciiTheme="minorHAnsi" w:hAnsiTheme="minorHAnsi"/>
        </w:rPr>
        <w:t>decisions</w:t>
      </w:r>
      <w:r>
        <w:rPr>
          <w:rFonts w:asciiTheme="minorHAnsi" w:hAnsiTheme="minorHAnsi"/>
        </w:rPr>
        <w:t xml:space="preserve"> </w:t>
      </w:r>
      <w:r w:rsidR="00627057">
        <w:rPr>
          <w:rFonts w:asciiTheme="minorHAnsi" w:hAnsiTheme="minorHAnsi"/>
        </w:rPr>
        <w:t xml:space="preserve">by operators </w:t>
      </w:r>
      <w:r>
        <w:rPr>
          <w:rFonts w:asciiTheme="minorHAnsi" w:hAnsiTheme="minorHAnsi"/>
        </w:rPr>
        <w:t xml:space="preserve">are </w:t>
      </w:r>
      <w:r w:rsidR="00633E1A" w:rsidRPr="00633E1A">
        <w:rPr>
          <w:rFonts w:asciiTheme="minorHAnsi" w:hAnsiTheme="minorHAnsi"/>
        </w:rPr>
        <w:t xml:space="preserve">the </w:t>
      </w:r>
      <w:r w:rsidR="004A5E2F">
        <w:rPr>
          <w:rFonts w:asciiTheme="minorHAnsi" w:hAnsiTheme="minorHAnsi"/>
        </w:rPr>
        <w:t>result</w:t>
      </w:r>
      <w:r>
        <w:rPr>
          <w:rFonts w:asciiTheme="minorHAnsi" w:hAnsiTheme="minorHAnsi"/>
        </w:rPr>
        <w:t xml:space="preserve"> of </w:t>
      </w:r>
      <w:r w:rsidR="00B024F4">
        <w:rPr>
          <w:rFonts w:asciiTheme="minorHAnsi" w:hAnsiTheme="minorHAnsi"/>
        </w:rPr>
        <w:t xml:space="preserve">their </w:t>
      </w:r>
      <w:r w:rsidR="009D4892">
        <w:rPr>
          <w:rFonts w:asciiTheme="minorHAnsi" w:hAnsiTheme="minorHAnsi"/>
        </w:rPr>
        <w:t xml:space="preserve">respective </w:t>
      </w:r>
      <w:r>
        <w:rPr>
          <w:rFonts w:asciiTheme="minorHAnsi" w:hAnsiTheme="minorHAnsi"/>
        </w:rPr>
        <w:t>cost/benefit analyses.</w:t>
      </w:r>
    </w:p>
    <w:p w:rsidR="00633E1A" w:rsidRPr="00633E1A" w:rsidRDefault="00633E1A" w:rsidP="00633E1A">
      <w:pPr>
        <w:rPr>
          <w:rFonts w:asciiTheme="minorHAnsi" w:hAnsiTheme="minorHAnsi"/>
        </w:rPr>
      </w:pPr>
    </w:p>
    <w:p w:rsidR="00156CCC" w:rsidRDefault="00156CCC" w:rsidP="00633E1A">
      <w:pPr>
        <w:rPr>
          <w:b/>
        </w:rPr>
      </w:pPr>
    </w:p>
    <w:p w:rsidR="00156CCC" w:rsidRDefault="00156CCC" w:rsidP="00633E1A">
      <w:pPr>
        <w:rPr>
          <w:b/>
        </w:rPr>
      </w:pPr>
    </w:p>
    <w:p w:rsidR="00156CCC" w:rsidRDefault="00156CCC" w:rsidP="00633E1A">
      <w:pPr>
        <w:rPr>
          <w:b/>
        </w:rPr>
      </w:pPr>
    </w:p>
    <w:p w:rsidR="00156CCC" w:rsidRDefault="00156CCC" w:rsidP="00633E1A">
      <w:pPr>
        <w:rPr>
          <w:b/>
        </w:rPr>
      </w:pPr>
    </w:p>
    <w:p w:rsidR="006C794C" w:rsidRDefault="006C794C" w:rsidP="00633E1A">
      <w:pPr>
        <w:rPr>
          <w:b/>
        </w:rPr>
      </w:pPr>
    </w:p>
    <w:p w:rsidR="006C794C" w:rsidRDefault="006C794C" w:rsidP="00633E1A">
      <w:pPr>
        <w:rPr>
          <w:b/>
        </w:rPr>
      </w:pPr>
    </w:p>
    <w:p w:rsidR="00EF1B2D" w:rsidRDefault="004F653E" w:rsidP="004F653E">
      <w:pPr>
        <w:jc w:val="right"/>
        <w:rPr>
          <w:b/>
        </w:rPr>
      </w:pPr>
      <w:r>
        <w:rPr>
          <w:b/>
        </w:rPr>
        <w:t xml:space="preserve">[See </w:t>
      </w:r>
      <w:r w:rsidR="00633E1A" w:rsidRPr="006667CD">
        <w:rPr>
          <w:b/>
        </w:rPr>
        <w:t>Appendix 1</w:t>
      </w:r>
      <w:r>
        <w:rPr>
          <w:b/>
        </w:rPr>
        <w:t xml:space="preserve"> overleaf]</w:t>
      </w:r>
    </w:p>
    <w:p w:rsidR="00C10D60" w:rsidRDefault="00C10D60" w:rsidP="00633E1A">
      <w:pPr>
        <w:rPr>
          <w:b/>
        </w:rPr>
      </w:pPr>
    </w:p>
    <w:p w:rsidR="00C10D60" w:rsidRDefault="00C10D60">
      <w:pPr>
        <w:rPr>
          <w:b/>
        </w:rPr>
      </w:pPr>
      <w:r>
        <w:rPr>
          <w:b/>
        </w:rPr>
        <w:br w:type="page"/>
      </w:r>
    </w:p>
    <w:p w:rsidR="008346AA" w:rsidRDefault="008346AA" w:rsidP="00C10D60">
      <w:pPr>
        <w:jc w:val="right"/>
        <w:rPr>
          <w:b/>
        </w:rPr>
        <w:sectPr w:rsidR="008346AA" w:rsidSect="0090132C">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567" w:left="1134" w:header="703" w:footer="298" w:gutter="0"/>
          <w:cols w:space="708"/>
          <w:docGrid w:linePitch="360"/>
        </w:sectPr>
      </w:pPr>
    </w:p>
    <w:p w:rsidR="00C10D60" w:rsidRPr="008346AA" w:rsidRDefault="00C10D60" w:rsidP="00C10D60">
      <w:pPr>
        <w:jc w:val="right"/>
        <w:rPr>
          <w:b/>
          <w:sz w:val="32"/>
          <w:szCs w:val="32"/>
        </w:rPr>
      </w:pPr>
      <w:r w:rsidRPr="008346AA">
        <w:rPr>
          <w:b/>
          <w:sz w:val="32"/>
          <w:szCs w:val="32"/>
        </w:rPr>
        <w:t>Appendix 1</w:t>
      </w:r>
    </w:p>
    <w:p w:rsidR="00C31AFD" w:rsidRPr="00E751B6" w:rsidRDefault="00C31AFD" w:rsidP="008346AA">
      <w:pPr>
        <w:ind w:left="720" w:firstLine="720"/>
        <w:jc w:val="both"/>
        <w:rPr>
          <w:b/>
        </w:rPr>
      </w:pPr>
      <w:r w:rsidRPr="00E751B6">
        <w:rPr>
          <w:b/>
        </w:rPr>
        <w:t xml:space="preserve">Truck and dog combinations </w:t>
      </w:r>
      <w:r w:rsidRPr="00E751B6">
        <w:rPr>
          <w:rFonts w:cstheme="minorHAnsi"/>
          <w:b/>
        </w:rPr>
        <w:t>&gt;</w:t>
      </w:r>
      <w:r w:rsidRPr="00E751B6">
        <w:rPr>
          <w:b/>
        </w:rPr>
        <w:t xml:space="preserve"> 20 </w:t>
      </w:r>
      <w:r w:rsidR="002B330D" w:rsidRPr="00E751B6">
        <w:rPr>
          <w:b/>
        </w:rPr>
        <w:t>metres</w:t>
      </w:r>
      <w:r w:rsidRPr="00E751B6">
        <w:rPr>
          <w:b/>
        </w:rPr>
        <w:t xml:space="preserve"> OAL and/or &gt; 56 tonnes GML – Full PBS assessment:</w:t>
      </w:r>
    </w:p>
    <w:p w:rsidR="00C31AFD" w:rsidRPr="00E751B6" w:rsidRDefault="00C31AFD" w:rsidP="00C31AFD">
      <w:pPr>
        <w:rPr>
          <w:b/>
        </w:rPr>
      </w:pPr>
    </w:p>
    <w:p w:rsidR="00C31AFD" w:rsidRDefault="008346AA" w:rsidP="008346AA">
      <w:pPr>
        <w:ind w:left="720"/>
        <w:rPr>
          <w:b/>
        </w:rPr>
      </w:pPr>
      <w:r>
        <w:rPr>
          <w:rFonts w:cstheme="minorHAnsi"/>
          <w:noProof/>
          <w:lang w:eastAsia="en-AU"/>
        </w:rPr>
        <w:drawing>
          <wp:inline distT="0" distB="0" distL="0" distR="0" wp14:anchorId="1E2592FD" wp14:editId="2284B613">
            <wp:extent cx="9460550" cy="3921760"/>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71079" cy="3926125"/>
                    </a:xfrm>
                    <a:prstGeom prst="rect">
                      <a:avLst/>
                    </a:prstGeom>
                    <a:noFill/>
                    <a:ln>
                      <a:noFill/>
                    </a:ln>
                  </pic:spPr>
                </pic:pic>
              </a:graphicData>
            </a:graphic>
          </wp:inline>
        </w:drawing>
      </w:r>
    </w:p>
    <w:p w:rsidR="00156CCC" w:rsidRDefault="00156CCC" w:rsidP="00156CCC">
      <w:pPr>
        <w:rPr>
          <w:rFonts w:asciiTheme="minorHAnsi" w:hAnsiTheme="minorHAnsi"/>
          <w:i/>
        </w:rPr>
      </w:pPr>
    </w:p>
    <w:p w:rsidR="00156CCC" w:rsidRDefault="00156CCC" w:rsidP="00156CCC">
      <w:pPr>
        <w:ind w:left="1080"/>
        <w:rPr>
          <w:rFonts w:asciiTheme="minorHAnsi" w:hAnsiTheme="minorHAnsi"/>
          <w:i/>
        </w:rPr>
      </w:pPr>
      <w:r w:rsidRPr="00252350">
        <w:rPr>
          <w:rFonts w:asciiTheme="minorHAnsi" w:hAnsiTheme="minorHAnsi"/>
          <w:i/>
        </w:rPr>
        <w:t xml:space="preserve">Prescriptive dimensions for truck and trailer combinations &gt; 42.5tonnes GCM &amp; ≤ </w:t>
      </w:r>
      <w:r w:rsidRPr="008346AA">
        <w:rPr>
          <w:rFonts w:asciiTheme="minorHAnsi" w:hAnsiTheme="minorHAnsi"/>
          <w:i/>
        </w:rPr>
        <w:t>20</w:t>
      </w:r>
      <w:r>
        <w:rPr>
          <w:rFonts w:asciiTheme="minorHAnsi" w:hAnsiTheme="minorHAnsi"/>
          <w:i/>
        </w:rPr>
        <w:t xml:space="preserve"> </w:t>
      </w:r>
      <w:r w:rsidRPr="008346AA">
        <w:rPr>
          <w:rFonts w:asciiTheme="minorHAnsi" w:hAnsiTheme="minorHAnsi"/>
          <w:i/>
        </w:rPr>
        <w:t>metres OAL:</w:t>
      </w:r>
    </w:p>
    <w:p w:rsidR="00156CCC" w:rsidRPr="00252350" w:rsidRDefault="00156CCC" w:rsidP="00156CCC">
      <w:pPr>
        <w:ind w:left="1080"/>
        <w:rPr>
          <w:rFonts w:asciiTheme="minorHAnsi" w:hAnsiTheme="minorHAnsi"/>
          <w:i/>
        </w:rPr>
      </w:pPr>
    </w:p>
    <w:p w:rsidR="00156CCC" w:rsidRPr="00665252" w:rsidRDefault="00156CCC" w:rsidP="00156CCC">
      <w:pPr>
        <w:pStyle w:val="ListParagraph"/>
        <w:numPr>
          <w:ilvl w:val="0"/>
          <w:numId w:val="8"/>
        </w:numPr>
        <w:ind w:left="1440"/>
        <w:rPr>
          <w:rFonts w:asciiTheme="minorHAnsi" w:hAnsiTheme="minorHAnsi"/>
        </w:rPr>
      </w:pPr>
      <w:r w:rsidRPr="00665252">
        <w:rPr>
          <w:rFonts w:asciiTheme="minorHAnsi" w:hAnsiTheme="minorHAnsi"/>
        </w:rPr>
        <w:t>Six (6) axle (high CoG) ≤ 48.5 tonnes GCM</w:t>
      </w:r>
      <w:r>
        <w:rPr>
          <w:rFonts w:asciiTheme="minorHAnsi" w:hAnsiTheme="minorHAnsi"/>
        </w:rPr>
        <w:t xml:space="preserve"> – General (PBS Level 1) Access</w:t>
      </w:r>
    </w:p>
    <w:p w:rsidR="00156CCC" w:rsidRPr="00665252" w:rsidRDefault="00156CCC" w:rsidP="00156CCC">
      <w:pPr>
        <w:pStyle w:val="ListParagraph"/>
        <w:numPr>
          <w:ilvl w:val="0"/>
          <w:numId w:val="8"/>
        </w:numPr>
        <w:ind w:left="1440"/>
        <w:rPr>
          <w:rFonts w:asciiTheme="minorHAnsi" w:hAnsiTheme="minorHAnsi"/>
        </w:rPr>
      </w:pPr>
      <w:r w:rsidRPr="00665252">
        <w:rPr>
          <w:rFonts w:asciiTheme="minorHAnsi" w:hAnsiTheme="minorHAnsi"/>
        </w:rPr>
        <w:t>Six (6) axle (low CoG) ≤ 48.5 tonnes GCM</w:t>
      </w:r>
      <w:r>
        <w:rPr>
          <w:rFonts w:asciiTheme="minorHAnsi" w:hAnsiTheme="minorHAnsi"/>
        </w:rPr>
        <w:t xml:space="preserve"> – General (PBS Level 1) Access</w:t>
      </w:r>
    </w:p>
    <w:p w:rsidR="00156CCC" w:rsidRPr="00665252" w:rsidRDefault="00156CCC" w:rsidP="00156CCC">
      <w:pPr>
        <w:pStyle w:val="ListParagraph"/>
        <w:numPr>
          <w:ilvl w:val="0"/>
          <w:numId w:val="8"/>
        </w:numPr>
        <w:ind w:left="1440"/>
        <w:rPr>
          <w:rFonts w:asciiTheme="minorHAnsi" w:hAnsiTheme="minorHAnsi"/>
        </w:rPr>
      </w:pPr>
      <w:r w:rsidRPr="00665252">
        <w:rPr>
          <w:rFonts w:asciiTheme="minorHAnsi" w:hAnsiTheme="minorHAnsi"/>
        </w:rPr>
        <w:t>Seven (7) axle (high CoG) ≤ 50.5 tonnes GCM</w:t>
      </w:r>
      <w:r>
        <w:rPr>
          <w:rFonts w:asciiTheme="minorHAnsi" w:hAnsiTheme="minorHAnsi"/>
        </w:rPr>
        <w:t xml:space="preserve"> – General (PBS Level 1) Access</w:t>
      </w:r>
    </w:p>
    <w:p w:rsidR="00156CCC" w:rsidRPr="00665252" w:rsidRDefault="00156CCC" w:rsidP="00156CCC">
      <w:pPr>
        <w:pStyle w:val="ListParagraph"/>
        <w:numPr>
          <w:ilvl w:val="0"/>
          <w:numId w:val="8"/>
        </w:numPr>
        <w:ind w:left="1440"/>
        <w:rPr>
          <w:rFonts w:asciiTheme="minorHAnsi" w:hAnsiTheme="minorHAnsi"/>
        </w:rPr>
      </w:pPr>
      <w:r w:rsidRPr="00665252">
        <w:rPr>
          <w:rFonts w:asciiTheme="minorHAnsi" w:hAnsiTheme="minorHAnsi"/>
        </w:rPr>
        <w:t>Seven (7) axle (low CoG) ≤ 50.5 tonnes GCM</w:t>
      </w:r>
      <w:r>
        <w:rPr>
          <w:rFonts w:asciiTheme="minorHAnsi" w:hAnsiTheme="minorHAnsi"/>
        </w:rPr>
        <w:t xml:space="preserve"> – General (PBS Level 1) Access</w:t>
      </w:r>
    </w:p>
    <w:p w:rsidR="00156CCC" w:rsidRPr="00665252" w:rsidRDefault="00156CCC" w:rsidP="00156CCC">
      <w:pPr>
        <w:pStyle w:val="ListParagraph"/>
        <w:numPr>
          <w:ilvl w:val="0"/>
          <w:numId w:val="8"/>
        </w:numPr>
        <w:ind w:left="1440"/>
        <w:rPr>
          <w:rFonts w:asciiTheme="minorHAnsi" w:hAnsiTheme="minorHAnsi"/>
        </w:rPr>
      </w:pPr>
      <w:r w:rsidRPr="00665252">
        <w:rPr>
          <w:rFonts w:asciiTheme="minorHAnsi" w:hAnsiTheme="minorHAnsi"/>
        </w:rPr>
        <w:t>Seven (7) axle (high CoG) ≤ 57.5 tonnes GCM – RAV (B-double ro</w:t>
      </w:r>
      <w:r>
        <w:rPr>
          <w:rFonts w:asciiTheme="minorHAnsi" w:hAnsiTheme="minorHAnsi"/>
        </w:rPr>
        <w:t>utes and/or PBS Level 2) Access</w:t>
      </w:r>
    </w:p>
    <w:p w:rsidR="00156CCC" w:rsidRPr="00665252" w:rsidRDefault="00156CCC" w:rsidP="00156CCC">
      <w:pPr>
        <w:pStyle w:val="ListParagraph"/>
        <w:numPr>
          <w:ilvl w:val="0"/>
          <w:numId w:val="8"/>
        </w:numPr>
        <w:ind w:left="1440"/>
        <w:rPr>
          <w:rFonts w:asciiTheme="minorHAnsi" w:hAnsiTheme="minorHAnsi"/>
        </w:rPr>
      </w:pPr>
      <w:r w:rsidRPr="00665252">
        <w:rPr>
          <w:rFonts w:asciiTheme="minorHAnsi" w:hAnsiTheme="minorHAnsi"/>
        </w:rPr>
        <w:t>Seven (7) axle (low CoG) ≤ 57.5 tonnes GCM – RAV (B-double ro</w:t>
      </w:r>
      <w:r>
        <w:rPr>
          <w:rFonts w:asciiTheme="minorHAnsi" w:hAnsiTheme="minorHAnsi"/>
        </w:rPr>
        <w:t>utes and/or PBS Level 2) Access</w:t>
      </w:r>
    </w:p>
    <w:p w:rsidR="003861C1" w:rsidRDefault="003861C1" w:rsidP="00156CCC">
      <w:pPr>
        <w:ind w:left="1080"/>
        <w:rPr>
          <w:rFonts w:asciiTheme="minorHAnsi" w:hAnsiTheme="minorHAnsi"/>
          <w:i/>
        </w:rPr>
      </w:pPr>
    </w:p>
    <w:p w:rsidR="00156CCC" w:rsidRDefault="00156CCC" w:rsidP="00156CCC">
      <w:pPr>
        <w:ind w:left="1080"/>
        <w:rPr>
          <w:rFonts w:asciiTheme="minorHAnsi" w:hAnsiTheme="minorHAnsi"/>
          <w:i/>
        </w:rPr>
      </w:pPr>
      <w:r w:rsidRPr="00252350">
        <w:rPr>
          <w:rFonts w:asciiTheme="minorHAnsi" w:hAnsiTheme="minorHAnsi"/>
          <w:i/>
        </w:rPr>
        <w:t>Process for compliance to requirements:</w:t>
      </w:r>
    </w:p>
    <w:p w:rsidR="003861C1" w:rsidRPr="00252350" w:rsidRDefault="003861C1" w:rsidP="00156CCC">
      <w:pPr>
        <w:ind w:left="1080"/>
        <w:rPr>
          <w:rFonts w:asciiTheme="minorHAnsi" w:hAnsiTheme="minorHAnsi"/>
          <w:i/>
        </w:rPr>
      </w:pPr>
    </w:p>
    <w:p w:rsidR="00156CCC" w:rsidRPr="00C10D60" w:rsidRDefault="00156CCC" w:rsidP="00156CCC">
      <w:pPr>
        <w:pStyle w:val="ListParagraph"/>
        <w:numPr>
          <w:ilvl w:val="0"/>
          <w:numId w:val="7"/>
        </w:numPr>
        <w:ind w:left="1440"/>
        <w:rPr>
          <w:rFonts w:asciiTheme="minorHAnsi" w:hAnsiTheme="minorHAnsi"/>
        </w:rPr>
      </w:pPr>
      <w:r w:rsidRPr="00C10D60">
        <w:rPr>
          <w:rFonts w:asciiTheme="minorHAnsi" w:hAnsiTheme="minorHAnsi"/>
        </w:rPr>
        <w:t>Self-certification by on-line assessment tool using an NTC/NHVR developed formula:</w:t>
      </w:r>
    </w:p>
    <w:p w:rsidR="00156CCC" w:rsidRPr="00C10D60" w:rsidRDefault="00156CCC" w:rsidP="00156CCC">
      <w:pPr>
        <w:pStyle w:val="ListParagraph"/>
        <w:numPr>
          <w:ilvl w:val="0"/>
          <w:numId w:val="7"/>
        </w:numPr>
        <w:ind w:left="1440"/>
        <w:rPr>
          <w:rFonts w:asciiTheme="minorHAnsi" w:hAnsiTheme="minorHAnsi"/>
        </w:rPr>
      </w:pPr>
      <w:r w:rsidRPr="00C10D60">
        <w:rPr>
          <w:rFonts w:asciiTheme="minorHAnsi" w:hAnsiTheme="minorHAnsi"/>
        </w:rPr>
        <w:t xml:space="preserve">Includes truck </w:t>
      </w:r>
      <w:r w:rsidR="003861C1">
        <w:rPr>
          <w:rFonts w:asciiTheme="minorHAnsi" w:hAnsiTheme="minorHAnsi"/>
        </w:rPr>
        <w:t>and</w:t>
      </w:r>
      <w:r w:rsidR="003861C1" w:rsidRPr="00C10D60">
        <w:rPr>
          <w:rFonts w:asciiTheme="minorHAnsi" w:hAnsiTheme="minorHAnsi"/>
        </w:rPr>
        <w:t xml:space="preserve"> </w:t>
      </w:r>
      <w:r w:rsidRPr="00C10D60">
        <w:rPr>
          <w:rFonts w:asciiTheme="minorHAnsi" w:hAnsiTheme="minorHAnsi"/>
        </w:rPr>
        <w:t>dog VIN:</w:t>
      </w:r>
    </w:p>
    <w:p w:rsidR="00156CCC" w:rsidRPr="00C10D60" w:rsidRDefault="00156CCC" w:rsidP="00156CCC">
      <w:pPr>
        <w:pStyle w:val="ListParagraph"/>
        <w:numPr>
          <w:ilvl w:val="0"/>
          <w:numId w:val="7"/>
        </w:numPr>
        <w:ind w:left="1440"/>
        <w:rPr>
          <w:rFonts w:asciiTheme="minorHAnsi" w:hAnsiTheme="minorHAnsi"/>
        </w:rPr>
      </w:pPr>
      <w:r w:rsidRPr="00C10D60">
        <w:rPr>
          <w:rFonts w:asciiTheme="minorHAnsi" w:hAnsiTheme="minorHAnsi"/>
        </w:rPr>
        <w:t xml:space="preserve">User </w:t>
      </w:r>
      <w:r w:rsidR="003861C1">
        <w:rPr>
          <w:rFonts w:asciiTheme="minorHAnsi" w:hAnsiTheme="minorHAnsi"/>
        </w:rPr>
        <w:t xml:space="preserve">is </w:t>
      </w:r>
      <w:r w:rsidRPr="00C10D60">
        <w:rPr>
          <w:rFonts w:asciiTheme="minorHAnsi" w:hAnsiTheme="minorHAnsi"/>
        </w:rPr>
        <w:t xml:space="preserve">registered with NHVR and has </w:t>
      </w:r>
      <w:r w:rsidR="003861C1">
        <w:rPr>
          <w:rFonts w:asciiTheme="minorHAnsi" w:hAnsiTheme="minorHAnsi"/>
        </w:rPr>
        <w:t xml:space="preserve">a </w:t>
      </w:r>
      <w:r w:rsidRPr="00C10D60">
        <w:rPr>
          <w:rFonts w:asciiTheme="minorHAnsi" w:hAnsiTheme="minorHAnsi"/>
        </w:rPr>
        <w:t>unique user number with secure access</w:t>
      </w:r>
    </w:p>
    <w:p w:rsidR="00156CCC" w:rsidRPr="00C10D60" w:rsidRDefault="00156CCC" w:rsidP="00156CCC">
      <w:pPr>
        <w:pStyle w:val="ListParagraph"/>
        <w:numPr>
          <w:ilvl w:val="0"/>
          <w:numId w:val="7"/>
        </w:numPr>
        <w:ind w:left="1440"/>
        <w:rPr>
          <w:rFonts w:asciiTheme="minorHAnsi" w:hAnsiTheme="minorHAnsi"/>
        </w:rPr>
      </w:pPr>
      <w:r w:rsidRPr="00C10D60">
        <w:rPr>
          <w:rFonts w:asciiTheme="minorHAnsi" w:hAnsiTheme="minorHAnsi"/>
        </w:rPr>
        <w:t>Hardcopy of data and PASS/FAIL output</w:t>
      </w:r>
    </w:p>
    <w:p w:rsidR="00156CCC" w:rsidRPr="00C10D60" w:rsidRDefault="00156CCC" w:rsidP="00156CCC">
      <w:pPr>
        <w:pStyle w:val="ListParagraph"/>
        <w:numPr>
          <w:ilvl w:val="0"/>
          <w:numId w:val="7"/>
        </w:numPr>
        <w:ind w:left="1440"/>
        <w:rPr>
          <w:rFonts w:asciiTheme="minorHAnsi" w:hAnsiTheme="minorHAnsi"/>
        </w:rPr>
      </w:pPr>
      <w:r w:rsidRPr="00C10D60">
        <w:rPr>
          <w:rFonts w:asciiTheme="minorHAnsi" w:hAnsiTheme="minorHAnsi"/>
        </w:rPr>
        <w:t>Auto generated NHVR File Reference</w:t>
      </w:r>
    </w:p>
    <w:p w:rsidR="00156CCC" w:rsidRPr="006667CD" w:rsidRDefault="00156CCC" w:rsidP="008346AA">
      <w:pPr>
        <w:ind w:left="720"/>
        <w:rPr>
          <w:b/>
        </w:rPr>
      </w:pPr>
    </w:p>
    <w:sectPr w:rsidR="00156CCC" w:rsidRPr="006667CD" w:rsidSect="008346AA">
      <w:pgSz w:w="16838" w:h="11906" w:orient="landscape"/>
      <w:pgMar w:top="1134" w:right="1134" w:bottom="1134" w:left="567" w:header="70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F87" w:rsidRDefault="00E55F87" w:rsidP="000F3D9F">
      <w:r>
        <w:separator/>
      </w:r>
    </w:p>
  </w:endnote>
  <w:endnote w:type="continuationSeparator" w:id="0">
    <w:p w:rsidR="00E55F87" w:rsidRDefault="00E55F87" w:rsidP="000F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F87" w:rsidRPr="0062031D" w:rsidRDefault="00E55F87" w:rsidP="0062031D">
    <w:pPr>
      <w:ind w:right="-426"/>
      <w:jc w:val="center"/>
      <w:rPr>
        <w:rFonts w:ascii="Arial" w:hAnsi="Arial" w:cs="Arial"/>
        <w:smallCaps/>
        <w:noProof/>
        <w:sz w:val="18"/>
        <w:szCs w:val="18"/>
        <w:lang w:eastAsia="en-AU"/>
      </w:rPr>
    </w:pPr>
    <w:r>
      <w:rPr>
        <w:rFonts w:ascii="Arial" w:hAnsi="Arial" w:cs="Arial"/>
        <w:color w:val="17365D"/>
        <w:sz w:val="18"/>
        <w:szCs w:val="18"/>
      </w:rPr>
      <w:t xml:space="preserve"> </w:t>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sidRPr="0062031D">
      <w:rPr>
        <w:rFonts w:ascii="Arial" w:hAnsi="Arial" w:cs="Arial"/>
        <w:color w:val="17365D"/>
        <w:sz w:val="18"/>
        <w:szCs w:val="18"/>
      </w:rPr>
      <w:t xml:space="preserve"> </w:t>
    </w:r>
    <w:r w:rsidRPr="0062031D">
      <w:rPr>
        <w:rFonts w:ascii="Arial" w:hAnsi="Arial" w:cs="Arial"/>
        <w:smallCaps/>
        <w:noProof/>
        <w:sz w:val="18"/>
        <w:szCs w:val="18"/>
        <w:lang w:eastAsia="en-AU"/>
      </w:rPr>
      <w:drawing>
        <wp:inline distT="0" distB="0" distL="0" distR="0" wp14:anchorId="1833146D" wp14:editId="7AA3455A">
          <wp:extent cx="1951355" cy="846455"/>
          <wp:effectExtent l="19050" t="0" r="0" b="0"/>
          <wp:docPr id="8" name="Picture 1" descr="LHead Logo AC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srcRect/>
                  <a:stretch>
                    <a:fillRect/>
                  </a:stretch>
                </pic:blipFill>
                <pic:spPr bwMode="auto">
                  <a:xfrm>
                    <a:off x="0" y="0"/>
                    <a:ext cx="1951355" cy="846455"/>
                  </a:xfrm>
                  <a:prstGeom prst="rect">
                    <a:avLst/>
                  </a:prstGeom>
                  <a:noFill/>
                  <a:ln w="9525">
                    <a:noFill/>
                    <a:miter lim="800000"/>
                    <a:headEnd/>
                    <a:tailEnd/>
                  </a:ln>
                </pic:spPr>
              </pic:pic>
            </a:graphicData>
          </a:graphic>
        </wp:inline>
      </w:drawing>
    </w:r>
  </w:p>
  <w:p w:rsidR="00E55F87" w:rsidRPr="0062031D" w:rsidRDefault="00E55F87" w:rsidP="0062031D">
    <w:pPr>
      <w:ind w:right="-426"/>
      <w:jc w:val="right"/>
      <w:rPr>
        <w:rFonts w:ascii="Arial" w:hAnsi="Arial" w:cs="Arial"/>
        <w:smallCaps/>
        <w:noProof/>
        <w:sz w:val="18"/>
        <w:szCs w:val="18"/>
        <w:lang w:eastAsia="en-AU"/>
      </w:rPr>
    </w:pPr>
    <w:r w:rsidRPr="0062031D">
      <w:rPr>
        <w:rFonts w:ascii="Arial" w:hAnsi="Arial" w:cs="Arial"/>
        <w:smallCaps/>
        <w:noProof/>
        <w:sz w:val="18"/>
        <w:szCs w:val="18"/>
        <w:lang w:eastAsia="en-AU"/>
      </w:rPr>
      <w:t>Minter Ellison Building, 25 National Circuit, Forrest ACT 2603</w:t>
    </w:r>
  </w:p>
  <w:p w:rsidR="00E55F87" w:rsidRPr="0062031D" w:rsidRDefault="00E55F87" w:rsidP="0062031D">
    <w:pPr>
      <w:ind w:right="-426"/>
      <w:jc w:val="right"/>
      <w:rPr>
        <w:rFonts w:ascii="Arial" w:hAnsi="Arial" w:cs="Arial"/>
        <w:smallCaps/>
        <w:noProof/>
        <w:sz w:val="18"/>
        <w:szCs w:val="18"/>
        <w:lang w:eastAsia="en-AU"/>
      </w:rPr>
    </w:pPr>
    <w:r w:rsidRPr="0062031D">
      <w:rPr>
        <w:rFonts w:ascii="Arial" w:hAnsi="Arial" w:cs="Arial"/>
        <w:b/>
        <w:smallCaps/>
        <w:noProof/>
        <w:sz w:val="18"/>
        <w:szCs w:val="18"/>
        <w:lang w:eastAsia="en-AU"/>
      </w:rPr>
      <w:t>P</w:t>
    </w:r>
    <w:r w:rsidRPr="0062031D">
      <w:rPr>
        <w:rFonts w:ascii="Arial" w:hAnsi="Arial" w:cs="Arial"/>
        <w:smallCaps/>
        <w:noProof/>
        <w:sz w:val="18"/>
        <w:szCs w:val="18"/>
        <w:lang w:eastAsia="en-AU"/>
      </w:rPr>
      <w:t xml:space="preserve"> 02 6253 6900 </w:t>
    </w:r>
    <w:r w:rsidRPr="0062031D">
      <w:rPr>
        <w:rFonts w:ascii="Arial" w:hAnsi="Arial" w:cs="Arial"/>
        <w:b/>
        <w:smallCaps/>
        <w:noProof/>
        <w:sz w:val="18"/>
        <w:szCs w:val="18"/>
        <w:lang w:eastAsia="en-AU"/>
      </w:rPr>
      <w:t>F</w:t>
    </w:r>
    <w:r w:rsidRPr="0062031D">
      <w:rPr>
        <w:rFonts w:ascii="Arial" w:hAnsi="Arial" w:cs="Arial"/>
        <w:smallCaps/>
        <w:noProof/>
        <w:sz w:val="18"/>
        <w:szCs w:val="18"/>
        <w:lang w:eastAsia="en-AU"/>
      </w:rPr>
      <w:t xml:space="preserve"> 02 6253 6999 </w:t>
    </w:r>
    <w:r w:rsidRPr="0062031D">
      <w:rPr>
        <w:rFonts w:ascii="Arial" w:hAnsi="Arial" w:cs="Arial"/>
        <w:b/>
        <w:smallCaps/>
        <w:noProof/>
        <w:sz w:val="18"/>
        <w:szCs w:val="18"/>
        <w:lang w:eastAsia="en-AU"/>
      </w:rPr>
      <w:t>E</w:t>
    </w:r>
    <w:r w:rsidRPr="0062031D">
      <w:rPr>
        <w:rFonts w:ascii="Arial" w:hAnsi="Arial" w:cs="Arial"/>
        <w:smallCaps/>
        <w:noProof/>
        <w:sz w:val="18"/>
        <w:szCs w:val="18"/>
        <w:lang w:eastAsia="en-AU"/>
      </w:rPr>
      <w:t xml:space="preserve"> </w:t>
    </w:r>
    <w:r w:rsidRPr="0062031D">
      <w:rPr>
        <w:rFonts w:ascii="Arial" w:hAnsi="Arial" w:cs="Arial"/>
        <w:bCs/>
        <w:smallCaps/>
        <w:noProof/>
        <w:sz w:val="18"/>
        <w:szCs w:val="18"/>
        <w:lang w:eastAsia="en-AU"/>
      </w:rPr>
      <w:t>ata@truck.net.au</w:t>
    </w:r>
    <w:r w:rsidRPr="0062031D">
      <w:rPr>
        <w:rFonts w:ascii="Arial" w:hAnsi="Arial" w:cs="Arial"/>
        <w:b/>
        <w:smallCaps/>
        <w:noProof/>
        <w:sz w:val="18"/>
        <w:szCs w:val="18"/>
        <w:lang w:eastAsia="en-AU"/>
      </w:rPr>
      <w:t xml:space="preserve"> W</w:t>
    </w:r>
    <w:r w:rsidRPr="0062031D">
      <w:rPr>
        <w:rFonts w:ascii="Arial" w:hAnsi="Arial" w:cs="Arial"/>
        <w:smallCaps/>
        <w:noProof/>
        <w:sz w:val="18"/>
        <w:szCs w:val="18"/>
        <w:lang w:eastAsia="en-AU"/>
      </w:rPr>
      <w:t xml:space="preserve"> </w:t>
    </w:r>
    <w:r w:rsidRPr="0062031D">
      <w:rPr>
        <w:rFonts w:ascii="Arial" w:hAnsi="Arial" w:cs="Arial"/>
        <w:bCs/>
        <w:smallCaps/>
        <w:noProof/>
        <w:sz w:val="18"/>
        <w:szCs w:val="18"/>
        <w:lang w:eastAsia="en-AU"/>
      </w:rPr>
      <w:t>www.truck.net.au</w:t>
    </w:r>
  </w:p>
  <w:p w:rsidR="00E55F87" w:rsidRPr="00E8056B" w:rsidRDefault="00E55F87" w:rsidP="0062031D">
    <w:pPr>
      <w:ind w:right="-426"/>
      <w:jc w:val="right"/>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F87" w:rsidRDefault="00E55F87">
    <w:pPr>
      <w:pStyle w:val="Footer"/>
      <w:jc w:val="right"/>
    </w:pPr>
    <w:r>
      <w:fldChar w:fldCharType="begin"/>
    </w:r>
    <w:r>
      <w:instrText xml:space="preserve"> PAGE   \* MERGEFORMAT </w:instrText>
    </w:r>
    <w:r>
      <w:fldChar w:fldCharType="separate"/>
    </w:r>
    <w:r>
      <w:rPr>
        <w:noProof/>
      </w:rPr>
      <w:t>7</w:t>
    </w:r>
    <w:r>
      <w:rPr>
        <w:noProof/>
      </w:rPr>
      <w:fldChar w:fldCharType="end"/>
    </w:r>
  </w:p>
  <w:p w:rsidR="00E55F87" w:rsidRDefault="00E55F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F87" w:rsidRDefault="00E55F8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insideH w:val="single" w:sz="4" w:space="0" w:color="000000"/>
      </w:tblBorders>
      <w:tblLook w:val="04A0" w:firstRow="1" w:lastRow="0" w:firstColumn="1" w:lastColumn="0" w:noHBand="0" w:noVBand="1"/>
    </w:tblPr>
    <w:tblGrid>
      <w:gridCol w:w="6804"/>
      <w:gridCol w:w="2834"/>
    </w:tblGrid>
    <w:tr w:rsidR="00E55F87" w:rsidRPr="00A91411" w:rsidTr="0090132C">
      <w:trPr>
        <w:trHeight w:val="278"/>
      </w:trPr>
      <w:tc>
        <w:tcPr>
          <w:tcW w:w="6804" w:type="dxa"/>
          <w:vAlign w:val="center"/>
        </w:tcPr>
        <w:p w:rsidR="00E55F87" w:rsidRPr="00A91411" w:rsidRDefault="00E55F87" w:rsidP="00ED0BDE">
          <w:pPr>
            <w:pStyle w:val="Footer"/>
            <w:rPr>
              <w:rFonts w:ascii="Arial" w:hAnsi="Arial" w:cs="Arial"/>
              <w:sz w:val="14"/>
              <w:szCs w:val="14"/>
            </w:rPr>
          </w:pPr>
          <w:r>
            <w:rPr>
              <w:rFonts w:ascii="Arial" w:hAnsi="Arial" w:cs="Arial"/>
              <w:sz w:val="14"/>
              <w:szCs w:val="14"/>
            </w:rPr>
            <w:t xml:space="preserve">ATA </w:t>
          </w:r>
          <w:r w:rsidRPr="00A91411">
            <w:rPr>
              <w:rFonts w:ascii="Arial" w:hAnsi="Arial" w:cs="Arial"/>
              <w:sz w:val="14"/>
              <w:szCs w:val="14"/>
            </w:rPr>
            <w:t>Submission</w:t>
          </w:r>
          <w:r>
            <w:rPr>
              <w:rFonts w:ascii="Arial" w:hAnsi="Arial" w:cs="Arial"/>
              <w:sz w:val="14"/>
              <w:szCs w:val="14"/>
            </w:rPr>
            <w:t xml:space="preserve"> - </w:t>
          </w:r>
          <w:r w:rsidRPr="00A75B77">
            <w:rPr>
              <w:rFonts w:ascii="Arial" w:hAnsi="Arial" w:cs="Arial"/>
              <w:sz w:val="14"/>
              <w:szCs w:val="14"/>
            </w:rPr>
            <w:t>Access to PBS mass limits for truck and trailer combinations</w:t>
          </w:r>
          <w:r>
            <w:rPr>
              <w:rFonts w:ascii="Arial" w:hAnsi="Arial" w:cs="Arial"/>
              <w:sz w:val="14"/>
              <w:szCs w:val="14"/>
            </w:rPr>
            <w:t xml:space="preserve"> – 0</w:t>
          </w:r>
          <w:r w:rsidR="00ED0BDE">
            <w:rPr>
              <w:rFonts w:ascii="Arial" w:hAnsi="Arial" w:cs="Arial"/>
              <w:sz w:val="14"/>
              <w:szCs w:val="14"/>
            </w:rPr>
            <w:t>6</w:t>
          </w:r>
          <w:r>
            <w:rPr>
              <w:rFonts w:ascii="Arial" w:hAnsi="Arial" w:cs="Arial"/>
              <w:sz w:val="14"/>
              <w:szCs w:val="14"/>
            </w:rPr>
            <w:t>1114</w:t>
          </w:r>
        </w:p>
      </w:tc>
      <w:tc>
        <w:tcPr>
          <w:tcW w:w="2834" w:type="dxa"/>
          <w:vAlign w:val="center"/>
        </w:tcPr>
        <w:p w:rsidR="00E55F87" w:rsidRPr="00A91411" w:rsidRDefault="00E55F87" w:rsidP="00D735FF">
          <w:pPr>
            <w:pStyle w:val="Footer"/>
            <w:jc w:val="right"/>
            <w:rPr>
              <w:rFonts w:ascii="Arial" w:hAnsi="Arial" w:cs="Arial"/>
              <w:sz w:val="14"/>
              <w:szCs w:val="14"/>
            </w:rPr>
          </w:pPr>
          <w:r w:rsidRPr="00A91411">
            <w:rPr>
              <w:rFonts w:ascii="Arial" w:hAnsi="Arial" w:cs="Arial"/>
              <w:sz w:val="14"/>
              <w:szCs w:val="14"/>
            </w:rPr>
            <w:t xml:space="preserve">Page </w:t>
          </w:r>
          <w:r w:rsidRPr="00A91411">
            <w:rPr>
              <w:rFonts w:ascii="Arial" w:hAnsi="Arial" w:cs="Arial"/>
              <w:sz w:val="14"/>
              <w:szCs w:val="14"/>
            </w:rPr>
            <w:fldChar w:fldCharType="begin"/>
          </w:r>
          <w:r w:rsidRPr="00A91411">
            <w:rPr>
              <w:rFonts w:ascii="Arial" w:hAnsi="Arial" w:cs="Arial"/>
              <w:sz w:val="14"/>
              <w:szCs w:val="14"/>
            </w:rPr>
            <w:instrText xml:space="preserve"> PAGE   \* MERGEFORMAT </w:instrText>
          </w:r>
          <w:r w:rsidRPr="00A91411">
            <w:rPr>
              <w:rFonts w:ascii="Arial" w:hAnsi="Arial" w:cs="Arial"/>
              <w:sz w:val="14"/>
              <w:szCs w:val="14"/>
            </w:rPr>
            <w:fldChar w:fldCharType="separate"/>
          </w:r>
          <w:r w:rsidR="005E1B33">
            <w:rPr>
              <w:rFonts w:ascii="Arial" w:hAnsi="Arial" w:cs="Arial"/>
              <w:noProof/>
              <w:sz w:val="14"/>
              <w:szCs w:val="14"/>
            </w:rPr>
            <w:t>11</w:t>
          </w:r>
          <w:r w:rsidRPr="00A91411">
            <w:rPr>
              <w:rFonts w:ascii="Arial" w:hAnsi="Arial" w:cs="Arial"/>
              <w:sz w:val="14"/>
              <w:szCs w:val="14"/>
            </w:rPr>
            <w:fldChar w:fldCharType="end"/>
          </w:r>
        </w:p>
      </w:tc>
    </w:tr>
  </w:tbl>
  <w:p w:rsidR="00E55F87" w:rsidRPr="00A91411" w:rsidRDefault="00E55F87">
    <w:pP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F87" w:rsidRDefault="00E55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F87" w:rsidRDefault="00E55F87" w:rsidP="000F3D9F">
      <w:r>
        <w:separator/>
      </w:r>
    </w:p>
  </w:footnote>
  <w:footnote w:type="continuationSeparator" w:id="0">
    <w:p w:rsidR="00E55F87" w:rsidRDefault="00E55F87" w:rsidP="000F3D9F">
      <w:r>
        <w:continuationSeparator/>
      </w:r>
    </w:p>
  </w:footnote>
  <w:footnote w:id="1">
    <w:p w:rsidR="00E55F87" w:rsidRDefault="00E55F87">
      <w:pPr>
        <w:pStyle w:val="FootnoteText"/>
      </w:pPr>
      <w:r>
        <w:rPr>
          <w:rStyle w:val="FootnoteReference"/>
        </w:rPr>
        <w:footnoteRef/>
      </w:r>
      <w:r>
        <w:t xml:space="preserve"> </w:t>
      </w:r>
      <w:r w:rsidRPr="009652BE">
        <w:rPr>
          <w:sz w:val="16"/>
          <w:szCs w:val="16"/>
        </w:rPr>
        <w:t>Extreme Axle Measurement.</w:t>
      </w:r>
    </w:p>
  </w:footnote>
  <w:footnote w:id="2">
    <w:p w:rsidR="00E55F87" w:rsidRDefault="00E55F87">
      <w:pPr>
        <w:pStyle w:val="FootnoteText"/>
      </w:pPr>
      <w:r>
        <w:rPr>
          <w:rStyle w:val="FootnoteReference"/>
        </w:rPr>
        <w:footnoteRef/>
      </w:r>
      <w:r>
        <w:t xml:space="preserve"> </w:t>
      </w:r>
      <w:r w:rsidR="00884211" w:rsidRPr="001F3702">
        <w:rPr>
          <w:sz w:val="16"/>
          <w:szCs w:val="16"/>
        </w:rPr>
        <w:t xml:space="preserve">The </w:t>
      </w:r>
      <w:r w:rsidR="00357135" w:rsidRPr="00357135">
        <w:rPr>
          <w:sz w:val="16"/>
          <w:szCs w:val="16"/>
        </w:rPr>
        <w:t xml:space="preserve">ATA TAP for Truck and Dog Trailers </w:t>
      </w:r>
      <w:r w:rsidR="00884211">
        <w:rPr>
          <w:sz w:val="16"/>
          <w:szCs w:val="16"/>
        </w:rPr>
        <w:t xml:space="preserve">is available </w:t>
      </w:r>
      <w:r w:rsidR="00357135" w:rsidRPr="00357135">
        <w:rPr>
          <w:sz w:val="16"/>
          <w:szCs w:val="16"/>
        </w:rPr>
        <w:t xml:space="preserve">at </w:t>
      </w:r>
      <w:hyperlink r:id="rId1" w:history="1">
        <w:r w:rsidRPr="002A34FB">
          <w:rPr>
            <w:rStyle w:val="Hyperlink"/>
            <w:sz w:val="16"/>
            <w:szCs w:val="16"/>
          </w:rPr>
          <w:t>http://www.truck.net.au/system/files/industry-resources/truck%20and%20dog_0.pdf</w:t>
        </w:r>
      </w:hyperlink>
      <w:r>
        <w:t xml:space="preserve"> </w:t>
      </w:r>
    </w:p>
  </w:footnote>
  <w:footnote w:id="3">
    <w:p w:rsidR="00E55F87" w:rsidRDefault="00E55F87">
      <w:pPr>
        <w:pStyle w:val="FootnoteText"/>
      </w:pPr>
      <w:r>
        <w:rPr>
          <w:rStyle w:val="FootnoteReference"/>
        </w:rPr>
        <w:footnoteRef/>
      </w:r>
      <w:r>
        <w:t xml:space="preserve"> Extreme Axle Measurement.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F87" w:rsidRPr="00E8056B" w:rsidRDefault="00E55F87" w:rsidP="001C3659">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rsidR="00E55F87" w:rsidRDefault="00E55F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F87" w:rsidRDefault="00E55F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F87" w:rsidRPr="0062031D" w:rsidRDefault="00E55F87" w:rsidP="0062031D">
    <w:pPr>
      <w:pStyle w:val="Header"/>
      <w:rPr>
        <w:rFonts w:ascii="Arial" w:hAnsi="Arial" w:cs="Arial"/>
        <w:color w:val="000064"/>
        <w:sz w:val="18"/>
        <w:szCs w:val="18"/>
      </w:rPr>
    </w:pPr>
    <w:r>
      <w:rPr>
        <w:rFonts w:ascii="Arial" w:hAnsi="Arial" w:cs="Arial"/>
        <w:color w:val="000064"/>
        <w:sz w:val="18"/>
        <w:szCs w:val="18"/>
      </w:rPr>
      <w:tab/>
    </w:r>
    <w:r>
      <w:rPr>
        <w:rFonts w:ascii="Arial" w:hAnsi="Arial" w:cs="Arial"/>
        <w:color w:val="000064"/>
        <w:sz w:val="18"/>
        <w:szCs w:val="18"/>
      </w:rPr>
      <w:tab/>
      <w:t xml:space="preserve">   </w:t>
    </w:r>
    <w:r w:rsidRPr="0062031D">
      <w:rPr>
        <w:rFonts w:ascii="Arial" w:hAnsi="Arial" w:cs="Arial"/>
        <w:color w:val="000064"/>
        <w:sz w:val="18"/>
        <w:szCs w:val="18"/>
      </w:rPr>
      <w:t xml:space="preserve">AUSTRALIAN TRUCKING </w:t>
    </w:r>
    <w:r w:rsidRPr="0062031D">
      <w:rPr>
        <w:rFonts w:ascii="Arial" w:hAnsi="Arial" w:cs="Arial"/>
        <w:color w:val="FF0000"/>
        <w:sz w:val="18"/>
        <w:szCs w:val="18"/>
      </w:rPr>
      <w:t>ASSOCIATION</w:t>
    </w:r>
  </w:p>
  <w:p w:rsidR="00E55F87" w:rsidRPr="0062031D" w:rsidRDefault="00E55F87" w:rsidP="0062031D">
    <w:pPr>
      <w:pStyle w:val="Header"/>
      <w:rPr>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F87" w:rsidRDefault="00E55F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366B"/>
    <w:multiLevelType w:val="hybridMultilevel"/>
    <w:tmpl w:val="62BA0EE2"/>
    <w:lvl w:ilvl="0" w:tplc="DFF0AACA">
      <w:start w:val="1"/>
      <w:numFmt w:val="decimal"/>
      <w:lvlText w:val="%1."/>
      <w:lvlJc w:val="left"/>
      <w:pPr>
        <w:ind w:left="360" w:hanging="360"/>
      </w:pPr>
      <w:rPr>
        <w:rFonts w:hint="default"/>
        <w: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93F6A42"/>
    <w:multiLevelType w:val="hybridMultilevel"/>
    <w:tmpl w:val="515E1D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692862"/>
    <w:multiLevelType w:val="hybridMultilevel"/>
    <w:tmpl w:val="BEB242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28C42424"/>
    <w:multiLevelType w:val="hybridMultilevel"/>
    <w:tmpl w:val="75F80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3DA35423"/>
    <w:multiLevelType w:val="hybridMultilevel"/>
    <w:tmpl w:val="8968C0E4"/>
    <w:lvl w:ilvl="0" w:tplc="815878FA">
      <w:start w:val="1"/>
      <w:numFmt w:val="decimal"/>
      <w:pStyle w:val="RecommendationStyle"/>
      <w:lvlText w:val="Recommendation %1"/>
      <w:lvlJc w:val="left"/>
      <w:pPr>
        <w:tabs>
          <w:tab w:val="num" w:pos="1192"/>
        </w:tabs>
      </w:pPr>
      <w:rPr>
        <w:rFonts w:ascii="Arial" w:hAnsi="Arial" w:cs="Times New Roman" w:hint="default"/>
        <w:b/>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nsid w:val="49DC4EF8"/>
    <w:multiLevelType w:val="hybridMultilevel"/>
    <w:tmpl w:val="9034C8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6496692"/>
    <w:multiLevelType w:val="hybridMultilevel"/>
    <w:tmpl w:val="685CF2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A053211"/>
    <w:multiLevelType w:val="hybridMultilevel"/>
    <w:tmpl w:val="E03A8A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C823339"/>
    <w:multiLevelType w:val="hybridMultilevel"/>
    <w:tmpl w:val="969413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D554ED9"/>
    <w:multiLevelType w:val="multilevel"/>
    <w:tmpl w:val="652E1C90"/>
    <w:lvl w:ilvl="0">
      <w:start w:val="1"/>
      <w:numFmt w:val="decimal"/>
      <w:pStyle w:val="Heading1"/>
      <w:lvlText w:val="%1."/>
      <w:lvlJc w:val="left"/>
      <w:pPr>
        <w:ind w:left="360" w:hanging="360"/>
      </w:pPr>
      <w:rPr>
        <w:rFonts w:cs="Times New Roman" w:hint="default"/>
      </w:rPr>
    </w:lvl>
    <w:lvl w:ilvl="1">
      <w:start w:val="1"/>
      <w:numFmt w:val="decimal"/>
      <w:pStyle w:val="ATAHeading2"/>
      <w:lvlText w:val="%1.%2."/>
      <w:lvlJc w:val="left"/>
      <w:pPr>
        <w:ind w:left="792" w:hanging="432"/>
      </w:pPr>
      <w:rPr>
        <w:rFonts w:cs="Times New Roman" w:hint="default"/>
      </w:rPr>
    </w:lvl>
    <w:lvl w:ilvl="2">
      <w:start w:val="1"/>
      <w:numFmt w:val="decimal"/>
      <w:pStyle w:val="ATAHeading3"/>
      <w:lvlText w:val="%1.%2.%3."/>
      <w:lvlJc w:val="left"/>
      <w:pPr>
        <w:ind w:left="1224" w:hanging="504"/>
      </w:pPr>
      <w:rPr>
        <w:rFonts w:cs="Times New Roman" w:hint="default"/>
        <w:b/>
        <w:color w:val="00006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7F4710CA"/>
    <w:multiLevelType w:val="hybridMultilevel"/>
    <w:tmpl w:val="81DE8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6"/>
  </w:num>
  <w:num w:numId="5">
    <w:abstractNumId w:val="1"/>
  </w:num>
  <w:num w:numId="6">
    <w:abstractNumId w:val="5"/>
  </w:num>
  <w:num w:numId="7">
    <w:abstractNumId w:val="2"/>
  </w:num>
  <w:num w:numId="8">
    <w:abstractNumId w:val="7"/>
  </w:num>
  <w:num w:numId="9">
    <w:abstractNumId w:val="0"/>
  </w:num>
  <w:num w:numId="10">
    <w:abstractNumId w:val="8"/>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7A"/>
    <w:rsid w:val="0000159D"/>
    <w:rsid w:val="00004DB4"/>
    <w:rsid w:val="00004EFA"/>
    <w:rsid w:val="00005E0D"/>
    <w:rsid w:val="00007B50"/>
    <w:rsid w:val="00010D11"/>
    <w:rsid w:val="000118F7"/>
    <w:rsid w:val="00011D52"/>
    <w:rsid w:val="00013E60"/>
    <w:rsid w:val="00014F51"/>
    <w:rsid w:val="000156D1"/>
    <w:rsid w:val="000158A5"/>
    <w:rsid w:val="00020F50"/>
    <w:rsid w:val="000227E8"/>
    <w:rsid w:val="00023B28"/>
    <w:rsid w:val="00026AC2"/>
    <w:rsid w:val="00030CF9"/>
    <w:rsid w:val="000319F8"/>
    <w:rsid w:val="0003219A"/>
    <w:rsid w:val="000347E3"/>
    <w:rsid w:val="00035CFC"/>
    <w:rsid w:val="0004076B"/>
    <w:rsid w:val="00040876"/>
    <w:rsid w:val="00040D26"/>
    <w:rsid w:val="0004192B"/>
    <w:rsid w:val="000425DE"/>
    <w:rsid w:val="00043430"/>
    <w:rsid w:val="00043AF0"/>
    <w:rsid w:val="00044533"/>
    <w:rsid w:val="00045EB0"/>
    <w:rsid w:val="00046042"/>
    <w:rsid w:val="000460DD"/>
    <w:rsid w:val="00050881"/>
    <w:rsid w:val="00052E9C"/>
    <w:rsid w:val="00055D56"/>
    <w:rsid w:val="00057D58"/>
    <w:rsid w:val="0006054B"/>
    <w:rsid w:val="00061291"/>
    <w:rsid w:val="000614BF"/>
    <w:rsid w:val="0006283B"/>
    <w:rsid w:val="0007406F"/>
    <w:rsid w:val="0007542B"/>
    <w:rsid w:val="00075B0E"/>
    <w:rsid w:val="00075E7B"/>
    <w:rsid w:val="00076C90"/>
    <w:rsid w:val="00076E15"/>
    <w:rsid w:val="00077967"/>
    <w:rsid w:val="00083C15"/>
    <w:rsid w:val="000848A1"/>
    <w:rsid w:val="000868C6"/>
    <w:rsid w:val="00086965"/>
    <w:rsid w:val="000875E7"/>
    <w:rsid w:val="00091242"/>
    <w:rsid w:val="000917DC"/>
    <w:rsid w:val="00094B1C"/>
    <w:rsid w:val="00095C3B"/>
    <w:rsid w:val="000963BE"/>
    <w:rsid w:val="000A151F"/>
    <w:rsid w:val="000A2BCF"/>
    <w:rsid w:val="000A2C7F"/>
    <w:rsid w:val="000A33E3"/>
    <w:rsid w:val="000A3F4E"/>
    <w:rsid w:val="000A4EB0"/>
    <w:rsid w:val="000A62F7"/>
    <w:rsid w:val="000B00D5"/>
    <w:rsid w:val="000B069A"/>
    <w:rsid w:val="000B0C8A"/>
    <w:rsid w:val="000B351D"/>
    <w:rsid w:val="000B4161"/>
    <w:rsid w:val="000B4942"/>
    <w:rsid w:val="000B6D2A"/>
    <w:rsid w:val="000B773A"/>
    <w:rsid w:val="000B7C27"/>
    <w:rsid w:val="000B7D23"/>
    <w:rsid w:val="000C01AC"/>
    <w:rsid w:val="000C0C35"/>
    <w:rsid w:val="000C15B7"/>
    <w:rsid w:val="000C22D4"/>
    <w:rsid w:val="000C310A"/>
    <w:rsid w:val="000C3D79"/>
    <w:rsid w:val="000C58B5"/>
    <w:rsid w:val="000C594D"/>
    <w:rsid w:val="000D0FE5"/>
    <w:rsid w:val="000D13F6"/>
    <w:rsid w:val="000D274C"/>
    <w:rsid w:val="000D417E"/>
    <w:rsid w:val="000D528B"/>
    <w:rsid w:val="000D589E"/>
    <w:rsid w:val="000D6381"/>
    <w:rsid w:val="000D7ED1"/>
    <w:rsid w:val="000E408F"/>
    <w:rsid w:val="000E67CA"/>
    <w:rsid w:val="000E7B14"/>
    <w:rsid w:val="000F080E"/>
    <w:rsid w:val="000F0F7B"/>
    <w:rsid w:val="000F30FF"/>
    <w:rsid w:val="000F3D9F"/>
    <w:rsid w:val="000F53C2"/>
    <w:rsid w:val="000F566E"/>
    <w:rsid w:val="000F602E"/>
    <w:rsid w:val="000F73A8"/>
    <w:rsid w:val="000F7F6F"/>
    <w:rsid w:val="00100ED4"/>
    <w:rsid w:val="001019C0"/>
    <w:rsid w:val="001025C9"/>
    <w:rsid w:val="00102C95"/>
    <w:rsid w:val="001102FA"/>
    <w:rsid w:val="00110610"/>
    <w:rsid w:val="00112765"/>
    <w:rsid w:val="001137DF"/>
    <w:rsid w:val="001202C1"/>
    <w:rsid w:val="00121A53"/>
    <w:rsid w:val="00121A86"/>
    <w:rsid w:val="00124EEB"/>
    <w:rsid w:val="00125795"/>
    <w:rsid w:val="00125813"/>
    <w:rsid w:val="0013041A"/>
    <w:rsid w:val="001368EB"/>
    <w:rsid w:val="00137113"/>
    <w:rsid w:val="00137119"/>
    <w:rsid w:val="0013765E"/>
    <w:rsid w:val="00141274"/>
    <w:rsid w:val="001412D5"/>
    <w:rsid w:val="001415EA"/>
    <w:rsid w:val="001426CA"/>
    <w:rsid w:val="001438FA"/>
    <w:rsid w:val="00143E49"/>
    <w:rsid w:val="0014437E"/>
    <w:rsid w:val="00145022"/>
    <w:rsid w:val="001463C2"/>
    <w:rsid w:val="0014683D"/>
    <w:rsid w:val="00146C62"/>
    <w:rsid w:val="00150065"/>
    <w:rsid w:val="0015168F"/>
    <w:rsid w:val="00151950"/>
    <w:rsid w:val="00151F88"/>
    <w:rsid w:val="00152A71"/>
    <w:rsid w:val="001533EC"/>
    <w:rsid w:val="00154B80"/>
    <w:rsid w:val="00155B97"/>
    <w:rsid w:val="00156060"/>
    <w:rsid w:val="00156CCC"/>
    <w:rsid w:val="00157A68"/>
    <w:rsid w:val="00160FE3"/>
    <w:rsid w:val="001611AB"/>
    <w:rsid w:val="00163FEC"/>
    <w:rsid w:val="001648FB"/>
    <w:rsid w:val="00164A4D"/>
    <w:rsid w:val="00170107"/>
    <w:rsid w:val="00170FC2"/>
    <w:rsid w:val="001727E8"/>
    <w:rsid w:val="00173DB5"/>
    <w:rsid w:val="001811B8"/>
    <w:rsid w:val="0018136A"/>
    <w:rsid w:val="001817F5"/>
    <w:rsid w:val="001821B0"/>
    <w:rsid w:val="00184A28"/>
    <w:rsid w:val="00187F6F"/>
    <w:rsid w:val="001943BE"/>
    <w:rsid w:val="0019542E"/>
    <w:rsid w:val="001A024F"/>
    <w:rsid w:val="001A0DC3"/>
    <w:rsid w:val="001A33CC"/>
    <w:rsid w:val="001A3DF6"/>
    <w:rsid w:val="001A5A79"/>
    <w:rsid w:val="001A5FE2"/>
    <w:rsid w:val="001A6510"/>
    <w:rsid w:val="001A7BF4"/>
    <w:rsid w:val="001B3E52"/>
    <w:rsid w:val="001B46F6"/>
    <w:rsid w:val="001B5564"/>
    <w:rsid w:val="001B6B29"/>
    <w:rsid w:val="001B7B44"/>
    <w:rsid w:val="001C121B"/>
    <w:rsid w:val="001C125D"/>
    <w:rsid w:val="001C13A5"/>
    <w:rsid w:val="001C150C"/>
    <w:rsid w:val="001C1684"/>
    <w:rsid w:val="001C3659"/>
    <w:rsid w:val="001D038B"/>
    <w:rsid w:val="001D1836"/>
    <w:rsid w:val="001D43ED"/>
    <w:rsid w:val="001D50C7"/>
    <w:rsid w:val="001D7500"/>
    <w:rsid w:val="001D77A8"/>
    <w:rsid w:val="001D7817"/>
    <w:rsid w:val="001E0A75"/>
    <w:rsid w:val="001E1665"/>
    <w:rsid w:val="001E1E61"/>
    <w:rsid w:val="001E232E"/>
    <w:rsid w:val="001E3126"/>
    <w:rsid w:val="001E3434"/>
    <w:rsid w:val="001E4D9A"/>
    <w:rsid w:val="001F00B7"/>
    <w:rsid w:val="001F187C"/>
    <w:rsid w:val="001F2FD4"/>
    <w:rsid w:val="001F32AB"/>
    <w:rsid w:val="001F3702"/>
    <w:rsid w:val="001F4144"/>
    <w:rsid w:val="001F5A9B"/>
    <w:rsid w:val="001F5BCB"/>
    <w:rsid w:val="001F5CDF"/>
    <w:rsid w:val="001F6FC7"/>
    <w:rsid w:val="00201D98"/>
    <w:rsid w:val="00202A6B"/>
    <w:rsid w:val="00202B82"/>
    <w:rsid w:val="0020419D"/>
    <w:rsid w:val="002041FF"/>
    <w:rsid w:val="002060CF"/>
    <w:rsid w:val="0020791B"/>
    <w:rsid w:val="0021180A"/>
    <w:rsid w:val="00212465"/>
    <w:rsid w:val="00212936"/>
    <w:rsid w:val="00213C59"/>
    <w:rsid w:val="00213FE3"/>
    <w:rsid w:val="002158C8"/>
    <w:rsid w:val="00216CE6"/>
    <w:rsid w:val="00217336"/>
    <w:rsid w:val="00225056"/>
    <w:rsid w:val="00230DFC"/>
    <w:rsid w:val="002317DA"/>
    <w:rsid w:val="00231E5C"/>
    <w:rsid w:val="0023210F"/>
    <w:rsid w:val="002327F8"/>
    <w:rsid w:val="002352EB"/>
    <w:rsid w:val="00240467"/>
    <w:rsid w:val="00241C15"/>
    <w:rsid w:val="00243126"/>
    <w:rsid w:val="00244543"/>
    <w:rsid w:val="00244995"/>
    <w:rsid w:val="002502EF"/>
    <w:rsid w:val="00250B16"/>
    <w:rsid w:val="00250E06"/>
    <w:rsid w:val="002517F0"/>
    <w:rsid w:val="00252350"/>
    <w:rsid w:val="00252BD7"/>
    <w:rsid w:val="0025356A"/>
    <w:rsid w:val="00253E0B"/>
    <w:rsid w:val="002543DF"/>
    <w:rsid w:val="00260FE8"/>
    <w:rsid w:val="00262C0A"/>
    <w:rsid w:val="00266149"/>
    <w:rsid w:val="0026620C"/>
    <w:rsid w:val="00266915"/>
    <w:rsid w:val="00266FD2"/>
    <w:rsid w:val="00267103"/>
    <w:rsid w:val="00267830"/>
    <w:rsid w:val="002727A0"/>
    <w:rsid w:val="0027391C"/>
    <w:rsid w:val="00277F32"/>
    <w:rsid w:val="00277F95"/>
    <w:rsid w:val="002819AA"/>
    <w:rsid w:val="00281A88"/>
    <w:rsid w:val="00283485"/>
    <w:rsid w:val="00286112"/>
    <w:rsid w:val="00286DB5"/>
    <w:rsid w:val="002875B7"/>
    <w:rsid w:val="002903D8"/>
    <w:rsid w:val="00291675"/>
    <w:rsid w:val="00294E3C"/>
    <w:rsid w:val="002958CF"/>
    <w:rsid w:val="00295968"/>
    <w:rsid w:val="00296633"/>
    <w:rsid w:val="002966F8"/>
    <w:rsid w:val="002A010F"/>
    <w:rsid w:val="002A136A"/>
    <w:rsid w:val="002A237B"/>
    <w:rsid w:val="002A34FB"/>
    <w:rsid w:val="002A3B76"/>
    <w:rsid w:val="002A43F0"/>
    <w:rsid w:val="002A4859"/>
    <w:rsid w:val="002A71FB"/>
    <w:rsid w:val="002B027E"/>
    <w:rsid w:val="002B1F61"/>
    <w:rsid w:val="002B2136"/>
    <w:rsid w:val="002B24A2"/>
    <w:rsid w:val="002B330D"/>
    <w:rsid w:val="002B381D"/>
    <w:rsid w:val="002B38DA"/>
    <w:rsid w:val="002B3AEF"/>
    <w:rsid w:val="002B4466"/>
    <w:rsid w:val="002B618E"/>
    <w:rsid w:val="002B6CC2"/>
    <w:rsid w:val="002B7863"/>
    <w:rsid w:val="002C1799"/>
    <w:rsid w:val="002C2F49"/>
    <w:rsid w:val="002C7D3E"/>
    <w:rsid w:val="002C7FF6"/>
    <w:rsid w:val="002D4FD8"/>
    <w:rsid w:val="002D592D"/>
    <w:rsid w:val="002D5D45"/>
    <w:rsid w:val="002D7C76"/>
    <w:rsid w:val="002D7FDB"/>
    <w:rsid w:val="002E06E3"/>
    <w:rsid w:val="002E1554"/>
    <w:rsid w:val="002E453E"/>
    <w:rsid w:val="002E4E20"/>
    <w:rsid w:val="002E53A1"/>
    <w:rsid w:val="002E550E"/>
    <w:rsid w:val="002E5D82"/>
    <w:rsid w:val="002E782F"/>
    <w:rsid w:val="002E7897"/>
    <w:rsid w:val="002E7F28"/>
    <w:rsid w:val="002F01AA"/>
    <w:rsid w:val="002F0939"/>
    <w:rsid w:val="002F0EBE"/>
    <w:rsid w:val="002F2F65"/>
    <w:rsid w:val="002F422D"/>
    <w:rsid w:val="002F42BE"/>
    <w:rsid w:val="002F45B3"/>
    <w:rsid w:val="002F4F5D"/>
    <w:rsid w:val="002F6212"/>
    <w:rsid w:val="002F632C"/>
    <w:rsid w:val="002F7D2A"/>
    <w:rsid w:val="003016C4"/>
    <w:rsid w:val="00303296"/>
    <w:rsid w:val="00304BCD"/>
    <w:rsid w:val="00306FBF"/>
    <w:rsid w:val="00307075"/>
    <w:rsid w:val="00307AF8"/>
    <w:rsid w:val="00310166"/>
    <w:rsid w:val="0031301A"/>
    <w:rsid w:val="00315F96"/>
    <w:rsid w:val="003168CE"/>
    <w:rsid w:val="00320AFE"/>
    <w:rsid w:val="00320F07"/>
    <w:rsid w:val="00321A43"/>
    <w:rsid w:val="0032308F"/>
    <w:rsid w:val="0032571D"/>
    <w:rsid w:val="00325A6C"/>
    <w:rsid w:val="003273E8"/>
    <w:rsid w:val="00327452"/>
    <w:rsid w:val="003336C5"/>
    <w:rsid w:val="00333F0D"/>
    <w:rsid w:val="003340FB"/>
    <w:rsid w:val="00334926"/>
    <w:rsid w:val="00334DA7"/>
    <w:rsid w:val="00336760"/>
    <w:rsid w:val="00337144"/>
    <w:rsid w:val="00341FEC"/>
    <w:rsid w:val="00342826"/>
    <w:rsid w:val="0034321B"/>
    <w:rsid w:val="00343FCD"/>
    <w:rsid w:val="0034776D"/>
    <w:rsid w:val="003505C4"/>
    <w:rsid w:val="00352490"/>
    <w:rsid w:val="003533CA"/>
    <w:rsid w:val="00354394"/>
    <w:rsid w:val="0035493A"/>
    <w:rsid w:val="00356D4F"/>
    <w:rsid w:val="00357135"/>
    <w:rsid w:val="0035759F"/>
    <w:rsid w:val="00360759"/>
    <w:rsid w:val="0036151D"/>
    <w:rsid w:val="00362AA0"/>
    <w:rsid w:val="00367AA3"/>
    <w:rsid w:val="00372153"/>
    <w:rsid w:val="00372E26"/>
    <w:rsid w:val="003740CB"/>
    <w:rsid w:val="00374216"/>
    <w:rsid w:val="00380E64"/>
    <w:rsid w:val="00381A7D"/>
    <w:rsid w:val="0038394F"/>
    <w:rsid w:val="00384772"/>
    <w:rsid w:val="003847DE"/>
    <w:rsid w:val="00385242"/>
    <w:rsid w:val="003861C1"/>
    <w:rsid w:val="0039063B"/>
    <w:rsid w:val="003911E4"/>
    <w:rsid w:val="00392F21"/>
    <w:rsid w:val="003958D9"/>
    <w:rsid w:val="003A2034"/>
    <w:rsid w:val="003A269C"/>
    <w:rsid w:val="003A447E"/>
    <w:rsid w:val="003A4703"/>
    <w:rsid w:val="003A56FE"/>
    <w:rsid w:val="003A6F8D"/>
    <w:rsid w:val="003B0AAE"/>
    <w:rsid w:val="003B0E35"/>
    <w:rsid w:val="003B10D0"/>
    <w:rsid w:val="003B1937"/>
    <w:rsid w:val="003B2A16"/>
    <w:rsid w:val="003B6150"/>
    <w:rsid w:val="003B74E4"/>
    <w:rsid w:val="003C03EB"/>
    <w:rsid w:val="003C0A77"/>
    <w:rsid w:val="003C0ACA"/>
    <w:rsid w:val="003C2311"/>
    <w:rsid w:val="003C2335"/>
    <w:rsid w:val="003C7369"/>
    <w:rsid w:val="003D4283"/>
    <w:rsid w:val="003D63C9"/>
    <w:rsid w:val="003D6FA8"/>
    <w:rsid w:val="003E022B"/>
    <w:rsid w:val="003E269D"/>
    <w:rsid w:val="003E2B20"/>
    <w:rsid w:val="003F0EA2"/>
    <w:rsid w:val="003F1027"/>
    <w:rsid w:val="003F17F7"/>
    <w:rsid w:val="003F3FEB"/>
    <w:rsid w:val="003F6CA9"/>
    <w:rsid w:val="003F7467"/>
    <w:rsid w:val="003F7BC6"/>
    <w:rsid w:val="00400085"/>
    <w:rsid w:val="004008C7"/>
    <w:rsid w:val="004011BA"/>
    <w:rsid w:val="00401DAB"/>
    <w:rsid w:val="00402268"/>
    <w:rsid w:val="00403823"/>
    <w:rsid w:val="00403AB5"/>
    <w:rsid w:val="00404731"/>
    <w:rsid w:val="004053D4"/>
    <w:rsid w:val="004115B6"/>
    <w:rsid w:val="00413868"/>
    <w:rsid w:val="00413F6B"/>
    <w:rsid w:val="00415126"/>
    <w:rsid w:val="004160DC"/>
    <w:rsid w:val="004164B0"/>
    <w:rsid w:val="00417A6F"/>
    <w:rsid w:val="004205EF"/>
    <w:rsid w:val="00421306"/>
    <w:rsid w:val="00421C64"/>
    <w:rsid w:val="0042278A"/>
    <w:rsid w:val="00422BB7"/>
    <w:rsid w:val="004230BE"/>
    <w:rsid w:val="00423CCC"/>
    <w:rsid w:val="00424D3E"/>
    <w:rsid w:val="0042557B"/>
    <w:rsid w:val="00430756"/>
    <w:rsid w:val="004318DC"/>
    <w:rsid w:val="00432C6D"/>
    <w:rsid w:val="00435254"/>
    <w:rsid w:val="004353C2"/>
    <w:rsid w:val="00440231"/>
    <w:rsid w:val="00440F44"/>
    <w:rsid w:val="0044265D"/>
    <w:rsid w:val="00442E1F"/>
    <w:rsid w:val="004456CC"/>
    <w:rsid w:val="00445CDC"/>
    <w:rsid w:val="00450702"/>
    <w:rsid w:val="00450FF8"/>
    <w:rsid w:val="004533ED"/>
    <w:rsid w:val="004538B4"/>
    <w:rsid w:val="004552A2"/>
    <w:rsid w:val="0045642B"/>
    <w:rsid w:val="00456D91"/>
    <w:rsid w:val="00460899"/>
    <w:rsid w:val="00461C8E"/>
    <w:rsid w:val="004640D1"/>
    <w:rsid w:val="0047036B"/>
    <w:rsid w:val="00470721"/>
    <w:rsid w:val="00472115"/>
    <w:rsid w:val="00474140"/>
    <w:rsid w:val="00474384"/>
    <w:rsid w:val="00474A56"/>
    <w:rsid w:val="00475C39"/>
    <w:rsid w:val="004777B2"/>
    <w:rsid w:val="004803E5"/>
    <w:rsid w:val="00482A22"/>
    <w:rsid w:val="00484068"/>
    <w:rsid w:val="00487F0F"/>
    <w:rsid w:val="00491862"/>
    <w:rsid w:val="0049414B"/>
    <w:rsid w:val="004977DE"/>
    <w:rsid w:val="004A1AED"/>
    <w:rsid w:val="004A2F6F"/>
    <w:rsid w:val="004A4990"/>
    <w:rsid w:val="004A5E2F"/>
    <w:rsid w:val="004B10F5"/>
    <w:rsid w:val="004B23B8"/>
    <w:rsid w:val="004B26EB"/>
    <w:rsid w:val="004B312F"/>
    <w:rsid w:val="004B50BC"/>
    <w:rsid w:val="004B6187"/>
    <w:rsid w:val="004B62A4"/>
    <w:rsid w:val="004B78CE"/>
    <w:rsid w:val="004B7FFA"/>
    <w:rsid w:val="004C0182"/>
    <w:rsid w:val="004C21BB"/>
    <w:rsid w:val="004C2EB3"/>
    <w:rsid w:val="004C3CC3"/>
    <w:rsid w:val="004C4418"/>
    <w:rsid w:val="004C625A"/>
    <w:rsid w:val="004C697F"/>
    <w:rsid w:val="004D0E1D"/>
    <w:rsid w:val="004D43D2"/>
    <w:rsid w:val="004D652E"/>
    <w:rsid w:val="004D674B"/>
    <w:rsid w:val="004D6B58"/>
    <w:rsid w:val="004D775E"/>
    <w:rsid w:val="004E0CAD"/>
    <w:rsid w:val="004E1EBB"/>
    <w:rsid w:val="004E3959"/>
    <w:rsid w:val="004E5A77"/>
    <w:rsid w:val="004E5EA3"/>
    <w:rsid w:val="004E7F7D"/>
    <w:rsid w:val="004F0DFD"/>
    <w:rsid w:val="004F112A"/>
    <w:rsid w:val="004F1B89"/>
    <w:rsid w:val="004F2038"/>
    <w:rsid w:val="004F2A50"/>
    <w:rsid w:val="004F3B07"/>
    <w:rsid w:val="004F42DC"/>
    <w:rsid w:val="004F56C7"/>
    <w:rsid w:val="004F653E"/>
    <w:rsid w:val="00503A69"/>
    <w:rsid w:val="0050428E"/>
    <w:rsid w:val="00510952"/>
    <w:rsid w:val="005114F2"/>
    <w:rsid w:val="00511550"/>
    <w:rsid w:val="00512811"/>
    <w:rsid w:val="00513B12"/>
    <w:rsid w:val="00514A17"/>
    <w:rsid w:val="005223FD"/>
    <w:rsid w:val="00525303"/>
    <w:rsid w:val="00527304"/>
    <w:rsid w:val="0053137B"/>
    <w:rsid w:val="005323C6"/>
    <w:rsid w:val="00532885"/>
    <w:rsid w:val="00532BFB"/>
    <w:rsid w:val="005335A9"/>
    <w:rsid w:val="005365E0"/>
    <w:rsid w:val="005377C3"/>
    <w:rsid w:val="0054240A"/>
    <w:rsid w:val="00542479"/>
    <w:rsid w:val="0054356C"/>
    <w:rsid w:val="00544362"/>
    <w:rsid w:val="005470A7"/>
    <w:rsid w:val="00550256"/>
    <w:rsid w:val="00550FE2"/>
    <w:rsid w:val="00556219"/>
    <w:rsid w:val="00557D15"/>
    <w:rsid w:val="00557F88"/>
    <w:rsid w:val="00560034"/>
    <w:rsid w:val="0056179B"/>
    <w:rsid w:val="0056448B"/>
    <w:rsid w:val="00565F92"/>
    <w:rsid w:val="00567261"/>
    <w:rsid w:val="00567E64"/>
    <w:rsid w:val="00571E75"/>
    <w:rsid w:val="00573408"/>
    <w:rsid w:val="005755F4"/>
    <w:rsid w:val="00576ED0"/>
    <w:rsid w:val="00576F0D"/>
    <w:rsid w:val="00580BDF"/>
    <w:rsid w:val="00582D39"/>
    <w:rsid w:val="00583EC7"/>
    <w:rsid w:val="00586C72"/>
    <w:rsid w:val="00587C8F"/>
    <w:rsid w:val="00593217"/>
    <w:rsid w:val="0059537B"/>
    <w:rsid w:val="005959F9"/>
    <w:rsid w:val="005975FE"/>
    <w:rsid w:val="00597E18"/>
    <w:rsid w:val="005A060F"/>
    <w:rsid w:val="005A0D15"/>
    <w:rsid w:val="005A18D7"/>
    <w:rsid w:val="005A1976"/>
    <w:rsid w:val="005A2A86"/>
    <w:rsid w:val="005A4466"/>
    <w:rsid w:val="005A4BB5"/>
    <w:rsid w:val="005A5AE9"/>
    <w:rsid w:val="005A6891"/>
    <w:rsid w:val="005A7733"/>
    <w:rsid w:val="005B3729"/>
    <w:rsid w:val="005B5ADE"/>
    <w:rsid w:val="005B703F"/>
    <w:rsid w:val="005C154E"/>
    <w:rsid w:val="005C31A0"/>
    <w:rsid w:val="005C35BE"/>
    <w:rsid w:val="005C3C06"/>
    <w:rsid w:val="005C4952"/>
    <w:rsid w:val="005C602F"/>
    <w:rsid w:val="005C63F7"/>
    <w:rsid w:val="005C74C9"/>
    <w:rsid w:val="005D1B4A"/>
    <w:rsid w:val="005D2355"/>
    <w:rsid w:val="005D2565"/>
    <w:rsid w:val="005D4746"/>
    <w:rsid w:val="005D6CD2"/>
    <w:rsid w:val="005D6E23"/>
    <w:rsid w:val="005E0895"/>
    <w:rsid w:val="005E0DDA"/>
    <w:rsid w:val="005E11FC"/>
    <w:rsid w:val="005E16F9"/>
    <w:rsid w:val="005E1A1B"/>
    <w:rsid w:val="005E1B33"/>
    <w:rsid w:val="005E28FB"/>
    <w:rsid w:val="005E5130"/>
    <w:rsid w:val="005E6294"/>
    <w:rsid w:val="005E6D8B"/>
    <w:rsid w:val="005E6E53"/>
    <w:rsid w:val="005F0C21"/>
    <w:rsid w:val="005F1009"/>
    <w:rsid w:val="005F1079"/>
    <w:rsid w:val="005F1298"/>
    <w:rsid w:val="005F21D1"/>
    <w:rsid w:val="005F5ACC"/>
    <w:rsid w:val="005F622F"/>
    <w:rsid w:val="005F6288"/>
    <w:rsid w:val="005F69CC"/>
    <w:rsid w:val="005F6D50"/>
    <w:rsid w:val="005F7287"/>
    <w:rsid w:val="005F76B2"/>
    <w:rsid w:val="006005D8"/>
    <w:rsid w:val="006005FC"/>
    <w:rsid w:val="00601651"/>
    <w:rsid w:val="00604648"/>
    <w:rsid w:val="00605DDD"/>
    <w:rsid w:val="00605E06"/>
    <w:rsid w:val="00607663"/>
    <w:rsid w:val="006104D6"/>
    <w:rsid w:val="006109E9"/>
    <w:rsid w:val="00610CFE"/>
    <w:rsid w:val="00611E68"/>
    <w:rsid w:val="00617B32"/>
    <w:rsid w:val="0062031D"/>
    <w:rsid w:val="006203DB"/>
    <w:rsid w:val="006231E7"/>
    <w:rsid w:val="0062389F"/>
    <w:rsid w:val="006244DA"/>
    <w:rsid w:val="0062473C"/>
    <w:rsid w:val="00624B75"/>
    <w:rsid w:val="00627057"/>
    <w:rsid w:val="0063112D"/>
    <w:rsid w:val="00633E1A"/>
    <w:rsid w:val="00633F97"/>
    <w:rsid w:val="00633FA0"/>
    <w:rsid w:val="00634850"/>
    <w:rsid w:val="00635031"/>
    <w:rsid w:val="00635235"/>
    <w:rsid w:val="00635D66"/>
    <w:rsid w:val="00640940"/>
    <w:rsid w:val="00640AF8"/>
    <w:rsid w:val="00640DAD"/>
    <w:rsid w:val="00640F10"/>
    <w:rsid w:val="0064190A"/>
    <w:rsid w:val="00642752"/>
    <w:rsid w:val="0064657E"/>
    <w:rsid w:val="0064671B"/>
    <w:rsid w:val="0064764D"/>
    <w:rsid w:val="00656517"/>
    <w:rsid w:val="00656561"/>
    <w:rsid w:val="00662536"/>
    <w:rsid w:val="00665252"/>
    <w:rsid w:val="006667CD"/>
    <w:rsid w:val="00667E08"/>
    <w:rsid w:val="00670210"/>
    <w:rsid w:val="0067077C"/>
    <w:rsid w:val="006724CC"/>
    <w:rsid w:val="00674463"/>
    <w:rsid w:val="00683D7C"/>
    <w:rsid w:val="006859F7"/>
    <w:rsid w:val="006877E2"/>
    <w:rsid w:val="00687BEF"/>
    <w:rsid w:val="0069019B"/>
    <w:rsid w:val="00690D10"/>
    <w:rsid w:val="006931C9"/>
    <w:rsid w:val="00693363"/>
    <w:rsid w:val="00693D92"/>
    <w:rsid w:val="0069518F"/>
    <w:rsid w:val="00696A94"/>
    <w:rsid w:val="006A2651"/>
    <w:rsid w:val="006A2C95"/>
    <w:rsid w:val="006A386A"/>
    <w:rsid w:val="006A41AF"/>
    <w:rsid w:val="006A52B9"/>
    <w:rsid w:val="006A797E"/>
    <w:rsid w:val="006B4380"/>
    <w:rsid w:val="006B66CD"/>
    <w:rsid w:val="006B7D84"/>
    <w:rsid w:val="006C1B88"/>
    <w:rsid w:val="006C31B6"/>
    <w:rsid w:val="006C38AD"/>
    <w:rsid w:val="006C6B74"/>
    <w:rsid w:val="006C6FAB"/>
    <w:rsid w:val="006C794C"/>
    <w:rsid w:val="006D09EF"/>
    <w:rsid w:val="006D0ACD"/>
    <w:rsid w:val="006D278C"/>
    <w:rsid w:val="006D4B39"/>
    <w:rsid w:val="006D4D41"/>
    <w:rsid w:val="006D51D4"/>
    <w:rsid w:val="006D5F4A"/>
    <w:rsid w:val="006D69E7"/>
    <w:rsid w:val="006E6516"/>
    <w:rsid w:val="006E6527"/>
    <w:rsid w:val="006F050F"/>
    <w:rsid w:val="006F1641"/>
    <w:rsid w:val="006F2601"/>
    <w:rsid w:val="006F2940"/>
    <w:rsid w:val="006F3537"/>
    <w:rsid w:val="006F3ACC"/>
    <w:rsid w:val="006F4355"/>
    <w:rsid w:val="006F513F"/>
    <w:rsid w:val="006F669A"/>
    <w:rsid w:val="007022FB"/>
    <w:rsid w:val="00703EBF"/>
    <w:rsid w:val="007043FE"/>
    <w:rsid w:val="007055B2"/>
    <w:rsid w:val="00706BB2"/>
    <w:rsid w:val="00706BFC"/>
    <w:rsid w:val="00707255"/>
    <w:rsid w:val="00712385"/>
    <w:rsid w:val="007146E0"/>
    <w:rsid w:val="007162A5"/>
    <w:rsid w:val="0071639F"/>
    <w:rsid w:val="00717559"/>
    <w:rsid w:val="0071762D"/>
    <w:rsid w:val="007248AA"/>
    <w:rsid w:val="00725BC0"/>
    <w:rsid w:val="00726797"/>
    <w:rsid w:val="00726CB4"/>
    <w:rsid w:val="00733700"/>
    <w:rsid w:val="00735E1C"/>
    <w:rsid w:val="00740005"/>
    <w:rsid w:val="007403FF"/>
    <w:rsid w:val="00740DF8"/>
    <w:rsid w:val="007443D8"/>
    <w:rsid w:val="00745849"/>
    <w:rsid w:val="007471C7"/>
    <w:rsid w:val="00750F7C"/>
    <w:rsid w:val="00753381"/>
    <w:rsid w:val="0075427A"/>
    <w:rsid w:val="00754603"/>
    <w:rsid w:val="00754BEC"/>
    <w:rsid w:val="007617CA"/>
    <w:rsid w:val="00761C8B"/>
    <w:rsid w:val="0076304F"/>
    <w:rsid w:val="007650C9"/>
    <w:rsid w:val="00765882"/>
    <w:rsid w:val="00766E32"/>
    <w:rsid w:val="00774FF8"/>
    <w:rsid w:val="007811CE"/>
    <w:rsid w:val="00781DD0"/>
    <w:rsid w:val="00783A6B"/>
    <w:rsid w:val="007845EE"/>
    <w:rsid w:val="0078473C"/>
    <w:rsid w:val="00784B86"/>
    <w:rsid w:val="007878E5"/>
    <w:rsid w:val="00791216"/>
    <w:rsid w:val="007917C0"/>
    <w:rsid w:val="00792CEB"/>
    <w:rsid w:val="0079426E"/>
    <w:rsid w:val="00797654"/>
    <w:rsid w:val="007A3E56"/>
    <w:rsid w:val="007A5671"/>
    <w:rsid w:val="007A5771"/>
    <w:rsid w:val="007A5D29"/>
    <w:rsid w:val="007A69C1"/>
    <w:rsid w:val="007A6C36"/>
    <w:rsid w:val="007B1A27"/>
    <w:rsid w:val="007B2075"/>
    <w:rsid w:val="007B2559"/>
    <w:rsid w:val="007B2917"/>
    <w:rsid w:val="007B3B54"/>
    <w:rsid w:val="007B3BE2"/>
    <w:rsid w:val="007B4E3A"/>
    <w:rsid w:val="007B6A76"/>
    <w:rsid w:val="007B711A"/>
    <w:rsid w:val="007C3F49"/>
    <w:rsid w:val="007C434F"/>
    <w:rsid w:val="007C5B64"/>
    <w:rsid w:val="007C5BF9"/>
    <w:rsid w:val="007C65D4"/>
    <w:rsid w:val="007D0E21"/>
    <w:rsid w:val="007D532E"/>
    <w:rsid w:val="007D608A"/>
    <w:rsid w:val="007D7069"/>
    <w:rsid w:val="007D7B4B"/>
    <w:rsid w:val="007E0B76"/>
    <w:rsid w:val="007E131F"/>
    <w:rsid w:val="007E257F"/>
    <w:rsid w:val="007E2FFB"/>
    <w:rsid w:val="007E4008"/>
    <w:rsid w:val="007E4DB2"/>
    <w:rsid w:val="007E68E9"/>
    <w:rsid w:val="007E6A7B"/>
    <w:rsid w:val="007F09A1"/>
    <w:rsid w:val="007F4404"/>
    <w:rsid w:val="007F44BE"/>
    <w:rsid w:val="007F4C48"/>
    <w:rsid w:val="007F5166"/>
    <w:rsid w:val="007F7702"/>
    <w:rsid w:val="007F7C3D"/>
    <w:rsid w:val="00802108"/>
    <w:rsid w:val="00802465"/>
    <w:rsid w:val="00802A51"/>
    <w:rsid w:val="00802CA7"/>
    <w:rsid w:val="00803E85"/>
    <w:rsid w:val="00804BE3"/>
    <w:rsid w:val="00806ED9"/>
    <w:rsid w:val="00806EFF"/>
    <w:rsid w:val="008130B6"/>
    <w:rsid w:val="00821537"/>
    <w:rsid w:val="00822893"/>
    <w:rsid w:val="00824035"/>
    <w:rsid w:val="00825963"/>
    <w:rsid w:val="00825C08"/>
    <w:rsid w:val="00826B77"/>
    <w:rsid w:val="0083058C"/>
    <w:rsid w:val="00832121"/>
    <w:rsid w:val="00832820"/>
    <w:rsid w:val="008344FF"/>
    <w:rsid w:val="008346AA"/>
    <w:rsid w:val="00834ACA"/>
    <w:rsid w:val="00834B1C"/>
    <w:rsid w:val="00835672"/>
    <w:rsid w:val="00835DE7"/>
    <w:rsid w:val="00836304"/>
    <w:rsid w:val="0083631A"/>
    <w:rsid w:val="00840E08"/>
    <w:rsid w:val="00842339"/>
    <w:rsid w:val="00843301"/>
    <w:rsid w:val="008436E5"/>
    <w:rsid w:val="00843D83"/>
    <w:rsid w:val="0084540A"/>
    <w:rsid w:val="00846097"/>
    <w:rsid w:val="00852A83"/>
    <w:rsid w:val="00852CAE"/>
    <w:rsid w:val="00852F6C"/>
    <w:rsid w:val="00853473"/>
    <w:rsid w:val="00853E1F"/>
    <w:rsid w:val="00854D3E"/>
    <w:rsid w:val="00854F65"/>
    <w:rsid w:val="00860480"/>
    <w:rsid w:val="00861D20"/>
    <w:rsid w:val="00861E38"/>
    <w:rsid w:val="00865F30"/>
    <w:rsid w:val="00872E19"/>
    <w:rsid w:val="0087443A"/>
    <w:rsid w:val="00874AAE"/>
    <w:rsid w:val="00874E03"/>
    <w:rsid w:val="00875BF1"/>
    <w:rsid w:val="00875E89"/>
    <w:rsid w:val="00877FD8"/>
    <w:rsid w:val="00881A97"/>
    <w:rsid w:val="00884211"/>
    <w:rsid w:val="00884504"/>
    <w:rsid w:val="00885F8A"/>
    <w:rsid w:val="00890346"/>
    <w:rsid w:val="00891979"/>
    <w:rsid w:val="0089433D"/>
    <w:rsid w:val="0089790E"/>
    <w:rsid w:val="008A08D1"/>
    <w:rsid w:val="008A1D1F"/>
    <w:rsid w:val="008A2027"/>
    <w:rsid w:val="008A2CD6"/>
    <w:rsid w:val="008A5088"/>
    <w:rsid w:val="008A58A6"/>
    <w:rsid w:val="008A5C86"/>
    <w:rsid w:val="008A5CDA"/>
    <w:rsid w:val="008A61F2"/>
    <w:rsid w:val="008A7B12"/>
    <w:rsid w:val="008B03B8"/>
    <w:rsid w:val="008B0D6E"/>
    <w:rsid w:val="008B0EEF"/>
    <w:rsid w:val="008B1307"/>
    <w:rsid w:val="008B1786"/>
    <w:rsid w:val="008B353D"/>
    <w:rsid w:val="008B4328"/>
    <w:rsid w:val="008B4B63"/>
    <w:rsid w:val="008B72CA"/>
    <w:rsid w:val="008B7312"/>
    <w:rsid w:val="008B7673"/>
    <w:rsid w:val="008B7F9F"/>
    <w:rsid w:val="008C0FA9"/>
    <w:rsid w:val="008C1818"/>
    <w:rsid w:val="008C1A63"/>
    <w:rsid w:val="008C3057"/>
    <w:rsid w:val="008C38B7"/>
    <w:rsid w:val="008C3EF1"/>
    <w:rsid w:val="008D2B1B"/>
    <w:rsid w:val="008D2B93"/>
    <w:rsid w:val="008D2F82"/>
    <w:rsid w:val="008D5426"/>
    <w:rsid w:val="008D5445"/>
    <w:rsid w:val="008E128C"/>
    <w:rsid w:val="008E1721"/>
    <w:rsid w:val="008E3865"/>
    <w:rsid w:val="008E3CD2"/>
    <w:rsid w:val="008E55FF"/>
    <w:rsid w:val="008E78BD"/>
    <w:rsid w:val="008F11A3"/>
    <w:rsid w:val="008F14B0"/>
    <w:rsid w:val="008F1963"/>
    <w:rsid w:val="008F3744"/>
    <w:rsid w:val="0090132C"/>
    <w:rsid w:val="0090183B"/>
    <w:rsid w:val="00902BA3"/>
    <w:rsid w:val="00905A43"/>
    <w:rsid w:val="00905D8F"/>
    <w:rsid w:val="00906F1D"/>
    <w:rsid w:val="00907060"/>
    <w:rsid w:val="00907274"/>
    <w:rsid w:val="00907971"/>
    <w:rsid w:val="00907A6F"/>
    <w:rsid w:val="00910636"/>
    <w:rsid w:val="00910C5A"/>
    <w:rsid w:val="00911A81"/>
    <w:rsid w:val="009132E3"/>
    <w:rsid w:val="009148AC"/>
    <w:rsid w:val="00914C1D"/>
    <w:rsid w:val="00923402"/>
    <w:rsid w:val="0092430C"/>
    <w:rsid w:val="00924E31"/>
    <w:rsid w:val="00927ACE"/>
    <w:rsid w:val="009333F1"/>
    <w:rsid w:val="00934A18"/>
    <w:rsid w:val="00934CC8"/>
    <w:rsid w:val="0093579C"/>
    <w:rsid w:val="00936600"/>
    <w:rsid w:val="0093720E"/>
    <w:rsid w:val="00937832"/>
    <w:rsid w:val="0094026A"/>
    <w:rsid w:val="00940D05"/>
    <w:rsid w:val="009415DB"/>
    <w:rsid w:val="00943829"/>
    <w:rsid w:val="00943C95"/>
    <w:rsid w:val="009441ED"/>
    <w:rsid w:val="00945844"/>
    <w:rsid w:val="00945910"/>
    <w:rsid w:val="0094622B"/>
    <w:rsid w:val="00946E17"/>
    <w:rsid w:val="009533CC"/>
    <w:rsid w:val="00953A0A"/>
    <w:rsid w:val="00954D09"/>
    <w:rsid w:val="00955AD3"/>
    <w:rsid w:val="00957DDF"/>
    <w:rsid w:val="00960FE0"/>
    <w:rsid w:val="00964194"/>
    <w:rsid w:val="00964D25"/>
    <w:rsid w:val="009652BE"/>
    <w:rsid w:val="00966A2E"/>
    <w:rsid w:val="00966E35"/>
    <w:rsid w:val="00973AF4"/>
    <w:rsid w:val="00974684"/>
    <w:rsid w:val="0097508B"/>
    <w:rsid w:val="00983F22"/>
    <w:rsid w:val="0098465E"/>
    <w:rsid w:val="00986804"/>
    <w:rsid w:val="00990131"/>
    <w:rsid w:val="00990F9E"/>
    <w:rsid w:val="00991AD6"/>
    <w:rsid w:val="00992BD3"/>
    <w:rsid w:val="00993038"/>
    <w:rsid w:val="00993BAE"/>
    <w:rsid w:val="0099546D"/>
    <w:rsid w:val="009960F9"/>
    <w:rsid w:val="00997588"/>
    <w:rsid w:val="0099770C"/>
    <w:rsid w:val="00997A56"/>
    <w:rsid w:val="009A3853"/>
    <w:rsid w:val="009A4142"/>
    <w:rsid w:val="009B029F"/>
    <w:rsid w:val="009B0520"/>
    <w:rsid w:val="009B0F81"/>
    <w:rsid w:val="009B19FF"/>
    <w:rsid w:val="009B37FA"/>
    <w:rsid w:val="009B4220"/>
    <w:rsid w:val="009B785D"/>
    <w:rsid w:val="009C2A3C"/>
    <w:rsid w:val="009C2AFC"/>
    <w:rsid w:val="009C3D48"/>
    <w:rsid w:val="009C3EF6"/>
    <w:rsid w:val="009C4CAC"/>
    <w:rsid w:val="009C5B87"/>
    <w:rsid w:val="009D07EF"/>
    <w:rsid w:val="009D23E9"/>
    <w:rsid w:val="009D2BC0"/>
    <w:rsid w:val="009D2F28"/>
    <w:rsid w:val="009D327F"/>
    <w:rsid w:val="009D3731"/>
    <w:rsid w:val="009D3F25"/>
    <w:rsid w:val="009D4892"/>
    <w:rsid w:val="009D4B8E"/>
    <w:rsid w:val="009D56D7"/>
    <w:rsid w:val="009D7F5D"/>
    <w:rsid w:val="009E0074"/>
    <w:rsid w:val="009E044E"/>
    <w:rsid w:val="009E32B1"/>
    <w:rsid w:val="009E41D3"/>
    <w:rsid w:val="009E5E25"/>
    <w:rsid w:val="009E6DD0"/>
    <w:rsid w:val="009E77F2"/>
    <w:rsid w:val="009F0F8E"/>
    <w:rsid w:val="009F124F"/>
    <w:rsid w:val="009F235A"/>
    <w:rsid w:val="009F2A7A"/>
    <w:rsid w:val="009F2FF9"/>
    <w:rsid w:val="009F3DF5"/>
    <w:rsid w:val="009F7A65"/>
    <w:rsid w:val="00A0156A"/>
    <w:rsid w:val="00A02972"/>
    <w:rsid w:val="00A0493F"/>
    <w:rsid w:val="00A05C28"/>
    <w:rsid w:val="00A06396"/>
    <w:rsid w:val="00A06C96"/>
    <w:rsid w:val="00A072AE"/>
    <w:rsid w:val="00A10889"/>
    <w:rsid w:val="00A109D4"/>
    <w:rsid w:val="00A12D70"/>
    <w:rsid w:val="00A12FE6"/>
    <w:rsid w:val="00A1430A"/>
    <w:rsid w:val="00A14A51"/>
    <w:rsid w:val="00A2215A"/>
    <w:rsid w:val="00A2275D"/>
    <w:rsid w:val="00A22DDB"/>
    <w:rsid w:val="00A25AFB"/>
    <w:rsid w:val="00A300E2"/>
    <w:rsid w:val="00A317B8"/>
    <w:rsid w:val="00A31C8A"/>
    <w:rsid w:val="00A32D4F"/>
    <w:rsid w:val="00A35C76"/>
    <w:rsid w:val="00A35CCF"/>
    <w:rsid w:val="00A36B6F"/>
    <w:rsid w:val="00A36C35"/>
    <w:rsid w:val="00A37A93"/>
    <w:rsid w:val="00A40604"/>
    <w:rsid w:val="00A42BC2"/>
    <w:rsid w:val="00A438B7"/>
    <w:rsid w:val="00A44995"/>
    <w:rsid w:val="00A44D65"/>
    <w:rsid w:val="00A45F83"/>
    <w:rsid w:val="00A463BE"/>
    <w:rsid w:val="00A502B8"/>
    <w:rsid w:val="00A51C30"/>
    <w:rsid w:val="00A54248"/>
    <w:rsid w:val="00A552D6"/>
    <w:rsid w:val="00A57D2F"/>
    <w:rsid w:val="00A61231"/>
    <w:rsid w:val="00A613C7"/>
    <w:rsid w:val="00A6297F"/>
    <w:rsid w:val="00A65139"/>
    <w:rsid w:val="00A65515"/>
    <w:rsid w:val="00A71253"/>
    <w:rsid w:val="00A71876"/>
    <w:rsid w:val="00A75B77"/>
    <w:rsid w:val="00A76D9B"/>
    <w:rsid w:val="00A832A0"/>
    <w:rsid w:val="00A87317"/>
    <w:rsid w:val="00A91411"/>
    <w:rsid w:val="00A93D76"/>
    <w:rsid w:val="00A943B3"/>
    <w:rsid w:val="00A94543"/>
    <w:rsid w:val="00A94647"/>
    <w:rsid w:val="00A952FF"/>
    <w:rsid w:val="00AA0463"/>
    <w:rsid w:val="00AA0612"/>
    <w:rsid w:val="00AA21B4"/>
    <w:rsid w:val="00AA2D57"/>
    <w:rsid w:val="00AA3F14"/>
    <w:rsid w:val="00AA3F39"/>
    <w:rsid w:val="00AA61B9"/>
    <w:rsid w:val="00AA62FF"/>
    <w:rsid w:val="00AA6C46"/>
    <w:rsid w:val="00AA778D"/>
    <w:rsid w:val="00AB1645"/>
    <w:rsid w:val="00AB29C7"/>
    <w:rsid w:val="00AB538B"/>
    <w:rsid w:val="00AB5C4E"/>
    <w:rsid w:val="00AB6D11"/>
    <w:rsid w:val="00AB7F42"/>
    <w:rsid w:val="00AC26CE"/>
    <w:rsid w:val="00AC2FD9"/>
    <w:rsid w:val="00AC5753"/>
    <w:rsid w:val="00AC72F0"/>
    <w:rsid w:val="00AD0E7C"/>
    <w:rsid w:val="00AD21B5"/>
    <w:rsid w:val="00AD2354"/>
    <w:rsid w:val="00AD265B"/>
    <w:rsid w:val="00AD29E4"/>
    <w:rsid w:val="00AD2E84"/>
    <w:rsid w:val="00AD320B"/>
    <w:rsid w:val="00AD3A50"/>
    <w:rsid w:val="00AD3FC3"/>
    <w:rsid w:val="00AD51CE"/>
    <w:rsid w:val="00AD6BB9"/>
    <w:rsid w:val="00AD735D"/>
    <w:rsid w:val="00AD7650"/>
    <w:rsid w:val="00AE41FF"/>
    <w:rsid w:val="00AE4A71"/>
    <w:rsid w:val="00AE51C0"/>
    <w:rsid w:val="00AE51CF"/>
    <w:rsid w:val="00AE565F"/>
    <w:rsid w:val="00AE692E"/>
    <w:rsid w:val="00AE7959"/>
    <w:rsid w:val="00AF33F4"/>
    <w:rsid w:val="00AF406E"/>
    <w:rsid w:val="00AF6336"/>
    <w:rsid w:val="00AF76B9"/>
    <w:rsid w:val="00B005E5"/>
    <w:rsid w:val="00B01724"/>
    <w:rsid w:val="00B01B5C"/>
    <w:rsid w:val="00B024F4"/>
    <w:rsid w:val="00B04623"/>
    <w:rsid w:val="00B05F83"/>
    <w:rsid w:val="00B07BC7"/>
    <w:rsid w:val="00B11307"/>
    <w:rsid w:val="00B11D79"/>
    <w:rsid w:val="00B13B6B"/>
    <w:rsid w:val="00B15CA5"/>
    <w:rsid w:val="00B160D6"/>
    <w:rsid w:val="00B221AD"/>
    <w:rsid w:val="00B24390"/>
    <w:rsid w:val="00B27938"/>
    <w:rsid w:val="00B31461"/>
    <w:rsid w:val="00B31649"/>
    <w:rsid w:val="00B31E7B"/>
    <w:rsid w:val="00B34A19"/>
    <w:rsid w:val="00B35F11"/>
    <w:rsid w:val="00B363D6"/>
    <w:rsid w:val="00B369D6"/>
    <w:rsid w:val="00B372E6"/>
    <w:rsid w:val="00B37B7F"/>
    <w:rsid w:val="00B41A9F"/>
    <w:rsid w:val="00B43E2A"/>
    <w:rsid w:val="00B4425C"/>
    <w:rsid w:val="00B4550A"/>
    <w:rsid w:val="00B50C38"/>
    <w:rsid w:val="00B53589"/>
    <w:rsid w:val="00B53FBA"/>
    <w:rsid w:val="00B55023"/>
    <w:rsid w:val="00B55488"/>
    <w:rsid w:val="00B556AC"/>
    <w:rsid w:val="00B56443"/>
    <w:rsid w:val="00B60F95"/>
    <w:rsid w:val="00B615F9"/>
    <w:rsid w:val="00B61B09"/>
    <w:rsid w:val="00B62605"/>
    <w:rsid w:val="00B63232"/>
    <w:rsid w:val="00B632B4"/>
    <w:rsid w:val="00B636DC"/>
    <w:rsid w:val="00B64312"/>
    <w:rsid w:val="00B64B1F"/>
    <w:rsid w:val="00B65E04"/>
    <w:rsid w:val="00B668E7"/>
    <w:rsid w:val="00B73CD8"/>
    <w:rsid w:val="00B751A7"/>
    <w:rsid w:val="00B75AB6"/>
    <w:rsid w:val="00B763D7"/>
    <w:rsid w:val="00B8030B"/>
    <w:rsid w:val="00B80FA0"/>
    <w:rsid w:val="00B81B6D"/>
    <w:rsid w:val="00B81FCB"/>
    <w:rsid w:val="00B83FA4"/>
    <w:rsid w:val="00B867DD"/>
    <w:rsid w:val="00B90EA0"/>
    <w:rsid w:val="00B913DF"/>
    <w:rsid w:val="00B914D3"/>
    <w:rsid w:val="00B96747"/>
    <w:rsid w:val="00B96FC9"/>
    <w:rsid w:val="00B97989"/>
    <w:rsid w:val="00B97B51"/>
    <w:rsid w:val="00BA0B54"/>
    <w:rsid w:val="00BA0CE8"/>
    <w:rsid w:val="00BA19BE"/>
    <w:rsid w:val="00BA1C11"/>
    <w:rsid w:val="00BA3F8E"/>
    <w:rsid w:val="00BB3AB8"/>
    <w:rsid w:val="00BC0B49"/>
    <w:rsid w:val="00BC209C"/>
    <w:rsid w:val="00BC3BB4"/>
    <w:rsid w:val="00BC5E44"/>
    <w:rsid w:val="00BC63F3"/>
    <w:rsid w:val="00BC7879"/>
    <w:rsid w:val="00BD4B01"/>
    <w:rsid w:val="00BD751C"/>
    <w:rsid w:val="00BE1D26"/>
    <w:rsid w:val="00BE46AC"/>
    <w:rsid w:val="00BE50C0"/>
    <w:rsid w:val="00BE639D"/>
    <w:rsid w:val="00BE6A7E"/>
    <w:rsid w:val="00BE7197"/>
    <w:rsid w:val="00BF0939"/>
    <w:rsid w:val="00BF44C4"/>
    <w:rsid w:val="00BF5C66"/>
    <w:rsid w:val="00BF5D91"/>
    <w:rsid w:val="00BF6BE2"/>
    <w:rsid w:val="00C0160C"/>
    <w:rsid w:val="00C02F16"/>
    <w:rsid w:val="00C03710"/>
    <w:rsid w:val="00C04619"/>
    <w:rsid w:val="00C05652"/>
    <w:rsid w:val="00C058D4"/>
    <w:rsid w:val="00C05A4F"/>
    <w:rsid w:val="00C05E5B"/>
    <w:rsid w:val="00C061E3"/>
    <w:rsid w:val="00C10D60"/>
    <w:rsid w:val="00C119C2"/>
    <w:rsid w:val="00C120E8"/>
    <w:rsid w:val="00C121D2"/>
    <w:rsid w:val="00C122D5"/>
    <w:rsid w:val="00C12B1C"/>
    <w:rsid w:val="00C1419E"/>
    <w:rsid w:val="00C14967"/>
    <w:rsid w:val="00C1627A"/>
    <w:rsid w:val="00C22291"/>
    <w:rsid w:val="00C233C1"/>
    <w:rsid w:val="00C23789"/>
    <w:rsid w:val="00C23DBC"/>
    <w:rsid w:val="00C26E47"/>
    <w:rsid w:val="00C2750C"/>
    <w:rsid w:val="00C3083F"/>
    <w:rsid w:val="00C31985"/>
    <w:rsid w:val="00C31AFD"/>
    <w:rsid w:val="00C31F30"/>
    <w:rsid w:val="00C33404"/>
    <w:rsid w:val="00C34A8C"/>
    <w:rsid w:val="00C41377"/>
    <w:rsid w:val="00C42CE4"/>
    <w:rsid w:val="00C431BB"/>
    <w:rsid w:val="00C43BDE"/>
    <w:rsid w:val="00C44773"/>
    <w:rsid w:val="00C502B8"/>
    <w:rsid w:val="00C51774"/>
    <w:rsid w:val="00C53EDB"/>
    <w:rsid w:val="00C62334"/>
    <w:rsid w:val="00C629EE"/>
    <w:rsid w:val="00C65D6A"/>
    <w:rsid w:val="00C676E5"/>
    <w:rsid w:val="00C7079D"/>
    <w:rsid w:val="00C70E5B"/>
    <w:rsid w:val="00C71638"/>
    <w:rsid w:val="00C71A96"/>
    <w:rsid w:val="00C72668"/>
    <w:rsid w:val="00C732F0"/>
    <w:rsid w:val="00C7374A"/>
    <w:rsid w:val="00C73A61"/>
    <w:rsid w:val="00C766EB"/>
    <w:rsid w:val="00C769CA"/>
    <w:rsid w:val="00C8086D"/>
    <w:rsid w:val="00C8129F"/>
    <w:rsid w:val="00C81D29"/>
    <w:rsid w:val="00C8423D"/>
    <w:rsid w:val="00C84914"/>
    <w:rsid w:val="00C86566"/>
    <w:rsid w:val="00C9116A"/>
    <w:rsid w:val="00C917EB"/>
    <w:rsid w:val="00C926AD"/>
    <w:rsid w:val="00C93193"/>
    <w:rsid w:val="00C97FF4"/>
    <w:rsid w:val="00CA0ADF"/>
    <w:rsid w:val="00CA3A14"/>
    <w:rsid w:val="00CA5938"/>
    <w:rsid w:val="00CA5EBF"/>
    <w:rsid w:val="00CB04F8"/>
    <w:rsid w:val="00CB09B9"/>
    <w:rsid w:val="00CB284F"/>
    <w:rsid w:val="00CB642F"/>
    <w:rsid w:val="00CB72BD"/>
    <w:rsid w:val="00CB7F0D"/>
    <w:rsid w:val="00CC02E6"/>
    <w:rsid w:val="00CC161B"/>
    <w:rsid w:val="00CC1DF7"/>
    <w:rsid w:val="00CC238F"/>
    <w:rsid w:val="00CC28C6"/>
    <w:rsid w:val="00CC4808"/>
    <w:rsid w:val="00CC4C0C"/>
    <w:rsid w:val="00CD0489"/>
    <w:rsid w:val="00CD1B6F"/>
    <w:rsid w:val="00CD30AA"/>
    <w:rsid w:val="00CD3D90"/>
    <w:rsid w:val="00CD4A55"/>
    <w:rsid w:val="00CD56F8"/>
    <w:rsid w:val="00CD67E1"/>
    <w:rsid w:val="00CD6F2B"/>
    <w:rsid w:val="00CE0343"/>
    <w:rsid w:val="00CE0D2C"/>
    <w:rsid w:val="00CE0EFD"/>
    <w:rsid w:val="00CE1B8A"/>
    <w:rsid w:val="00CE27B0"/>
    <w:rsid w:val="00CE4936"/>
    <w:rsid w:val="00CE5A65"/>
    <w:rsid w:val="00CF0867"/>
    <w:rsid w:val="00CF2A80"/>
    <w:rsid w:val="00CF32F4"/>
    <w:rsid w:val="00CF3600"/>
    <w:rsid w:val="00CF5B6F"/>
    <w:rsid w:val="00CF5E07"/>
    <w:rsid w:val="00CF603E"/>
    <w:rsid w:val="00CF65B7"/>
    <w:rsid w:val="00CF7D25"/>
    <w:rsid w:val="00D003B0"/>
    <w:rsid w:val="00D062BE"/>
    <w:rsid w:val="00D06681"/>
    <w:rsid w:val="00D06F27"/>
    <w:rsid w:val="00D07877"/>
    <w:rsid w:val="00D104D6"/>
    <w:rsid w:val="00D10CC3"/>
    <w:rsid w:val="00D15807"/>
    <w:rsid w:val="00D174EE"/>
    <w:rsid w:val="00D17563"/>
    <w:rsid w:val="00D22919"/>
    <w:rsid w:val="00D23A88"/>
    <w:rsid w:val="00D24520"/>
    <w:rsid w:val="00D24FB9"/>
    <w:rsid w:val="00D262EA"/>
    <w:rsid w:val="00D302F5"/>
    <w:rsid w:val="00D31595"/>
    <w:rsid w:val="00D31DFE"/>
    <w:rsid w:val="00D378A3"/>
    <w:rsid w:val="00D40AAD"/>
    <w:rsid w:val="00D40DEC"/>
    <w:rsid w:val="00D4403D"/>
    <w:rsid w:val="00D4526A"/>
    <w:rsid w:val="00D454E8"/>
    <w:rsid w:val="00D47ACC"/>
    <w:rsid w:val="00D51066"/>
    <w:rsid w:val="00D51FE7"/>
    <w:rsid w:val="00D52F32"/>
    <w:rsid w:val="00D5620F"/>
    <w:rsid w:val="00D602C2"/>
    <w:rsid w:val="00D60807"/>
    <w:rsid w:val="00D60E2B"/>
    <w:rsid w:val="00D611A0"/>
    <w:rsid w:val="00D61332"/>
    <w:rsid w:val="00D64D1F"/>
    <w:rsid w:val="00D66519"/>
    <w:rsid w:val="00D70E5E"/>
    <w:rsid w:val="00D71184"/>
    <w:rsid w:val="00D7160E"/>
    <w:rsid w:val="00D73280"/>
    <w:rsid w:val="00D735FF"/>
    <w:rsid w:val="00D73A3C"/>
    <w:rsid w:val="00D74FF1"/>
    <w:rsid w:val="00D82E72"/>
    <w:rsid w:val="00D830B9"/>
    <w:rsid w:val="00D8371A"/>
    <w:rsid w:val="00D903A6"/>
    <w:rsid w:val="00D9098B"/>
    <w:rsid w:val="00D91BC7"/>
    <w:rsid w:val="00D9288B"/>
    <w:rsid w:val="00D938F7"/>
    <w:rsid w:val="00D953AA"/>
    <w:rsid w:val="00D961B4"/>
    <w:rsid w:val="00D973D7"/>
    <w:rsid w:val="00DA0765"/>
    <w:rsid w:val="00DA3060"/>
    <w:rsid w:val="00DA3DF8"/>
    <w:rsid w:val="00DA61E9"/>
    <w:rsid w:val="00DA65CF"/>
    <w:rsid w:val="00DA6F20"/>
    <w:rsid w:val="00DA7427"/>
    <w:rsid w:val="00DA775F"/>
    <w:rsid w:val="00DB17ED"/>
    <w:rsid w:val="00DC25A7"/>
    <w:rsid w:val="00DC2D7A"/>
    <w:rsid w:val="00DC2E2B"/>
    <w:rsid w:val="00DD14E1"/>
    <w:rsid w:val="00DD1DAF"/>
    <w:rsid w:val="00DE0959"/>
    <w:rsid w:val="00DE1245"/>
    <w:rsid w:val="00DE3A75"/>
    <w:rsid w:val="00DE637D"/>
    <w:rsid w:val="00DF121E"/>
    <w:rsid w:val="00DF25CE"/>
    <w:rsid w:val="00DF53D7"/>
    <w:rsid w:val="00DF540D"/>
    <w:rsid w:val="00DF54C2"/>
    <w:rsid w:val="00DF5787"/>
    <w:rsid w:val="00DF7733"/>
    <w:rsid w:val="00E00E54"/>
    <w:rsid w:val="00E019D5"/>
    <w:rsid w:val="00E02771"/>
    <w:rsid w:val="00E02DF9"/>
    <w:rsid w:val="00E03E14"/>
    <w:rsid w:val="00E05A58"/>
    <w:rsid w:val="00E06474"/>
    <w:rsid w:val="00E10948"/>
    <w:rsid w:val="00E138B2"/>
    <w:rsid w:val="00E13A95"/>
    <w:rsid w:val="00E14C76"/>
    <w:rsid w:val="00E14F64"/>
    <w:rsid w:val="00E14F84"/>
    <w:rsid w:val="00E1593F"/>
    <w:rsid w:val="00E15FD6"/>
    <w:rsid w:val="00E1630A"/>
    <w:rsid w:val="00E16AED"/>
    <w:rsid w:val="00E205B3"/>
    <w:rsid w:val="00E21CCE"/>
    <w:rsid w:val="00E22DA3"/>
    <w:rsid w:val="00E23208"/>
    <w:rsid w:val="00E24A15"/>
    <w:rsid w:val="00E24F4E"/>
    <w:rsid w:val="00E2576B"/>
    <w:rsid w:val="00E273AF"/>
    <w:rsid w:val="00E275CC"/>
    <w:rsid w:val="00E3023E"/>
    <w:rsid w:val="00E315FF"/>
    <w:rsid w:val="00E31AA9"/>
    <w:rsid w:val="00E338FA"/>
    <w:rsid w:val="00E33CB2"/>
    <w:rsid w:val="00E340E3"/>
    <w:rsid w:val="00E34B78"/>
    <w:rsid w:val="00E353F3"/>
    <w:rsid w:val="00E35A42"/>
    <w:rsid w:val="00E42723"/>
    <w:rsid w:val="00E43867"/>
    <w:rsid w:val="00E44C58"/>
    <w:rsid w:val="00E4608F"/>
    <w:rsid w:val="00E46F71"/>
    <w:rsid w:val="00E47019"/>
    <w:rsid w:val="00E50A44"/>
    <w:rsid w:val="00E51FE7"/>
    <w:rsid w:val="00E52C7E"/>
    <w:rsid w:val="00E53AD3"/>
    <w:rsid w:val="00E54644"/>
    <w:rsid w:val="00E55F87"/>
    <w:rsid w:val="00E569B3"/>
    <w:rsid w:val="00E56A2C"/>
    <w:rsid w:val="00E6281F"/>
    <w:rsid w:val="00E6681C"/>
    <w:rsid w:val="00E66E83"/>
    <w:rsid w:val="00E751B6"/>
    <w:rsid w:val="00E7585E"/>
    <w:rsid w:val="00E760B6"/>
    <w:rsid w:val="00E7692F"/>
    <w:rsid w:val="00E8056B"/>
    <w:rsid w:val="00E8228A"/>
    <w:rsid w:val="00E85AEF"/>
    <w:rsid w:val="00E8626D"/>
    <w:rsid w:val="00E918C4"/>
    <w:rsid w:val="00E94FD6"/>
    <w:rsid w:val="00E96AA4"/>
    <w:rsid w:val="00EA10FE"/>
    <w:rsid w:val="00EA1831"/>
    <w:rsid w:val="00EA2204"/>
    <w:rsid w:val="00EA258A"/>
    <w:rsid w:val="00EA2746"/>
    <w:rsid w:val="00EA3251"/>
    <w:rsid w:val="00EB0C47"/>
    <w:rsid w:val="00EB0E80"/>
    <w:rsid w:val="00EB39FF"/>
    <w:rsid w:val="00EB4857"/>
    <w:rsid w:val="00EB52D8"/>
    <w:rsid w:val="00EC0A90"/>
    <w:rsid w:val="00EC3571"/>
    <w:rsid w:val="00EC5AD5"/>
    <w:rsid w:val="00EC6498"/>
    <w:rsid w:val="00EC751A"/>
    <w:rsid w:val="00EC7FDA"/>
    <w:rsid w:val="00ED06E4"/>
    <w:rsid w:val="00ED0B80"/>
    <w:rsid w:val="00ED0BDE"/>
    <w:rsid w:val="00ED1DB0"/>
    <w:rsid w:val="00ED2995"/>
    <w:rsid w:val="00ED34CE"/>
    <w:rsid w:val="00ED4018"/>
    <w:rsid w:val="00ED41E0"/>
    <w:rsid w:val="00ED582F"/>
    <w:rsid w:val="00ED5C63"/>
    <w:rsid w:val="00ED6831"/>
    <w:rsid w:val="00EE07EE"/>
    <w:rsid w:val="00EE2D2D"/>
    <w:rsid w:val="00EE4129"/>
    <w:rsid w:val="00EE4228"/>
    <w:rsid w:val="00EE49C2"/>
    <w:rsid w:val="00EF1B2D"/>
    <w:rsid w:val="00EF247E"/>
    <w:rsid w:val="00EF2FED"/>
    <w:rsid w:val="00EF3B6C"/>
    <w:rsid w:val="00EF5049"/>
    <w:rsid w:val="00EF6EED"/>
    <w:rsid w:val="00EF78A2"/>
    <w:rsid w:val="00F00BBD"/>
    <w:rsid w:val="00F01018"/>
    <w:rsid w:val="00F019AA"/>
    <w:rsid w:val="00F02FBC"/>
    <w:rsid w:val="00F03BE7"/>
    <w:rsid w:val="00F0610C"/>
    <w:rsid w:val="00F06737"/>
    <w:rsid w:val="00F06E9C"/>
    <w:rsid w:val="00F105BF"/>
    <w:rsid w:val="00F11C55"/>
    <w:rsid w:val="00F151DD"/>
    <w:rsid w:val="00F16C2D"/>
    <w:rsid w:val="00F17E6F"/>
    <w:rsid w:val="00F17EC7"/>
    <w:rsid w:val="00F20633"/>
    <w:rsid w:val="00F21CE8"/>
    <w:rsid w:val="00F23F7C"/>
    <w:rsid w:val="00F24101"/>
    <w:rsid w:val="00F2515D"/>
    <w:rsid w:val="00F26132"/>
    <w:rsid w:val="00F265C1"/>
    <w:rsid w:val="00F26863"/>
    <w:rsid w:val="00F26CFA"/>
    <w:rsid w:val="00F26D5F"/>
    <w:rsid w:val="00F32BD9"/>
    <w:rsid w:val="00F33008"/>
    <w:rsid w:val="00F3687A"/>
    <w:rsid w:val="00F37828"/>
    <w:rsid w:val="00F430B5"/>
    <w:rsid w:val="00F470A7"/>
    <w:rsid w:val="00F47FDE"/>
    <w:rsid w:val="00F506FD"/>
    <w:rsid w:val="00F51B8C"/>
    <w:rsid w:val="00F51DD2"/>
    <w:rsid w:val="00F52310"/>
    <w:rsid w:val="00F52EAD"/>
    <w:rsid w:val="00F52FB6"/>
    <w:rsid w:val="00F551E7"/>
    <w:rsid w:val="00F56935"/>
    <w:rsid w:val="00F60AB2"/>
    <w:rsid w:val="00F637DB"/>
    <w:rsid w:val="00F66A3C"/>
    <w:rsid w:val="00F70859"/>
    <w:rsid w:val="00F71734"/>
    <w:rsid w:val="00F729E0"/>
    <w:rsid w:val="00F73FD9"/>
    <w:rsid w:val="00F748B9"/>
    <w:rsid w:val="00F74A6D"/>
    <w:rsid w:val="00F759C3"/>
    <w:rsid w:val="00F769BB"/>
    <w:rsid w:val="00F77047"/>
    <w:rsid w:val="00F80E00"/>
    <w:rsid w:val="00F829EC"/>
    <w:rsid w:val="00F83C66"/>
    <w:rsid w:val="00F83E5B"/>
    <w:rsid w:val="00F85113"/>
    <w:rsid w:val="00F85530"/>
    <w:rsid w:val="00F8584A"/>
    <w:rsid w:val="00F861A5"/>
    <w:rsid w:val="00F862C3"/>
    <w:rsid w:val="00F86426"/>
    <w:rsid w:val="00F87DB9"/>
    <w:rsid w:val="00F918AC"/>
    <w:rsid w:val="00F91F03"/>
    <w:rsid w:val="00F9546E"/>
    <w:rsid w:val="00F96DE8"/>
    <w:rsid w:val="00F971D6"/>
    <w:rsid w:val="00FA1E1F"/>
    <w:rsid w:val="00FA26A5"/>
    <w:rsid w:val="00FA4DA2"/>
    <w:rsid w:val="00FA5275"/>
    <w:rsid w:val="00FB237A"/>
    <w:rsid w:val="00FB2CC5"/>
    <w:rsid w:val="00FB3029"/>
    <w:rsid w:val="00FB3E18"/>
    <w:rsid w:val="00FB4AB9"/>
    <w:rsid w:val="00FB4DD4"/>
    <w:rsid w:val="00FB5163"/>
    <w:rsid w:val="00FC0E8F"/>
    <w:rsid w:val="00FC1688"/>
    <w:rsid w:val="00FC3859"/>
    <w:rsid w:val="00FC3B2E"/>
    <w:rsid w:val="00FC4279"/>
    <w:rsid w:val="00FC561A"/>
    <w:rsid w:val="00FD290A"/>
    <w:rsid w:val="00FD2E25"/>
    <w:rsid w:val="00FD34D6"/>
    <w:rsid w:val="00FD681D"/>
    <w:rsid w:val="00FE4B4E"/>
    <w:rsid w:val="00FE4B4F"/>
    <w:rsid w:val="00FF114D"/>
    <w:rsid w:val="00FF4F15"/>
    <w:rsid w:val="00FF6962"/>
    <w:rsid w:val="00FF73E6"/>
    <w:rsid w:val="00FF75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450CEFA0-62C8-4A16-B3C7-A148E0D13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27A"/>
    <w:rPr>
      <w:sz w:val="22"/>
      <w:szCs w:val="22"/>
      <w:lang w:eastAsia="en-US"/>
    </w:rPr>
  </w:style>
  <w:style w:type="paragraph" w:styleId="Heading1">
    <w:name w:val="heading 1"/>
    <w:aliases w:val="ATA Submission Heading 1"/>
    <w:basedOn w:val="Normal"/>
    <w:next w:val="Normal"/>
    <w:link w:val="Heading1Char"/>
    <w:uiPriority w:val="99"/>
    <w:qFormat/>
    <w:rsid w:val="003B74E4"/>
    <w:pPr>
      <w:numPr>
        <w:numId w:val="1"/>
      </w:numPr>
      <w:outlineLvl w:val="0"/>
    </w:pPr>
    <w:rPr>
      <w:rFonts w:ascii="Arial" w:hAnsi="Arial" w:cs="Arial"/>
      <w:b/>
      <w:color w:val="000064"/>
      <w:sz w:val="28"/>
      <w:szCs w:val="28"/>
    </w:rPr>
  </w:style>
  <w:style w:type="paragraph" w:styleId="Heading2">
    <w:name w:val="heading 2"/>
    <w:basedOn w:val="Normal"/>
    <w:next w:val="Normal"/>
    <w:link w:val="Heading2Char"/>
    <w:semiHidden/>
    <w:unhideWhenUsed/>
    <w:qFormat/>
    <w:locked/>
    <w:rsid w:val="00685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F53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locked/>
    <w:rsid w:val="003B74E4"/>
    <w:rPr>
      <w:rFonts w:ascii="Arial" w:hAnsi="Arial" w:cs="Arial"/>
      <w:b/>
      <w:color w:val="000064"/>
      <w:sz w:val="28"/>
      <w:szCs w:val="28"/>
      <w:lang w:eastAsia="en-US"/>
    </w:rPr>
  </w:style>
  <w:style w:type="character" w:customStyle="1" w:styleId="Heading2Char">
    <w:name w:val="Heading 2 Char"/>
    <w:basedOn w:val="DefaultParagraphFont"/>
    <w:link w:val="Heading2"/>
    <w:semiHidden/>
    <w:rsid w:val="006859F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locked/>
    <w:rsid w:val="000F53C2"/>
    <w:rPr>
      <w:rFonts w:ascii="Cambria" w:hAnsi="Cambria" w:cs="Times New Roman"/>
      <w:b/>
      <w:bCs/>
      <w:sz w:val="26"/>
      <w:szCs w:val="26"/>
      <w:lang w:eastAsia="en-US"/>
    </w:rPr>
  </w:style>
  <w:style w:type="table" w:styleId="TableGrid">
    <w:name w:val="Table Grid"/>
    <w:basedOn w:val="TableNormal"/>
    <w:uiPriority w:val="59"/>
    <w:rsid w:val="00C162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semiHidden/>
    <w:rsid w:val="004B6187"/>
    <w:rPr>
      <w:rFonts w:ascii="Arial" w:eastAsia="Times New Roman" w:hAnsi="Arial" w:cs="Arial"/>
      <w:b/>
      <w:bCs/>
      <w:szCs w:val="20"/>
    </w:rPr>
  </w:style>
  <w:style w:type="character" w:customStyle="1" w:styleId="BodyText2Char">
    <w:name w:val="Body Text 2 Char"/>
    <w:basedOn w:val="DefaultParagraphFont"/>
    <w:link w:val="BodyText2"/>
    <w:uiPriority w:val="99"/>
    <w:semiHidden/>
    <w:locked/>
    <w:rsid w:val="004B6187"/>
    <w:rPr>
      <w:rFonts w:ascii="Arial" w:hAnsi="Arial" w:cs="Arial"/>
      <w:b/>
      <w:bCs/>
      <w:sz w:val="20"/>
      <w:szCs w:val="20"/>
    </w:rPr>
  </w:style>
  <w:style w:type="paragraph" w:styleId="Header">
    <w:name w:val="header"/>
    <w:basedOn w:val="Normal"/>
    <w:link w:val="HeaderChar"/>
    <w:uiPriority w:val="99"/>
    <w:rsid w:val="000F3D9F"/>
    <w:pPr>
      <w:tabs>
        <w:tab w:val="center" w:pos="4513"/>
        <w:tab w:val="right" w:pos="9026"/>
      </w:tabs>
    </w:pPr>
  </w:style>
  <w:style w:type="character" w:customStyle="1" w:styleId="HeaderChar">
    <w:name w:val="Header Char"/>
    <w:basedOn w:val="DefaultParagraphFont"/>
    <w:link w:val="Header"/>
    <w:uiPriority w:val="99"/>
    <w:locked/>
    <w:rsid w:val="000F3D9F"/>
    <w:rPr>
      <w:rFonts w:cs="Times New Roman"/>
      <w:sz w:val="22"/>
      <w:szCs w:val="22"/>
      <w:lang w:eastAsia="en-US"/>
    </w:rPr>
  </w:style>
  <w:style w:type="paragraph" w:styleId="Footer">
    <w:name w:val="footer"/>
    <w:basedOn w:val="Normal"/>
    <w:link w:val="FooterChar"/>
    <w:uiPriority w:val="99"/>
    <w:rsid w:val="000F3D9F"/>
    <w:pPr>
      <w:tabs>
        <w:tab w:val="center" w:pos="4513"/>
        <w:tab w:val="right" w:pos="9026"/>
      </w:tabs>
    </w:pPr>
  </w:style>
  <w:style w:type="character" w:customStyle="1" w:styleId="FooterChar">
    <w:name w:val="Footer Char"/>
    <w:basedOn w:val="DefaultParagraphFont"/>
    <w:link w:val="Footer"/>
    <w:uiPriority w:val="99"/>
    <w:locked/>
    <w:rsid w:val="000F3D9F"/>
    <w:rPr>
      <w:rFonts w:cs="Times New Roman"/>
      <w:sz w:val="22"/>
      <w:szCs w:val="22"/>
      <w:lang w:eastAsia="en-US"/>
    </w:rPr>
  </w:style>
  <w:style w:type="paragraph" w:styleId="ListParagraph">
    <w:name w:val="List Paragraph"/>
    <w:basedOn w:val="Normal"/>
    <w:uiPriority w:val="34"/>
    <w:qFormat/>
    <w:rsid w:val="000F53C2"/>
    <w:pPr>
      <w:spacing w:after="200" w:line="276" w:lineRule="auto"/>
      <w:ind w:left="720"/>
      <w:contextualSpacing/>
    </w:pPr>
  </w:style>
  <w:style w:type="paragraph" w:styleId="FootnoteText">
    <w:name w:val="footnote text"/>
    <w:basedOn w:val="Normal"/>
    <w:link w:val="FootnoteTextChar"/>
    <w:uiPriority w:val="99"/>
    <w:semiHidden/>
    <w:rsid w:val="000F53C2"/>
    <w:rPr>
      <w:sz w:val="20"/>
      <w:szCs w:val="20"/>
    </w:rPr>
  </w:style>
  <w:style w:type="character" w:customStyle="1" w:styleId="FootnoteTextChar">
    <w:name w:val="Footnote Text Char"/>
    <w:basedOn w:val="DefaultParagraphFont"/>
    <w:link w:val="FootnoteText"/>
    <w:uiPriority w:val="99"/>
    <w:semiHidden/>
    <w:locked/>
    <w:rsid w:val="000F53C2"/>
    <w:rPr>
      <w:rFonts w:cs="Times New Roman"/>
      <w:lang w:eastAsia="en-US"/>
    </w:rPr>
  </w:style>
  <w:style w:type="character" w:styleId="FootnoteReference">
    <w:name w:val="footnote reference"/>
    <w:basedOn w:val="DefaultParagraphFont"/>
    <w:uiPriority w:val="99"/>
    <w:semiHidden/>
    <w:rsid w:val="000F53C2"/>
    <w:rPr>
      <w:rFonts w:cs="Times New Roman"/>
      <w:vertAlign w:val="superscript"/>
    </w:rPr>
  </w:style>
  <w:style w:type="paragraph" w:customStyle="1" w:styleId="Default">
    <w:name w:val="Default"/>
    <w:link w:val="DefaultChar"/>
    <w:rsid w:val="000F53C2"/>
    <w:pPr>
      <w:autoSpaceDE w:val="0"/>
      <w:autoSpaceDN w:val="0"/>
      <w:adjustRightInd w:val="0"/>
    </w:pPr>
    <w:rPr>
      <w:rFonts w:ascii="Times New Roman" w:hAnsi="Times New Roman"/>
      <w:color w:val="000000"/>
      <w:sz w:val="24"/>
      <w:szCs w:val="24"/>
    </w:rPr>
  </w:style>
  <w:style w:type="character" w:customStyle="1" w:styleId="DefaultChar">
    <w:name w:val="Default Char"/>
    <w:basedOn w:val="DefaultParagraphFont"/>
    <w:link w:val="Default"/>
    <w:uiPriority w:val="99"/>
    <w:locked/>
    <w:rsid w:val="000F53C2"/>
    <w:rPr>
      <w:rFonts w:ascii="Times New Roman" w:hAnsi="Times New Roman"/>
      <w:color w:val="000000"/>
      <w:sz w:val="24"/>
      <w:szCs w:val="24"/>
      <w:lang w:val="en-AU" w:eastAsia="en-AU" w:bidi="ar-SA"/>
    </w:rPr>
  </w:style>
  <w:style w:type="paragraph" w:customStyle="1" w:styleId="ATAHeading2">
    <w:name w:val="ATA Heading 2"/>
    <w:basedOn w:val="Normal"/>
    <w:link w:val="ATAHeading2Char"/>
    <w:uiPriority w:val="99"/>
    <w:rsid w:val="00B13B6B"/>
    <w:pPr>
      <w:numPr>
        <w:ilvl w:val="1"/>
        <w:numId w:val="1"/>
      </w:numPr>
      <w:spacing w:before="120" w:after="120" w:line="276" w:lineRule="auto"/>
    </w:pPr>
    <w:rPr>
      <w:rFonts w:ascii="Arial" w:hAnsi="Arial" w:cs="Arial"/>
      <w:b/>
      <w:color w:val="000064"/>
      <w:sz w:val="26"/>
      <w:szCs w:val="26"/>
    </w:rPr>
  </w:style>
  <w:style w:type="character" w:customStyle="1" w:styleId="ATAHeading2Char">
    <w:name w:val="ATA Heading 2 Char"/>
    <w:basedOn w:val="DefaultParagraphFont"/>
    <w:link w:val="ATAHeading2"/>
    <w:uiPriority w:val="99"/>
    <w:locked/>
    <w:rsid w:val="00B13B6B"/>
    <w:rPr>
      <w:rFonts w:ascii="Arial" w:hAnsi="Arial" w:cs="Arial"/>
      <w:b/>
      <w:color w:val="000064"/>
      <w:sz w:val="26"/>
      <w:szCs w:val="26"/>
      <w:lang w:eastAsia="en-US"/>
    </w:rPr>
  </w:style>
  <w:style w:type="paragraph" w:customStyle="1" w:styleId="ATAHeading3">
    <w:name w:val="ATA Heading 3"/>
    <w:basedOn w:val="ATAHeading2"/>
    <w:link w:val="ATAHeading3Char"/>
    <w:uiPriority w:val="99"/>
    <w:rsid w:val="00D40AAD"/>
    <w:pPr>
      <w:numPr>
        <w:ilvl w:val="2"/>
      </w:numPr>
      <w:tabs>
        <w:tab w:val="left" w:pos="992"/>
      </w:tabs>
    </w:pPr>
    <w:rPr>
      <w:i/>
      <w:color w:val="0D0D0D" w:themeColor="text1" w:themeTint="F2"/>
      <w:sz w:val="22"/>
      <w:szCs w:val="22"/>
    </w:rPr>
  </w:style>
  <w:style w:type="character" w:customStyle="1" w:styleId="ATAHeading3Char">
    <w:name w:val="ATA Heading 3 Char"/>
    <w:basedOn w:val="DefaultParagraphFont"/>
    <w:link w:val="ATAHeading3"/>
    <w:uiPriority w:val="99"/>
    <w:locked/>
    <w:rsid w:val="00D40AAD"/>
    <w:rPr>
      <w:rFonts w:ascii="Arial" w:hAnsi="Arial" w:cs="Arial"/>
      <w:b/>
      <w:i/>
      <w:color w:val="0D0D0D" w:themeColor="text1" w:themeTint="F2"/>
      <w:sz w:val="22"/>
      <w:szCs w:val="22"/>
      <w:lang w:eastAsia="en-US"/>
    </w:rPr>
  </w:style>
  <w:style w:type="paragraph" w:customStyle="1" w:styleId="Quotes">
    <w:name w:val="Quotes"/>
    <w:basedOn w:val="Default"/>
    <w:link w:val="QuotesChar"/>
    <w:uiPriority w:val="99"/>
    <w:rsid w:val="000F53C2"/>
    <w:pPr>
      <w:ind w:left="851"/>
    </w:pPr>
    <w:rPr>
      <w:sz w:val="22"/>
      <w:szCs w:val="22"/>
    </w:rPr>
  </w:style>
  <w:style w:type="character" w:customStyle="1" w:styleId="QuotesChar">
    <w:name w:val="Quotes Char"/>
    <w:basedOn w:val="DefaultChar"/>
    <w:link w:val="Quotes"/>
    <w:uiPriority w:val="99"/>
    <w:locked/>
    <w:rsid w:val="000F53C2"/>
    <w:rPr>
      <w:rFonts w:ascii="Times New Roman" w:hAnsi="Times New Roman"/>
      <w:color w:val="000000"/>
      <w:sz w:val="22"/>
      <w:szCs w:val="22"/>
      <w:lang w:val="en-AU" w:eastAsia="en-AU" w:bidi="ar-SA"/>
    </w:rPr>
  </w:style>
  <w:style w:type="paragraph" w:customStyle="1" w:styleId="ATARecommendationHeading">
    <w:name w:val="ATA Recommendation Heading"/>
    <w:basedOn w:val="Normal"/>
    <w:link w:val="ATARecommendationHeadingChar"/>
    <w:uiPriority w:val="99"/>
    <w:rsid w:val="00740005"/>
    <w:rPr>
      <w:rFonts w:ascii="Arial" w:hAnsi="Arial" w:cs="Arial"/>
      <w:i/>
    </w:rPr>
  </w:style>
  <w:style w:type="character" w:customStyle="1" w:styleId="ATARecommendationHeadingChar">
    <w:name w:val="ATA Recommendation Heading Char"/>
    <w:basedOn w:val="DefaultParagraphFont"/>
    <w:link w:val="ATARecommendationHeading"/>
    <w:uiPriority w:val="99"/>
    <w:rsid w:val="006859F7"/>
    <w:rPr>
      <w:rFonts w:ascii="Arial" w:hAnsi="Arial" w:cs="Arial"/>
      <w:i/>
      <w:sz w:val="22"/>
      <w:szCs w:val="22"/>
      <w:lang w:eastAsia="en-US"/>
    </w:rPr>
  </w:style>
  <w:style w:type="paragraph" w:styleId="BalloonText">
    <w:name w:val="Balloon Text"/>
    <w:basedOn w:val="Normal"/>
    <w:link w:val="BalloonTextChar"/>
    <w:uiPriority w:val="99"/>
    <w:semiHidden/>
    <w:rsid w:val="00740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005"/>
    <w:rPr>
      <w:rFonts w:ascii="Tahoma" w:hAnsi="Tahoma" w:cs="Tahoma"/>
      <w:sz w:val="16"/>
      <w:szCs w:val="16"/>
      <w:lang w:eastAsia="en-US"/>
    </w:rPr>
  </w:style>
  <w:style w:type="character" w:styleId="Strong">
    <w:name w:val="Strong"/>
    <w:basedOn w:val="DefaultParagraphFont"/>
    <w:uiPriority w:val="22"/>
    <w:qFormat/>
    <w:locked/>
    <w:rsid w:val="00960FE0"/>
    <w:rPr>
      <w:b/>
      <w:bCs/>
    </w:rPr>
  </w:style>
  <w:style w:type="paragraph" w:styleId="EndnoteText">
    <w:name w:val="endnote text"/>
    <w:basedOn w:val="Normal"/>
    <w:link w:val="EndnoteTextChar"/>
    <w:uiPriority w:val="99"/>
    <w:semiHidden/>
    <w:unhideWhenUsed/>
    <w:rsid w:val="00EE4129"/>
    <w:rPr>
      <w:sz w:val="20"/>
      <w:szCs w:val="20"/>
    </w:rPr>
  </w:style>
  <w:style w:type="character" w:customStyle="1" w:styleId="EndnoteTextChar">
    <w:name w:val="Endnote Text Char"/>
    <w:basedOn w:val="DefaultParagraphFont"/>
    <w:link w:val="EndnoteText"/>
    <w:uiPriority w:val="99"/>
    <w:semiHidden/>
    <w:rsid w:val="00EE4129"/>
    <w:rPr>
      <w:lang w:eastAsia="en-US"/>
    </w:rPr>
  </w:style>
  <w:style w:type="character" w:styleId="EndnoteReference">
    <w:name w:val="endnote reference"/>
    <w:basedOn w:val="DefaultParagraphFont"/>
    <w:uiPriority w:val="99"/>
    <w:semiHidden/>
    <w:unhideWhenUsed/>
    <w:rsid w:val="00EE4129"/>
    <w:rPr>
      <w:vertAlign w:val="superscript"/>
    </w:rPr>
  </w:style>
  <w:style w:type="paragraph" w:styleId="TOC1">
    <w:name w:val="toc 1"/>
    <w:basedOn w:val="Normal"/>
    <w:next w:val="Normal"/>
    <w:autoRedefine/>
    <w:uiPriority w:val="39"/>
    <w:locked/>
    <w:rsid w:val="00075B0E"/>
    <w:pPr>
      <w:tabs>
        <w:tab w:val="left" w:pos="442"/>
        <w:tab w:val="right" w:leader="dot" w:pos="9628"/>
      </w:tabs>
      <w:spacing w:before="360" w:after="100"/>
    </w:pPr>
    <w:rPr>
      <w:rFonts w:ascii="Arial" w:hAnsi="Arial"/>
      <w:noProof/>
      <w:color w:val="000000" w:themeColor="text1"/>
      <w:sz w:val="20"/>
      <w:szCs w:val="20"/>
    </w:rPr>
  </w:style>
  <w:style w:type="paragraph" w:styleId="TOC2">
    <w:name w:val="toc 2"/>
    <w:basedOn w:val="Normal"/>
    <w:next w:val="Normal"/>
    <w:autoRedefine/>
    <w:uiPriority w:val="39"/>
    <w:locked/>
    <w:rsid w:val="00C86566"/>
    <w:pPr>
      <w:tabs>
        <w:tab w:val="left" w:pos="880"/>
        <w:tab w:val="right" w:leader="dot" w:pos="9628"/>
      </w:tabs>
      <w:spacing w:after="120"/>
      <w:ind w:left="851" w:hanging="630"/>
    </w:pPr>
    <w:rPr>
      <w:rFonts w:ascii="Arial" w:hAnsi="Arial"/>
      <w:sz w:val="20"/>
    </w:rPr>
  </w:style>
  <w:style w:type="paragraph" w:customStyle="1" w:styleId="RecommendationStyle">
    <w:name w:val="Recommendation Style"/>
    <w:basedOn w:val="ATARecommendationHeading"/>
    <w:link w:val="RecommendationStyleChar"/>
    <w:qFormat/>
    <w:rsid w:val="00907971"/>
    <w:pPr>
      <w:numPr>
        <w:numId w:val="2"/>
      </w:numPr>
      <w:tabs>
        <w:tab w:val="left" w:pos="2098"/>
      </w:tabs>
      <w:spacing w:before="240" w:after="120"/>
    </w:pPr>
    <w:rPr>
      <w:b/>
      <w:sz w:val="20"/>
      <w:szCs w:val="20"/>
    </w:rPr>
  </w:style>
  <w:style w:type="character" w:customStyle="1" w:styleId="RecommendationStyleChar">
    <w:name w:val="Recommendation Style Char"/>
    <w:basedOn w:val="ATARecommendationHeadingChar"/>
    <w:link w:val="RecommendationStyle"/>
    <w:rsid w:val="00907971"/>
    <w:rPr>
      <w:rFonts w:ascii="Arial" w:hAnsi="Arial" w:cs="Arial"/>
      <w:b/>
      <w:i/>
      <w:sz w:val="22"/>
      <w:szCs w:val="22"/>
      <w:lang w:eastAsia="en-US"/>
    </w:rPr>
  </w:style>
  <w:style w:type="paragraph" w:customStyle="1" w:styleId="RecommendationStyle2">
    <w:name w:val="Recommendation Style 2"/>
    <w:basedOn w:val="Normal"/>
    <w:link w:val="RecommendationStyle2Char"/>
    <w:qFormat/>
    <w:rsid w:val="006859F7"/>
    <w:pPr>
      <w:jc w:val="both"/>
    </w:pPr>
    <w:rPr>
      <w:rFonts w:ascii="Arial" w:hAnsi="Arial" w:cs="Arial"/>
      <w:b/>
      <w:sz w:val="20"/>
      <w:szCs w:val="20"/>
    </w:rPr>
  </w:style>
  <w:style w:type="character" w:customStyle="1" w:styleId="RecommendationStyle2Char">
    <w:name w:val="Recommendation Style 2 Char"/>
    <w:basedOn w:val="DefaultParagraphFont"/>
    <w:link w:val="RecommendationStyle2"/>
    <w:rsid w:val="006859F7"/>
    <w:rPr>
      <w:rFonts w:ascii="Arial" w:hAnsi="Arial" w:cs="Arial"/>
      <w:b/>
      <w:lang w:eastAsia="en-US"/>
    </w:rPr>
  </w:style>
  <w:style w:type="character" w:styleId="Hyperlink">
    <w:name w:val="Hyperlink"/>
    <w:basedOn w:val="DefaultParagraphFont"/>
    <w:uiPriority w:val="99"/>
    <w:unhideWhenUsed/>
    <w:rsid w:val="009E77F2"/>
    <w:rPr>
      <w:color w:val="0000FF" w:themeColor="hyperlink"/>
      <w:u w:val="single"/>
    </w:rPr>
  </w:style>
  <w:style w:type="paragraph" w:customStyle="1" w:styleId="RecommendationStyle3">
    <w:name w:val="Recommendation Style 3"/>
    <w:basedOn w:val="RecommendationStyle2"/>
    <w:link w:val="RecommendationStyle3Char"/>
    <w:qFormat/>
    <w:rsid w:val="00907971"/>
    <w:rPr>
      <w:color w:val="FFFFFF" w:themeColor="background1"/>
    </w:rPr>
  </w:style>
  <w:style w:type="paragraph" w:styleId="TOC3">
    <w:name w:val="toc 3"/>
    <w:basedOn w:val="Normal"/>
    <w:next w:val="Normal"/>
    <w:autoRedefine/>
    <w:uiPriority w:val="39"/>
    <w:locked/>
    <w:rsid w:val="00907971"/>
    <w:pPr>
      <w:tabs>
        <w:tab w:val="right" w:leader="dot" w:pos="9628"/>
      </w:tabs>
      <w:ind w:left="442"/>
    </w:pPr>
    <w:rPr>
      <w:noProof/>
      <w:color w:val="FFFFFF" w:themeColor="background1"/>
    </w:rPr>
  </w:style>
  <w:style w:type="character" w:customStyle="1" w:styleId="RecommendationStyle3Char">
    <w:name w:val="Recommendation Style 3 Char"/>
    <w:basedOn w:val="RecommendationStyle2Char"/>
    <w:link w:val="RecommendationStyle3"/>
    <w:rsid w:val="00907971"/>
    <w:rPr>
      <w:rFonts w:ascii="Arial" w:hAnsi="Arial" w:cs="Arial"/>
      <w:b/>
      <w:color w:val="FFFFFF" w:themeColor="background1"/>
      <w:lang w:eastAsia="en-US"/>
    </w:rPr>
  </w:style>
  <w:style w:type="paragraph" w:customStyle="1" w:styleId="ATASubHead1">
    <w:name w:val="ATASubHead1"/>
    <w:basedOn w:val="Normal"/>
    <w:link w:val="ATASubHead1Char"/>
    <w:qFormat/>
    <w:rsid w:val="004008C7"/>
    <w:pPr>
      <w:tabs>
        <w:tab w:val="left" w:pos="851"/>
      </w:tabs>
      <w:spacing w:before="240" w:after="120"/>
    </w:pPr>
    <w:rPr>
      <w:rFonts w:ascii="Arial" w:hAnsi="Arial" w:cs="Arial"/>
      <w:b/>
      <w:color w:val="000064"/>
      <w:sz w:val="28"/>
      <w:szCs w:val="28"/>
    </w:rPr>
  </w:style>
  <w:style w:type="character" w:customStyle="1" w:styleId="ATASubHead1Char">
    <w:name w:val="ATASubHead1 Char"/>
    <w:link w:val="ATASubHead1"/>
    <w:rsid w:val="004008C7"/>
    <w:rPr>
      <w:rFonts w:ascii="Arial" w:hAnsi="Arial" w:cs="Arial"/>
      <w:b/>
      <w:color w:val="000064"/>
      <w:sz w:val="28"/>
      <w:szCs w:val="28"/>
      <w:lang w:eastAsia="en-US"/>
    </w:rPr>
  </w:style>
  <w:style w:type="table" w:customStyle="1" w:styleId="LightList-Accent11">
    <w:name w:val="Light List - Accent 11"/>
    <w:basedOn w:val="TableNormal"/>
    <w:uiPriority w:val="61"/>
    <w:rsid w:val="004008C7"/>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yle61">
    <w:name w:val="style61"/>
    <w:basedOn w:val="DefaultParagraphFont"/>
    <w:rsid w:val="0004192B"/>
    <w:rPr>
      <w:i/>
      <w:iCs/>
      <w:color w:val="333333"/>
    </w:rPr>
  </w:style>
  <w:style w:type="character" w:styleId="CommentReference">
    <w:name w:val="annotation reference"/>
    <w:basedOn w:val="DefaultParagraphFont"/>
    <w:uiPriority w:val="99"/>
    <w:semiHidden/>
    <w:unhideWhenUsed/>
    <w:rsid w:val="000E408F"/>
    <w:rPr>
      <w:sz w:val="16"/>
      <w:szCs w:val="16"/>
    </w:rPr>
  </w:style>
  <w:style w:type="paragraph" w:styleId="CommentText">
    <w:name w:val="annotation text"/>
    <w:basedOn w:val="Normal"/>
    <w:link w:val="CommentTextChar"/>
    <w:uiPriority w:val="99"/>
    <w:semiHidden/>
    <w:unhideWhenUsed/>
    <w:rsid w:val="000E408F"/>
    <w:rPr>
      <w:sz w:val="20"/>
      <w:szCs w:val="20"/>
    </w:rPr>
  </w:style>
  <w:style w:type="character" w:customStyle="1" w:styleId="CommentTextChar">
    <w:name w:val="Comment Text Char"/>
    <w:basedOn w:val="DefaultParagraphFont"/>
    <w:link w:val="CommentText"/>
    <w:uiPriority w:val="99"/>
    <w:semiHidden/>
    <w:rsid w:val="000E408F"/>
    <w:rPr>
      <w:lang w:eastAsia="en-US"/>
    </w:rPr>
  </w:style>
  <w:style w:type="paragraph" w:styleId="CommentSubject">
    <w:name w:val="annotation subject"/>
    <w:basedOn w:val="CommentText"/>
    <w:next w:val="CommentText"/>
    <w:link w:val="CommentSubjectChar"/>
    <w:uiPriority w:val="99"/>
    <w:semiHidden/>
    <w:unhideWhenUsed/>
    <w:rsid w:val="000E408F"/>
    <w:rPr>
      <w:b/>
      <w:bCs/>
    </w:rPr>
  </w:style>
  <w:style w:type="character" w:customStyle="1" w:styleId="CommentSubjectChar">
    <w:name w:val="Comment Subject Char"/>
    <w:basedOn w:val="CommentTextChar"/>
    <w:link w:val="CommentSubject"/>
    <w:uiPriority w:val="99"/>
    <w:semiHidden/>
    <w:rsid w:val="000E408F"/>
    <w:rPr>
      <w:b/>
      <w:bCs/>
      <w:lang w:eastAsia="en-US"/>
    </w:rPr>
  </w:style>
  <w:style w:type="paragraph" w:styleId="Quote">
    <w:name w:val="Quote"/>
    <w:basedOn w:val="Normal"/>
    <w:next w:val="Normal"/>
    <w:link w:val="QuoteChar"/>
    <w:uiPriority w:val="29"/>
    <w:qFormat/>
    <w:rsid w:val="00A45F83"/>
    <w:pPr>
      <w:ind w:left="567" w:right="1230"/>
    </w:pPr>
    <w:rPr>
      <w:rFonts w:asciiTheme="minorHAnsi" w:eastAsiaTheme="minorHAnsi" w:hAnsiTheme="minorHAnsi" w:cstheme="minorBidi"/>
      <w:iCs/>
      <w:color w:val="000000" w:themeColor="text1"/>
      <w:sz w:val="21"/>
      <w:szCs w:val="21"/>
    </w:rPr>
  </w:style>
  <w:style w:type="character" w:customStyle="1" w:styleId="QuoteChar">
    <w:name w:val="Quote Char"/>
    <w:basedOn w:val="DefaultParagraphFont"/>
    <w:link w:val="Quote"/>
    <w:uiPriority w:val="29"/>
    <w:rsid w:val="00A45F83"/>
    <w:rPr>
      <w:rFonts w:asciiTheme="minorHAnsi" w:eastAsiaTheme="minorHAnsi" w:hAnsiTheme="minorHAnsi" w:cstheme="minorBidi"/>
      <w:iCs/>
      <w:color w:val="000000" w:themeColor="text1"/>
      <w:sz w:val="21"/>
      <w:szCs w:val="21"/>
      <w:lang w:eastAsia="en-US"/>
    </w:rPr>
  </w:style>
  <w:style w:type="character" w:customStyle="1" w:styleId="st">
    <w:name w:val="st"/>
    <w:basedOn w:val="DefaultParagraphFont"/>
    <w:rsid w:val="000A3F4E"/>
  </w:style>
  <w:style w:type="character" w:styleId="FollowedHyperlink">
    <w:name w:val="FollowedHyperlink"/>
    <w:basedOn w:val="DefaultParagraphFont"/>
    <w:uiPriority w:val="99"/>
    <w:semiHidden/>
    <w:unhideWhenUsed/>
    <w:rsid w:val="0062389F"/>
    <w:rPr>
      <w:color w:val="800080" w:themeColor="followedHyperlink"/>
      <w:u w:val="single"/>
    </w:rPr>
  </w:style>
  <w:style w:type="character" w:styleId="Emphasis">
    <w:name w:val="Emphasis"/>
    <w:basedOn w:val="DefaultParagraphFont"/>
    <w:qFormat/>
    <w:locked/>
    <w:rsid w:val="006467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35435">
      <w:bodyDiv w:val="1"/>
      <w:marLeft w:val="0"/>
      <w:marRight w:val="0"/>
      <w:marTop w:val="0"/>
      <w:marBottom w:val="0"/>
      <w:divBdr>
        <w:top w:val="none" w:sz="0" w:space="0" w:color="auto"/>
        <w:left w:val="none" w:sz="0" w:space="0" w:color="auto"/>
        <w:bottom w:val="none" w:sz="0" w:space="0" w:color="auto"/>
        <w:right w:val="none" w:sz="0" w:space="0" w:color="auto"/>
      </w:divBdr>
    </w:div>
    <w:div w:id="251940546">
      <w:bodyDiv w:val="1"/>
      <w:marLeft w:val="0"/>
      <w:marRight w:val="0"/>
      <w:marTop w:val="0"/>
      <w:marBottom w:val="0"/>
      <w:divBdr>
        <w:top w:val="none" w:sz="0" w:space="0" w:color="auto"/>
        <w:left w:val="none" w:sz="0" w:space="0" w:color="auto"/>
        <w:bottom w:val="none" w:sz="0" w:space="0" w:color="auto"/>
        <w:right w:val="none" w:sz="0" w:space="0" w:color="auto"/>
      </w:divBdr>
    </w:div>
    <w:div w:id="349381134">
      <w:bodyDiv w:val="1"/>
      <w:marLeft w:val="0"/>
      <w:marRight w:val="0"/>
      <w:marTop w:val="0"/>
      <w:marBottom w:val="0"/>
      <w:divBdr>
        <w:top w:val="none" w:sz="0" w:space="0" w:color="auto"/>
        <w:left w:val="none" w:sz="0" w:space="0" w:color="auto"/>
        <w:bottom w:val="none" w:sz="0" w:space="0" w:color="auto"/>
        <w:right w:val="none" w:sz="0" w:space="0" w:color="auto"/>
      </w:divBdr>
    </w:div>
    <w:div w:id="412705156">
      <w:bodyDiv w:val="1"/>
      <w:marLeft w:val="0"/>
      <w:marRight w:val="0"/>
      <w:marTop w:val="0"/>
      <w:marBottom w:val="0"/>
      <w:divBdr>
        <w:top w:val="none" w:sz="0" w:space="0" w:color="auto"/>
        <w:left w:val="none" w:sz="0" w:space="0" w:color="auto"/>
        <w:bottom w:val="none" w:sz="0" w:space="0" w:color="auto"/>
        <w:right w:val="none" w:sz="0" w:space="0" w:color="auto"/>
      </w:divBdr>
    </w:div>
    <w:div w:id="479808035">
      <w:bodyDiv w:val="1"/>
      <w:marLeft w:val="0"/>
      <w:marRight w:val="0"/>
      <w:marTop w:val="0"/>
      <w:marBottom w:val="0"/>
      <w:divBdr>
        <w:top w:val="none" w:sz="0" w:space="0" w:color="auto"/>
        <w:left w:val="none" w:sz="0" w:space="0" w:color="auto"/>
        <w:bottom w:val="none" w:sz="0" w:space="0" w:color="auto"/>
        <w:right w:val="none" w:sz="0" w:space="0" w:color="auto"/>
      </w:divBdr>
    </w:div>
    <w:div w:id="568002639">
      <w:bodyDiv w:val="1"/>
      <w:marLeft w:val="0"/>
      <w:marRight w:val="0"/>
      <w:marTop w:val="0"/>
      <w:marBottom w:val="0"/>
      <w:divBdr>
        <w:top w:val="none" w:sz="0" w:space="0" w:color="auto"/>
        <w:left w:val="none" w:sz="0" w:space="0" w:color="auto"/>
        <w:bottom w:val="none" w:sz="0" w:space="0" w:color="auto"/>
        <w:right w:val="none" w:sz="0" w:space="0" w:color="auto"/>
      </w:divBdr>
    </w:div>
    <w:div w:id="819469156">
      <w:bodyDiv w:val="1"/>
      <w:marLeft w:val="0"/>
      <w:marRight w:val="0"/>
      <w:marTop w:val="0"/>
      <w:marBottom w:val="0"/>
      <w:divBdr>
        <w:top w:val="none" w:sz="0" w:space="0" w:color="auto"/>
        <w:left w:val="none" w:sz="0" w:space="0" w:color="auto"/>
        <w:bottom w:val="none" w:sz="0" w:space="0" w:color="auto"/>
        <w:right w:val="none" w:sz="0" w:space="0" w:color="auto"/>
      </w:divBdr>
    </w:div>
    <w:div w:id="895626239">
      <w:bodyDiv w:val="1"/>
      <w:marLeft w:val="0"/>
      <w:marRight w:val="0"/>
      <w:marTop w:val="0"/>
      <w:marBottom w:val="0"/>
      <w:divBdr>
        <w:top w:val="none" w:sz="0" w:space="0" w:color="auto"/>
        <w:left w:val="none" w:sz="0" w:space="0" w:color="auto"/>
        <w:bottom w:val="none" w:sz="0" w:space="0" w:color="auto"/>
        <w:right w:val="none" w:sz="0" w:space="0" w:color="auto"/>
      </w:divBdr>
    </w:div>
    <w:div w:id="1033768610">
      <w:bodyDiv w:val="1"/>
      <w:marLeft w:val="0"/>
      <w:marRight w:val="0"/>
      <w:marTop w:val="0"/>
      <w:marBottom w:val="0"/>
      <w:divBdr>
        <w:top w:val="none" w:sz="0" w:space="0" w:color="auto"/>
        <w:left w:val="none" w:sz="0" w:space="0" w:color="auto"/>
        <w:bottom w:val="none" w:sz="0" w:space="0" w:color="auto"/>
        <w:right w:val="none" w:sz="0" w:space="0" w:color="auto"/>
      </w:divBdr>
    </w:div>
    <w:div w:id="1055546090">
      <w:bodyDiv w:val="1"/>
      <w:marLeft w:val="0"/>
      <w:marRight w:val="0"/>
      <w:marTop w:val="0"/>
      <w:marBottom w:val="0"/>
      <w:divBdr>
        <w:top w:val="none" w:sz="0" w:space="0" w:color="auto"/>
        <w:left w:val="none" w:sz="0" w:space="0" w:color="auto"/>
        <w:bottom w:val="none" w:sz="0" w:space="0" w:color="auto"/>
        <w:right w:val="none" w:sz="0" w:space="0" w:color="auto"/>
      </w:divBdr>
    </w:div>
    <w:div w:id="1087849413">
      <w:bodyDiv w:val="1"/>
      <w:marLeft w:val="0"/>
      <w:marRight w:val="0"/>
      <w:marTop w:val="0"/>
      <w:marBottom w:val="0"/>
      <w:divBdr>
        <w:top w:val="none" w:sz="0" w:space="0" w:color="auto"/>
        <w:left w:val="none" w:sz="0" w:space="0" w:color="auto"/>
        <w:bottom w:val="none" w:sz="0" w:space="0" w:color="auto"/>
        <w:right w:val="none" w:sz="0" w:space="0" w:color="auto"/>
      </w:divBdr>
    </w:div>
    <w:div w:id="1124082810">
      <w:marLeft w:val="0"/>
      <w:marRight w:val="0"/>
      <w:marTop w:val="0"/>
      <w:marBottom w:val="0"/>
      <w:divBdr>
        <w:top w:val="none" w:sz="0" w:space="0" w:color="auto"/>
        <w:left w:val="none" w:sz="0" w:space="0" w:color="auto"/>
        <w:bottom w:val="none" w:sz="0" w:space="0" w:color="auto"/>
        <w:right w:val="none" w:sz="0" w:space="0" w:color="auto"/>
      </w:divBdr>
    </w:div>
    <w:div w:id="1124082811">
      <w:marLeft w:val="0"/>
      <w:marRight w:val="0"/>
      <w:marTop w:val="0"/>
      <w:marBottom w:val="0"/>
      <w:divBdr>
        <w:top w:val="none" w:sz="0" w:space="0" w:color="auto"/>
        <w:left w:val="none" w:sz="0" w:space="0" w:color="auto"/>
        <w:bottom w:val="none" w:sz="0" w:space="0" w:color="auto"/>
        <w:right w:val="none" w:sz="0" w:space="0" w:color="auto"/>
      </w:divBdr>
    </w:div>
    <w:div w:id="1215896090">
      <w:bodyDiv w:val="1"/>
      <w:marLeft w:val="0"/>
      <w:marRight w:val="0"/>
      <w:marTop w:val="0"/>
      <w:marBottom w:val="0"/>
      <w:divBdr>
        <w:top w:val="none" w:sz="0" w:space="0" w:color="auto"/>
        <w:left w:val="none" w:sz="0" w:space="0" w:color="auto"/>
        <w:bottom w:val="none" w:sz="0" w:space="0" w:color="auto"/>
        <w:right w:val="none" w:sz="0" w:space="0" w:color="auto"/>
      </w:divBdr>
    </w:div>
    <w:div w:id="1301036078">
      <w:bodyDiv w:val="1"/>
      <w:marLeft w:val="0"/>
      <w:marRight w:val="0"/>
      <w:marTop w:val="0"/>
      <w:marBottom w:val="0"/>
      <w:divBdr>
        <w:top w:val="none" w:sz="0" w:space="0" w:color="auto"/>
        <w:left w:val="none" w:sz="0" w:space="0" w:color="auto"/>
        <w:bottom w:val="none" w:sz="0" w:space="0" w:color="auto"/>
        <w:right w:val="none" w:sz="0" w:space="0" w:color="auto"/>
      </w:divBdr>
    </w:div>
    <w:div w:id="1324091239">
      <w:bodyDiv w:val="1"/>
      <w:marLeft w:val="0"/>
      <w:marRight w:val="0"/>
      <w:marTop w:val="0"/>
      <w:marBottom w:val="0"/>
      <w:divBdr>
        <w:top w:val="none" w:sz="0" w:space="0" w:color="auto"/>
        <w:left w:val="none" w:sz="0" w:space="0" w:color="auto"/>
        <w:bottom w:val="none" w:sz="0" w:space="0" w:color="auto"/>
        <w:right w:val="none" w:sz="0" w:space="0" w:color="auto"/>
      </w:divBdr>
    </w:div>
    <w:div w:id="1523207717">
      <w:bodyDiv w:val="1"/>
      <w:marLeft w:val="0"/>
      <w:marRight w:val="0"/>
      <w:marTop w:val="0"/>
      <w:marBottom w:val="0"/>
      <w:divBdr>
        <w:top w:val="none" w:sz="0" w:space="0" w:color="auto"/>
        <w:left w:val="none" w:sz="0" w:space="0" w:color="auto"/>
        <w:bottom w:val="none" w:sz="0" w:space="0" w:color="auto"/>
        <w:right w:val="none" w:sz="0" w:space="0" w:color="auto"/>
      </w:divBdr>
    </w:div>
    <w:div w:id="1535532365">
      <w:bodyDiv w:val="1"/>
      <w:marLeft w:val="0"/>
      <w:marRight w:val="0"/>
      <w:marTop w:val="0"/>
      <w:marBottom w:val="0"/>
      <w:divBdr>
        <w:top w:val="none" w:sz="0" w:space="0" w:color="auto"/>
        <w:left w:val="none" w:sz="0" w:space="0" w:color="auto"/>
        <w:bottom w:val="none" w:sz="0" w:space="0" w:color="auto"/>
        <w:right w:val="none" w:sz="0" w:space="0" w:color="auto"/>
      </w:divBdr>
    </w:div>
    <w:div w:id="1538666175">
      <w:bodyDiv w:val="1"/>
      <w:marLeft w:val="0"/>
      <w:marRight w:val="0"/>
      <w:marTop w:val="0"/>
      <w:marBottom w:val="0"/>
      <w:divBdr>
        <w:top w:val="none" w:sz="0" w:space="0" w:color="auto"/>
        <w:left w:val="none" w:sz="0" w:space="0" w:color="auto"/>
        <w:bottom w:val="none" w:sz="0" w:space="0" w:color="auto"/>
        <w:right w:val="none" w:sz="0" w:space="0" w:color="auto"/>
      </w:divBdr>
    </w:div>
    <w:div w:id="1561860367">
      <w:bodyDiv w:val="1"/>
      <w:marLeft w:val="0"/>
      <w:marRight w:val="0"/>
      <w:marTop w:val="0"/>
      <w:marBottom w:val="0"/>
      <w:divBdr>
        <w:top w:val="none" w:sz="0" w:space="0" w:color="auto"/>
        <w:left w:val="none" w:sz="0" w:space="0" w:color="auto"/>
        <w:bottom w:val="none" w:sz="0" w:space="0" w:color="auto"/>
        <w:right w:val="none" w:sz="0" w:space="0" w:color="auto"/>
      </w:divBdr>
    </w:div>
    <w:div w:id="1691175791">
      <w:bodyDiv w:val="1"/>
      <w:marLeft w:val="0"/>
      <w:marRight w:val="0"/>
      <w:marTop w:val="0"/>
      <w:marBottom w:val="0"/>
      <w:divBdr>
        <w:top w:val="none" w:sz="0" w:space="0" w:color="auto"/>
        <w:left w:val="none" w:sz="0" w:space="0" w:color="auto"/>
        <w:bottom w:val="none" w:sz="0" w:space="0" w:color="auto"/>
        <w:right w:val="none" w:sz="0" w:space="0" w:color="auto"/>
      </w:divBdr>
    </w:div>
    <w:div w:id="1733774192">
      <w:bodyDiv w:val="1"/>
      <w:marLeft w:val="0"/>
      <w:marRight w:val="0"/>
      <w:marTop w:val="0"/>
      <w:marBottom w:val="0"/>
      <w:divBdr>
        <w:top w:val="none" w:sz="0" w:space="0" w:color="auto"/>
        <w:left w:val="none" w:sz="0" w:space="0" w:color="auto"/>
        <w:bottom w:val="none" w:sz="0" w:space="0" w:color="auto"/>
        <w:right w:val="none" w:sz="0" w:space="0" w:color="auto"/>
      </w:divBdr>
    </w:div>
    <w:div w:id="213000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uck.net.au/system/files/industry-resources/truck%20and%20dog_0.pdf"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truck.net.au/system/files/industry-resources/truck%20and%20dog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4FE40-48EB-4371-8410-1E50D8204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11</Pages>
  <Words>3184</Words>
  <Characters>17096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SUBMISSION PROPOSED HEAVY VEHICLE NATIONAL LAWS</vt:lpstr>
    </vt:vector>
  </TitlesOfParts>
  <Company>HP</Company>
  <LinksUpToDate>false</LinksUpToDate>
  <CharactersWithSpaces>20240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PROPOSED HEAVY VEHICLE NATIONAL LAWS</dc:title>
  <dc:creator>loydelld</dc:creator>
  <cp:lastModifiedBy>Ro Mueller</cp:lastModifiedBy>
  <cp:revision>80</cp:revision>
  <cp:lastPrinted>2014-11-06T01:44:00Z</cp:lastPrinted>
  <dcterms:created xsi:type="dcterms:W3CDTF">2014-11-05T00:22:00Z</dcterms:created>
  <dcterms:modified xsi:type="dcterms:W3CDTF">2014-11-06T01:44:00Z</dcterms:modified>
</cp:coreProperties>
</file>