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979"/>
      </w:tblGrid>
      <w:tr w:rsidR="00D735FF" w:rsidRPr="00540454" w:rsidTr="00605C2F">
        <w:trPr>
          <w:trHeight w:val="756"/>
        </w:trPr>
        <w:tc>
          <w:tcPr>
            <w:tcW w:w="2660" w:type="dxa"/>
            <w:vAlign w:val="center"/>
          </w:tcPr>
          <w:p w:rsidR="00D735FF" w:rsidRPr="00054F0E" w:rsidRDefault="00D735FF" w:rsidP="009D1601">
            <w:pPr>
              <w:pStyle w:val="Header"/>
              <w:rPr>
                <w:rFonts w:ascii="Arial" w:hAnsi="Arial" w:cs="Arial"/>
                <w:b/>
                <w:sz w:val="28"/>
                <w:szCs w:val="28"/>
              </w:rPr>
            </w:pPr>
            <w:r w:rsidRPr="00054F0E">
              <w:rPr>
                <w:rFonts w:ascii="Arial" w:hAnsi="Arial" w:cs="Arial"/>
                <w:b/>
                <w:sz w:val="28"/>
                <w:szCs w:val="28"/>
              </w:rPr>
              <w:t>Submission to:</w:t>
            </w:r>
          </w:p>
        </w:tc>
        <w:tc>
          <w:tcPr>
            <w:tcW w:w="6979" w:type="dxa"/>
            <w:vAlign w:val="center"/>
          </w:tcPr>
          <w:p w:rsidR="00D735FF" w:rsidRPr="00054F0E" w:rsidRDefault="00C87BB9" w:rsidP="009D1601">
            <w:pPr>
              <w:pStyle w:val="Header"/>
              <w:rPr>
                <w:rFonts w:ascii="Arial" w:hAnsi="Arial" w:cs="Arial"/>
                <w:sz w:val="28"/>
                <w:szCs w:val="28"/>
              </w:rPr>
            </w:pPr>
            <w:r>
              <w:rPr>
                <w:rFonts w:ascii="Arial" w:hAnsi="Arial" w:cs="Arial"/>
                <w:sz w:val="28"/>
                <w:szCs w:val="28"/>
              </w:rPr>
              <w:t>National Transport Commission</w:t>
            </w:r>
          </w:p>
        </w:tc>
      </w:tr>
      <w:tr w:rsidR="00D735FF" w:rsidRPr="00540454" w:rsidTr="00605C2F">
        <w:trPr>
          <w:trHeight w:val="756"/>
        </w:trPr>
        <w:tc>
          <w:tcPr>
            <w:tcW w:w="2660" w:type="dxa"/>
            <w:vAlign w:val="center"/>
          </w:tcPr>
          <w:p w:rsidR="00D735FF" w:rsidRPr="00054F0E" w:rsidRDefault="00D735FF" w:rsidP="009D1601">
            <w:pPr>
              <w:pStyle w:val="Header"/>
              <w:rPr>
                <w:rFonts w:ascii="Arial" w:hAnsi="Arial" w:cs="Arial"/>
                <w:b/>
                <w:sz w:val="28"/>
                <w:szCs w:val="28"/>
              </w:rPr>
            </w:pPr>
            <w:r w:rsidRPr="00054F0E">
              <w:rPr>
                <w:rFonts w:ascii="Arial" w:hAnsi="Arial" w:cs="Arial"/>
                <w:b/>
                <w:sz w:val="28"/>
                <w:szCs w:val="28"/>
              </w:rPr>
              <w:t>Title:</w:t>
            </w:r>
          </w:p>
        </w:tc>
        <w:tc>
          <w:tcPr>
            <w:tcW w:w="6979" w:type="dxa"/>
            <w:vAlign w:val="center"/>
          </w:tcPr>
          <w:p w:rsidR="00D735FF" w:rsidRPr="00054F0E" w:rsidRDefault="00B319BF" w:rsidP="00490970">
            <w:pPr>
              <w:pStyle w:val="Header"/>
              <w:rPr>
                <w:rFonts w:ascii="Arial" w:hAnsi="Arial" w:cs="Arial"/>
                <w:sz w:val="28"/>
                <w:szCs w:val="28"/>
              </w:rPr>
            </w:pPr>
            <w:r>
              <w:rPr>
                <w:rFonts w:ascii="Arial" w:hAnsi="Arial" w:cs="Arial"/>
                <w:sz w:val="28"/>
                <w:szCs w:val="28"/>
              </w:rPr>
              <w:t>Issues paper:</w:t>
            </w:r>
            <w:r w:rsidRPr="00C87BB9">
              <w:rPr>
                <w:rFonts w:ascii="Arial" w:hAnsi="Arial" w:cs="Arial"/>
                <w:sz w:val="28"/>
                <w:szCs w:val="28"/>
              </w:rPr>
              <w:t xml:space="preserve"> </w:t>
            </w:r>
            <w:r w:rsidR="00490970">
              <w:rPr>
                <w:rFonts w:ascii="Arial" w:hAnsi="Arial" w:cs="Arial"/>
                <w:sz w:val="28"/>
                <w:szCs w:val="28"/>
              </w:rPr>
              <w:t>Increasing v</w:t>
            </w:r>
            <w:r w:rsidR="00490970" w:rsidRPr="00490970">
              <w:rPr>
                <w:rFonts w:ascii="Arial" w:hAnsi="Arial" w:cs="Arial"/>
                <w:sz w:val="28"/>
                <w:szCs w:val="28"/>
              </w:rPr>
              <w:t xml:space="preserve">olumetric </w:t>
            </w:r>
            <w:r w:rsidR="00490970">
              <w:rPr>
                <w:rFonts w:ascii="Arial" w:hAnsi="Arial" w:cs="Arial"/>
                <w:sz w:val="28"/>
                <w:szCs w:val="28"/>
              </w:rPr>
              <w:t>l</w:t>
            </w:r>
            <w:r w:rsidR="00490970" w:rsidRPr="00490970">
              <w:rPr>
                <w:rFonts w:ascii="Arial" w:hAnsi="Arial" w:cs="Arial"/>
                <w:sz w:val="28"/>
                <w:szCs w:val="28"/>
              </w:rPr>
              <w:t>oad</w:t>
            </w:r>
            <w:r w:rsidR="00490970">
              <w:rPr>
                <w:rFonts w:ascii="Arial" w:hAnsi="Arial" w:cs="Arial"/>
                <w:sz w:val="28"/>
                <w:szCs w:val="28"/>
              </w:rPr>
              <w:t xml:space="preserve"> capacity where mass is not the constraint</w:t>
            </w:r>
          </w:p>
        </w:tc>
      </w:tr>
      <w:tr w:rsidR="00D735FF" w:rsidRPr="00540454" w:rsidTr="00605C2F">
        <w:trPr>
          <w:trHeight w:val="756"/>
        </w:trPr>
        <w:tc>
          <w:tcPr>
            <w:tcW w:w="2660" w:type="dxa"/>
            <w:vAlign w:val="center"/>
          </w:tcPr>
          <w:p w:rsidR="00D735FF" w:rsidRPr="00054F0E" w:rsidRDefault="00D735FF" w:rsidP="009D1601">
            <w:pPr>
              <w:pStyle w:val="Header"/>
              <w:rPr>
                <w:rFonts w:ascii="Arial" w:hAnsi="Arial" w:cs="Arial"/>
                <w:b/>
                <w:sz w:val="28"/>
                <w:szCs w:val="28"/>
              </w:rPr>
            </w:pPr>
            <w:r w:rsidRPr="00054F0E">
              <w:rPr>
                <w:rFonts w:ascii="Arial" w:hAnsi="Arial" w:cs="Arial"/>
                <w:b/>
                <w:sz w:val="28"/>
                <w:szCs w:val="28"/>
              </w:rPr>
              <w:t>Date:</w:t>
            </w:r>
          </w:p>
        </w:tc>
        <w:tc>
          <w:tcPr>
            <w:tcW w:w="6979" w:type="dxa"/>
            <w:vAlign w:val="center"/>
          </w:tcPr>
          <w:p w:rsidR="00D735FF" w:rsidRPr="00054F0E" w:rsidRDefault="00490970" w:rsidP="00C87BB9">
            <w:pPr>
              <w:pStyle w:val="Header"/>
              <w:rPr>
                <w:rFonts w:ascii="Arial" w:hAnsi="Arial" w:cs="Arial"/>
                <w:sz w:val="28"/>
                <w:szCs w:val="28"/>
              </w:rPr>
            </w:pPr>
            <w:r>
              <w:rPr>
                <w:rFonts w:ascii="Arial" w:hAnsi="Arial" w:cs="Arial"/>
                <w:sz w:val="28"/>
                <w:szCs w:val="28"/>
              </w:rPr>
              <w:t>26 September</w:t>
            </w:r>
            <w:r w:rsidR="00C87BB9">
              <w:rPr>
                <w:rFonts w:ascii="Arial" w:hAnsi="Arial" w:cs="Arial"/>
                <w:sz w:val="28"/>
                <w:szCs w:val="28"/>
              </w:rPr>
              <w:t xml:space="preserve">, </w:t>
            </w:r>
            <w:r w:rsidR="00054F0E" w:rsidRPr="00054F0E">
              <w:rPr>
                <w:rFonts w:ascii="Arial" w:hAnsi="Arial" w:cs="Arial"/>
                <w:sz w:val="28"/>
                <w:szCs w:val="28"/>
              </w:rPr>
              <w:t>2016</w:t>
            </w:r>
          </w:p>
        </w:tc>
      </w:tr>
    </w:tbl>
    <w:p w:rsidR="00D735FF" w:rsidRPr="00540454" w:rsidRDefault="00D735FF" w:rsidP="009D1601">
      <w:pPr>
        <w:pStyle w:val="Header"/>
        <w:rPr>
          <w:rFonts w:ascii="Arial" w:hAnsi="Arial" w:cs="Arial"/>
          <w:sz w:val="32"/>
        </w:rPr>
      </w:pPr>
    </w:p>
    <w:p w:rsidR="00D735FF" w:rsidRPr="00540454" w:rsidRDefault="00D735FF" w:rsidP="009D1601">
      <w:pPr>
        <w:pStyle w:val="Header"/>
        <w:rPr>
          <w:rFonts w:ascii="Arial" w:hAnsi="Arial" w:cs="Arial"/>
          <w:sz w:val="32"/>
        </w:rPr>
      </w:pPr>
    </w:p>
    <w:p w:rsidR="00576ED0" w:rsidRPr="00540454" w:rsidRDefault="00576ED0" w:rsidP="009D1601">
      <w:pPr>
        <w:pStyle w:val="Header"/>
        <w:rPr>
          <w:rFonts w:ascii="Arial" w:hAnsi="Arial" w:cs="Arial"/>
          <w:sz w:val="32"/>
        </w:rPr>
      </w:pPr>
    </w:p>
    <w:p w:rsidR="00576ED0" w:rsidRPr="00540454" w:rsidRDefault="00576ED0" w:rsidP="009D1601">
      <w:pPr>
        <w:rPr>
          <w:rFonts w:ascii="Arial" w:hAnsi="Arial" w:cs="Arial"/>
        </w:rPr>
        <w:sectPr w:rsidR="00576ED0" w:rsidRPr="00540454" w:rsidSect="005F5ACC">
          <w:headerReference w:type="even" r:id="rId8"/>
          <w:headerReference w:type="default" r:id="rId9"/>
          <w:footerReference w:type="default" r:id="rId10"/>
          <w:headerReference w:type="first" r:id="rId11"/>
          <w:footerReference w:type="first" r:id="rId12"/>
          <w:pgSz w:w="11906" w:h="16838"/>
          <w:pgMar w:top="5103" w:right="1133" w:bottom="1418" w:left="1134" w:header="851" w:footer="651" w:gutter="0"/>
          <w:cols w:space="708"/>
          <w:docGrid w:linePitch="360"/>
        </w:sectPr>
      </w:pPr>
    </w:p>
    <w:p w:rsidR="00576ED0" w:rsidRPr="00540454" w:rsidRDefault="00576ED0"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540454" w:rsidRDefault="0035493A" w:rsidP="009D1601">
      <w:pPr>
        <w:rPr>
          <w:rFonts w:ascii="Arial" w:hAnsi="Arial" w:cs="Arial"/>
        </w:rPr>
      </w:pPr>
    </w:p>
    <w:p w:rsidR="0035493A" w:rsidRPr="00054F0E" w:rsidRDefault="003B74E4" w:rsidP="009D1601">
      <w:pPr>
        <w:rPr>
          <w:rFonts w:ascii="Arial" w:hAnsi="Arial" w:cs="Arial"/>
          <w:b/>
          <w:color w:val="000064"/>
          <w:sz w:val="28"/>
          <w:szCs w:val="28"/>
        </w:rPr>
      </w:pPr>
      <w:r w:rsidRPr="00054F0E">
        <w:rPr>
          <w:rFonts w:ascii="Arial" w:hAnsi="Arial" w:cs="Arial"/>
          <w:b/>
          <w:color w:val="000064"/>
          <w:sz w:val="28"/>
          <w:szCs w:val="28"/>
        </w:rPr>
        <w:t>Contents</w:t>
      </w:r>
    </w:p>
    <w:p w:rsidR="00576ED0" w:rsidRPr="00540454" w:rsidRDefault="00576ED0" w:rsidP="009D1601">
      <w:pPr>
        <w:rPr>
          <w:rFonts w:ascii="Arial" w:hAnsi="Arial" w:cs="Arial"/>
        </w:rPr>
      </w:pPr>
    </w:p>
    <w:p w:rsidR="009B0520" w:rsidRPr="00540454" w:rsidRDefault="009B0520" w:rsidP="009D1601">
      <w:pPr>
        <w:rPr>
          <w:rFonts w:ascii="Arial" w:hAnsi="Arial" w:cs="Arial"/>
        </w:rPr>
      </w:pPr>
    </w:p>
    <w:p w:rsidR="00AF214A" w:rsidRDefault="003B2024">
      <w:pPr>
        <w:pStyle w:val="TOC1"/>
        <w:tabs>
          <w:tab w:val="left" w:pos="442"/>
        </w:tabs>
        <w:rPr>
          <w:rFonts w:asciiTheme="minorHAnsi" w:eastAsiaTheme="minorEastAsia" w:hAnsiTheme="minorHAnsi" w:cstheme="minorBidi"/>
          <w:b w:val="0"/>
          <w:sz w:val="22"/>
          <w:szCs w:val="22"/>
          <w:lang w:eastAsia="en-AU"/>
        </w:rPr>
      </w:pPr>
      <w:r w:rsidRPr="00054F0E">
        <w:rPr>
          <w:b w:val="0"/>
          <w:sz w:val="22"/>
          <w:szCs w:val="22"/>
        </w:rPr>
        <w:fldChar w:fldCharType="begin"/>
      </w:r>
      <w:r w:rsidR="00BD49FC" w:rsidRPr="00054F0E">
        <w:rPr>
          <w:b w:val="0"/>
          <w:sz w:val="22"/>
          <w:szCs w:val="22"/>
        </w:rPr>
        <w:instrText xml:space="preserve"> TOC \o "1-2" \t "ATA Heading 2,2" </w:instrText>
      </w:r>
      <w:r w:rsidRPr="00054F0E">
        <w:rPr>
          <w:b w:val="0"/>
          <w:sz w:val="22"/>
          <w:szCs w:val="22"/>
        </w:rPr>
        <w:fldChar w:fldCharType="separate"/>
      </w:r>
      <w:r w:rsidR="00AF214A" w:rsidRPr="00E30EA0">
        <w:rPr>
          <w:rFonts w:cs="Times New Roman"/>
        </w:rPr>
        <w:t>1.</w:t>
      </w:r>
      <w:r w:rsidR="00AF214A">
        <w:rPr>
          <w:rFonts w:asciiTheme="minorHAnsi" w:eastAsiaTheme="minorEastAsia" w:hAnsiTheme="minorHAnsi" w:cstheme="minorBidi"/>
          <w:b w:val="0"/>
          <w:sz w:val="22"/>
          <w:szCs w:val="22"/>
          <w:lang w:eastAsia="en-AU"/>
        </w:rPr>
        <w:tab/>
      </w:r>
      <w:r w:rsidR="00AF214A">
        <w:t>About the Australian Trucking Association</w:t>
      </w:r>
      <w:r w:rsidR="00AF214A">
        <w:tab/>
      </w:r>
      <w:r w:rsidR="00AF214A">
        <w:fldChar w:fldCharType="begin"/>
      </w:r>
      <w:r w:rsidR="00AF214A">
        <w:instrText xml:space="preserve"> PAGEREF _Toc462652424 \h </w:instrText>
      </w:r>
      <w:r w:rsidR="00AF214A">
        <w:fldChar w:fldCharType="separate"/>
      </w:r>
      <w:r w:rsidR="00AF214A">
        <w:t>3</w:t>
      </w:r>
      <w:r w:rsidR="00AF214A">
        <w:fldChar w:fldCharType="end"/>
      </w:r>
    </w:p>
    <w:p w:rsidR="00AF214A" w:rsidRDefault="00AF214A">
      <w:pPr>
        <w:pStyle w:val="TOC1"/>
        <w:tabs>
          <w:tab w:val="left" w:pos="442"/>
        </w:tabs>
        <w:rPr>
          <w:rFonts w:asciiTheme="minorHAnsi" w:eastAsiaTheme="minorEastAsia" w:hAnsiTheme="minorHAnsi" w:cstheme="minorBidi"/>
          <w:b w:val="0"/>
          <w:sz w:val="22"/>
          <w:szCs w:val="22"/>
          <w:lang w:eastAsia="en-AU"/>
        </w:rPr>
      </w:pPr>
      <w:r w:rsidRPr="00E30EA0">
        <w:rPr>
          <w:rFonts w:cs="Times New Roman"/>
        </w:rPr>
        <w:t>2.</w:t>
      </w:r>
      <w:r>
        <w:rPr>
          <w:rFonts w:asciiTheme="minorHAnsi" w:eastAsiaTheme="minorEastAsia" w:hAnsiTheme="minorHAnsi" w:cstheme="minorBidi"/>
          <w:b w:val="0"/>
          <w:sz w:val="22"/>
          <w:szCs w:val="22"/>
          <w:lang w:eastAsia="en-AU"/>
        </w:rPr>
        <w:tab/>
      </w:r>
      <w:r>
        <w:t>Summary of recommendations</w:t>
      </w:r>
      <w:r>
        <w:tab/>
      </w:r>
      <w:r>
        <w:fldChar w:fldCharType="begin"/>
      </w:r>
      <w:r>
        <w:instrText xml:space="preserve"> PAGEREF _Toc462652425 \h </w:instrText>
      </w:r>
      <w:r>
        <w:fldChar w:fldCharType="separate"/>
      </w:r>
      <w:r>
        <w:t>3</w:t>
      </w:r>
      <w:r>
        <w:fldChar w:fldCharType="end"/>
      </w:r>
    </w:p>
    <w:p w:rsidR="00AF214A" w:rsidRDefault="00AF214A">
      <w:pPr>
        <w:pStyle w:val="TOC1"/>
        <w:tabs>
          <w:tab w:val="left" w:pos="442"/>
        </w:tabs>
        <w:rPr>
          <w:rFonts w:asciiTheme="minorHAnsi" w:eastAsiaTheme="minorEastAsia" w:hAnsiTheme="minorHAnsi" w:cstheme="minorBidi"/>
          <w:b w:val="0"/>
          <w:sz w:val="22"/>
          <w:szCs w:val="22"/>
          <w:lang w:eastAsia="en-AU"/>
        </w:rPr>
      </w:pPr>
      <w:r w:rsidRPr="00E30EA0">
        <w:rPr>
          <w:rFonts w:cs="Times New Roman"/>
        </w:rPr>
        <w:t>3.</w:t>
      </w:r>
      <w:r>
        <w:rPr>
          <w:rFonts w:asciiTheme="minorHAnsi" w:eastAsiaTheme="minorEastAsia" w:hAnsiTheme="minorHAnsi" w:cstheme="minorBidi"/>
          <w:b w:val="0"/>
          <w:sz w:val="22"/>
          <w:szCs w:val="22"/>
          <w:lang w:eastAsia="en-AU"/>
        </w:rPr>
        <w:tab/>
      </w:r>
      <w:r>
        <w:t>Introduction</w:t>
      </w:r>
      <w:r>
        <w:tab/>
      </w:r>
      <w:r>
        <w:fldChar w:fldCharType="begin"/>
      </w:r>
      <w:r>
        <w:instrText xml:space="preserve"> PAGEREF _Toc462652426 \h </w:instrText>
      </w:r>
      <w:r>
        <w:fldChar w:fldCharType="separate"/>
      </w:r>
      <w:r>
        <w:t>3</w:t>
      </w:r>
      <w:r>
        <w:fldChar w:fldCharType="end"/>
      </w:r>
    </w:p>
    <w:p w:rsidR="00AF214A" w:rsidRDefault="00AF214A">
      <w:pPr>
        <w:pStyle w:val="TOC1"/>
        <w:tabs>
          <w:tab w:val="left" w:pos="442"/>
        </w:tabs>
        <w:rPr>
          <w:rFonts w:asciiTheme="minorHAnsi" w:eastAsiaTheme="minorEastAsia" w:hAnsiTheme="minorHAnsi" w:cstheme="minorBidi"/>
          <w:b w:val="0"/>
          <w:sz w:val="22"/>
          <w:szCs w:val="22"/>
          <w:lang w:eastAsia="en-AU"/>
        </w:rPr>
      </w:pPr>
      <w:r w:rsidRPr="00E30EA0">
        <w:rPr>
          <w:rFonts w:cs="Times New Roman"/>
        </w:rPr>
        <w:t>4.</w:t>
      </w:r>
      <w:r>
        <w:rPr>
          <w:rFonts w:asciiTheme="minorHAnsi" w:eastAsiaTheme="minorEastAsia" w:hAnsiTheme="minorHAnsi" w:cstheme="minorBidi"/>
          <w:b w:val="0"/>
          <w:sz w:val="22"/>
          <w:szCs w:val="22"/>
          <w:lang w:eastAsia="en-AU"/>
        </w:rPr>
        <w:tab/>
      </w:r>
      <w:r>
        <w:t>Industry responses to increases in volumetric load capacity</w:t>
      </w:r>
      <w:r>
        <w:tab/>
      </w:r>
      <w:r>
        <w:fldChar w:fldCharType="begin"/>
      </w:r>
      <w:r>
        <w:instrText xml:space="preserve"> PAGEREF _Toc462652427 \h </w:instrText>
      </w:r>
      <w:r>
        <w:fldChar w:fldCharType="separate"/>
      </w:r>
      <w:r>
        <w:t>4</w:t>
      </w:r>
      <w:r>
        <w:fldChar w:fldCharType="end"/>
      </w:r>
    </w:p>
    <w:p w:rsidR="00AF214A" w:rsidRDefault="00AF214A">
      <w:pPr>
        <w:pStyle w:val="TOC1"/>
        <w:tabs>
          <w:tab w:val="left" w:pos="442"/>
        </w:tabs>
        <w:rPr>
          <w:rFonts w:asciiTheme="minorHAnsi" w:eastAsiaTheme="minorEastAsia" w:hAnsiTheme="minorHAnsi" w:cstheme="minorBidi"/>
          <w:b w:val="0"/>
          <w:sz w:val="22"/>
          <w:szCs w:val="22"/>
          <w:lang w:eastAsia="en-AU"/>
        </w:rPr>
      </w:pPr>
      <w:r w:rsidRPr="00E30EA0">
        <w:rPr>
          <w:rFonts w:cs="Times New Roman"/>
        </w:rPr>
        <w:t>5.</w:t>
      </w:r>
      <w:r>
        <w:rPr>
          <w:rFonts w:asciiTheme="minorHAnsi" w:eastAsiaTheme="minorEastAsia" w:hAnsiTheme="minorHAnsi" w:cstheme="minorBidi"/>
          <w:b w:val="0"/>
          <w:sz w:val="22"/>
          <w:szCs w:val="22"/>
          <w:lang w:eastAsia="en-AU"/>
        </w:rPr>
        <w:tab/>
      </w:r>
      <w:r>
        <w:t>Increases in length</w:t>
      </w:r>
      <w:r>
        <w:tab/>
      </w:r>
      <w:r>
        <w:fldChar w:fldCharType="begin"/>
      </w:r>
      <w:r>
        <w:instrText xml:space="preserve"> PAGEREF _Toc462652428 \h </w:instrText>
      </w:r>
      <w:r>
        <w:fldChar w:fldCharType="separate"/>
      </w:r>
      <w:r>
        <w:t>6</w:t>
      </w:r>
      <w:r>
        <w:fldChar w:fldCharType="end"/>
      </w:r>
    </w:p>
    <w:p w:rsidR="00AF214A" w:rsidRDefault="00AF214A">
      <w:pPr>
        <w:pStyle w:val="TOC1"/>
        <w:tabs>
          <w:tab w:val="left" w:pos="442"/>
        </w:tabs>
        <w:rPr>
          <w:rFonts w:asciiTheme="minorHAnsi" w:eastAsiaTheme="minorEastAsia" w:hAnsiTheme="minorHAnsi" w:cstheme="minorBidi"/>
          <w:b w:val="0"/>
          <w:sz w:val="22"/>
          <w:szCs w:val="22"/>
          <w:lang w:eastAsia="en-AU"/>
        </w:rPr>
      </w:pPr>
      <w:r w:rsidRPr="00E30EA0">
        <w:rPr>
          <w:rFonts w:cs="Times New Roman"/>
        </w:rPr>
        <w:t>6.</w:t>
      </w:r>
      <w:r>
        <w:rPr>
          <w:rFonts w:asciiTheme="minorHAnsi" w:eastAsiaTheme="minorEastAsia" w:hAnsiTheme="minorHAnsi" w:cstheme="minorBidi"/>
          <w:b w:val="0"/>
          <w:sz w:val="22"/>
          <w:szCs w:val="22"/>
          <w:lang w:eastAsia="en-AU"/>
        </w:rPr>
        <w:tab/>
      </w:r>
      <w:r>
        <w:t>Increases in width</w:t>
      </w:r>
      <w:r>
        <w:tab/>
      </w:r>
      <w:r>
        <w:fldChar w:fldCharType="begin"/>
      </w:r>
      <w:r>
        <w:instrText xml:space="preserve"> PAGEREF _Toc462652429 \h </w:instrText>
      </w:r>
      <w:r>
        <w:fldChar w:fldCharType="separate"/>
      </w:r>
      <w:r>
        <w:t>6</w:t>
      </w:r>
      <w:r>
        <w:fldChar w:fldCharType="end"/>
      </w:r>
    </w:p>
    <w:p w:rsidR="00AF214A" w:rsidRDefault="00AF214A">
      <w:pPr>
        <w:pStyle w:val="TOC1"/>
        <w:tabs>
          <w:tab w:val="left" w:pos="442"/>
        </w:tabs>
        <w:rPr>
          <w:rFonts w:asciiTheme="minorHAnsi" w:eastAsiaTheme="minorEastAsia" w:hAnsiTheme="minorHAnsi" w:cstheme="minorBidi"/>
          <w:b w:val="0"/>
          <w:sz w:val="22"/>
          <w:szCs w:val="22"/>
          <w:lang w:eastAsia="en-AU"/>
        </w:rPr>
      </w:pPr>
      <w:r w:rsidRPr="00E30EA0">
        <w:rPr>
          <w:rFonts w:cs="Times New Roman"/>
        </w:rPr>
        <w:t>7.</w:t>
      </w:r>
      <w:r>
        <w:rPr>
          <w:rFonts w:asciiTheme="minorHAnsi" w:eastAsiaTheme="minorEastAsia" w:hAnsiTheme="minorHAnsi" w:cstheme="minorBidi"/>
          <w:b w:val="0"/>
          <w:sz w:val="22"/>
          <w:szCs w:val="22"/>
          <w:lang w:eastAsia="en-AU"/>
        </w:rPr>
        <w:tab/>
      </w:r>
      <w:r>
        <w:t>Increases in height</w:t>
      </w:r>
      <w:r>
        <w:tab/>
      </w:r>
      <w:r>
        <w:fldChar w:fldCharType="begin"/>
      </w:r>
      <w:r>
        <w:instrText xml:space="preserve"> PAGEREF _Toc462652430 \h </w:instrText>
      </w:r>
      <w:r>
        <w:fldChar w:fldCharType="separate"/>
      </w:r>
      <w:r>
        <w:t>7</w:t>
      </w:r>
      <w:r>
        <w:fldChar w:fldCharType="end"/>
      </w:r>
    </w:p>
    <w:p w:rsidR="00AF214A" w:rsidRDefault="00AF214A">
      <w:pPr>
        <w:pStyle w:val="TOC1"/>
        <w:tabs>
          <w:tab w:val="left" w:pos="442"/>
        </w:tabs>
        <w:rPr>
          <w:rFonts w:asciiTheme="minorHAnsi" w:eastAsiaTheme="minorEastAsia" w:hAnsiTheme="minorHAnsi" w:cstheme="minorBidi"/>
          <w:b w:val="0"/>
          <w:sz w:val="22"/>
          <w:szCs w:val="22"/>
          <w:lang w:eastAsia="en-AU"/>
        </w:rPr>
      </w:pPr>
      <w:r w:rsidRPr="00E30EA0">
        <w:rPr>
          <w:rFonts w:cs="Times New Roman"/>
        </w:rPr>
        <w:t>8.</w:t>
      </w:r>
      <w:r>
        <w:rPr>
          <w:rFonts w:asciiTheme="minorHAnsi" w:eastAsiaTheme="minorEastAsia" w:hAnsiTheme="minorHAnsi" w:cstheme="minorBidi"/>
          <w:b w:val="0"/>
          <w:sz w:val="22"/>
          <w:szCs w:val="22"/>
          <w:lang w:eastAsia="en-AU"/>
        </w:rPr>
        <w:tab/>
      </w:r>
      <w:r>
        <w:t>Increasing freight vehicle productivity</w:t>
      </w:r>
      <w:r>
        <w:tab/>
      </w:r>
      <w:r>
        <w:fldChar w:fldCharType="begin"/>
      </w:r>
      <w:r>
        <w:instrText xml:space="preserve"> PAGEREF _Toc462652431 \h </w:instrText>
      </w:r>
      <w:r>
        <w:fldChar w:fldCharType="separate"/>
      </w:r>
      <w:r>
        <w:t>7</w:t>
      </w:r>
      <w:r>
        <w:fldChar w:fldCharType="end"/>
      </w:r>
    </w:p>
    <w:p w:rsidR="00241C15" w:rsidRPr="006E05F0" w:rsidRDefault="003B2024" w:rsidP="009D1601">
      <w:pPr>
        <w:tabs>
          <w:tab w:val="right" w:leader="dot" w:pos="9645"/>
        </w:tabs>
        <w:rPr>
          <w:rFonts w:ascii="Arial" w:hAnsi="Arial" w:cs="Arial"/>
        </w:rPr>
      </w:pPr>
      <w:r w:rsidRPr="00054F0E">
        <w:rPr>
          <w:rFonts w:ascii="Arial" w:hAnsi="Arial" w:cs="Arial"/>
          <w:noProof/>
        </w:rPr>
        <w:fldChar w:fldCharType="end"/>
      </w:r>
    </w:p>
    <w:p w:rsidR="00576ED0" w:rsidRPr="006E05F0" w:rsidRDefault="00576ED0" w:rsidP="009D1601">
      <w:pPr>
        <w:rPr>
          <w:rFonts w:ascii="Arial" w:hAnsi="Arial" w:cs="Arial"/>
        </w:rPr>
      </w:pPr>
      <w:r w:rsidRPr="006E05F0">
        <w:rPr>
          <w:rFonts w:ascii="Arial" w:hAnsi="Arial" w:cs="Arial"/>
        </w:rPr>
        <w:br w:type="page"/>
      </w:r>
    </w:p>
    <w:p w:rsidR="006233B3" w:rsidRPr="00054F0E" w:rsidRDefault="00054F0E" w:rsidP="009D1601">
      <w:pPr>
        <w:pStyle w:val="Heading1"/>
        <w:rPr>
          <w:sz w:val="24"/>
          <w:szCs w:val="24"/>
        </w:rPr>
      </w:pPr>
      <w:bookmarkStart w:id="0" w:name="_Toc462652424"/>
      <w:r>
        <w:rPr>
          <w:sz w:val="24"/>
          <w:szCs w:val="24"/>
        </w:rPr>
        <w:lastRenderedPageBreak/>
        <w:t xml:space="preserve">About the </w:t>
      </w:r>
      <w:r w:rsidR="006233B3" w:rsidRPr="00054F0E">
        <w:rPr>
          <w:sz w:val="24"/>
          <w:szCs w:val="24"/>
        </w:rPr>
        <w:t>Australian Trucking Association</w:t>
      </w:r>
      <w:bookmarkEnd w:id="0"/>
    </w:p>
    <w:p w:rsidR="006233B3" w:rsidRPr="00540454" w:rsidRDefault="006233B3" w:rsidP="009D1601">
      <w:pPr>
        <w:pStyle w:val="BodyText2"/>
        <w:rPr>
          <w:b w:val="0"/>
          <w:szCs w:val="22"/>
        </w:rPr>
      </w:pPr>
    </w:p>
    <w:p w:rsidR="006233B3" w:rsidRPr="006220FC" w:rsidRDefault="006233B3" w:rsidP="00A77660">
      <w:pPr>
        <w:pStyle w:val="BodyText2"/>
        <w:rPr>
          <w:b w:val="0"/>
          <w:szCs w:val="22"/>
        </w:rPr>
      </w:pPr>
      <w:r w:rsidRPr="006220FC">
        <w:rPr>
          <w:rFonts w:ascii="Calibri" w:eastAsia="Calibri" w:hAnsi="Calibri" w:cs="Times New Roman"/>
          <w:b w:val="0"/>
          <w:bCs w:val="0"/>
          <w:szCs w:val="22"/>
        </w:rPr>
        <w:t>The ATA is the peak body represent</w:t>
      </w:r>
      <w:r w:rsidR="00324142" w:rsidRPr="006220FC">
        <w:rPr>
          <w:rFonts w:ascii="Calibri" w:eastAsia="Calibri" w:hAnsi="Calibri" w:cs="Times New Roman"/>
          <w:b w:val="0"/>
          <w:bCs w:val="0"/>
          <w:szCs w:val="22"/>
        </w:rPr>
        <w:t>ing</w:t>
      </w:r>
      <w:r w:rsidRPr="006220FC">
        <w:rPr>
          <w:rFonts w:ascii="Calibri" w:eastAsia="Calibri" w:hAnsi="Calibri" w:cs="Times New Roman"/>
          <w:b w:val="0"/>
          <w:bCs w:val="0"/>
          <w:szCs w:val="22"/>
        </w:rPr>
        <w:t xml:space="preserve"> the </w:t>
      </w:r>
      <w:r w:rsidR="00324142" w:rsidRPr="006220FC">
        <w:rPr>
          <w:rFonts w:ascii="Calibri" w:eastAsia="Calibri" w:hAnsi="Calibri" w:cs="Times New Roman"/>
          <w:b w:val="0"/>
          <w:bCs w:val="0"/>
          <w:szCs w:val="22"/>
        </w:rPr>
        <w:t xml:space="preserve">Australian </w:t>
      </w:r>
      <w:r w:rsidRPr="006220FC">
        <w:rPr>
          <w:rFonts w:ascii="Calibri" w:eastAsia="Calibri" w:hAnsi="Calibri" w:cs="Times New Roman"/>
          <w:b w:val="0"/>
          <w:bCs w:val="0"/>
          <w:szCs w:val="22"/>
        </w:rPr>
        <w:t>trucking industry. Its members include state and sector-based trucking associations, some of the nation’s largest transport companies, and businesses with leading expertise in truck technology.</w:t>
      </w:r>
    </w:p>
    <w:p w:rsidR="00054F0E" w:rsidRDefault="00054F0E" w:rsidP="00054F0E"/>
    <w:p w:rsidR="00576633" w:rsidRPr="00054F0E" w:rsidRDefault="00576633" w:rsidP="00054F0E"/>
    <w:p w:rsidR="00A023EA" w:rsidRPr="00054F0E" w:rsidRDefault="006233B3" w:rsidP="009D1601">
      <w:pPr>
        <w:pStyle w:val="Heading1"/>
        <w:rPr>
          <w:sz w:val="24"/>
          <w:szCs w:val="24"/>
        </w:rPr>
      </w:pPr>
      <w:bookmarkStart w:id="1" w:name="_Toc462652425"/>
      <w:r w:rsidRPr="00054F0E">
        <w:rPr>
          <w:sz w:val="24"/>
          <w:szCs w:val="24"/>
        </w:rPr>
        <w:t>Summary of r</w:t>
      </w:r>
      <w:r w:rsidR="00A023EA" w:rsidRPr="00054F0E">
        <w:rPr>
          <w:sz w:val="24"/>
          <w:szCs w:val="24"/>
        </w:rPr>
        <w:t>ecommendation</w:t>
      </w:r>
      <w:r w:rsidR="00CB73A3" w:rsidRPr="00054F0E">
        <w:rPr>
          <w:sz w:val="24"/>
          <w:szCs w:val="24"/>
        </w:rPr>
        <w:t>s</w:t>
      </w:r>
      <w:bookmarkEnd w:id="1"/>
    </w:p>
    <w:p w:rsidR="00F92938" w:rsidRDefault="00F92938" w:rsidP="009D1601">
      <w:pPr>
        <w:rPr>
          <w:rFonts w:ascii="Arial" w:eastAsiaTheme="minorHAnsi" w:hAnsi="Arial" w:cs="Arial"/>
        </w:rPr>
      </w:pPr>
    </w:p>
    <w:p w:rsidR="00AD206B" w:rsidRPr="006220FC" w:rsidRDefault="00AD206B" w:rsidP="00AD206B">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 xml:space="preserve">Recommendation </w:t>
      </w:r>
      <w:r>
        <w:rPr>
          <w:rFonts w:ascii="Arial" w:hAnsi="Arial" w:cs="Arial"/>
          <w:b/>
          <w:iCs/>
          <w:sz w:val="22"/>
          <w:szCs w:val="22"/>
        </w:rPr>
        <w:t>1</w:t>
      </w:r>
    </w:p>
    <w:p w:rsidR="00AD206B" w:rsidRPr="006220FC" w:rsidRDefault="00AD206B" w:rsidP="00AD206B"/>
    <w:p w:rsidR="00AD206B" w:rsidRDefault="00AD206B" w:rsidP="00AD206B">
      <w:r w:rsidRPr="006220FC">
        <w:t xml:space="preserve">That the NTC consult states and territories with a view to establishing a </w:t>
      </w:r>
      <w:r w:rsidR="00B80447">
        <w:t xml:space="preserve">systematic </w:t>
      </w:r>
      <w:r w:rsidRPr="006220FC">
        <w:t xml:space="preserve">national approach to </w:t>
      </w:r>
      <w:r w:rsidR="00B80447">
        <w:t xml:space="preserve">general </w:t>
      </w:r>
      <w:r w:rsidR="005A67F9">
        <w:t xml:space="preserve">access for </w:t>
      </w:r>
      <w:r w:rsidR="00577BEF">
        <w:t xml:space="preserve">safe, larger </w:t>
      </w:r>
      <w:r w:rsidR="005A67F9">
        <w:t>prescriptive vehicle</w:t>
      </w:r>
      <w:r w:rsidR="00577BEF">
        <w:t xml:space="preserve"> combination</w:t>
      </w:r>
      <w:r w:rsidR="00B80447">
        <w:t>s</w:t>
      </w:r>
      <w:r w:rsidR="005A67F9">
        <w:t xml:space="preserve"> with improved volumetric load capacity</w:t>
      </w:r>
      <w:r w:rsidRPr="006220FC">
        <w:t>.</w:t>
      </w:r>
    </w:p>
    <w:p w:rsidR="00AD206B" w:rsidRDefault="00AD206B" w:rsidP="00970E10">
      <w:pPr>
        <w:pStyle w:val="NormalWeb"/>
        <w:spacing w:before="0" w:beforeAutospacing="0" w:after="0" w:afterAutospacing="0"/>
        <w:rPr>
          <w:rFonts w:ascii="Arial" w:hAnsi="Arial" w:cs="Arial"/>
          <w:b/>
          <w:iCs/>
          <w:sz w:val="22"/>
          <w:szCs w:val="22"/>
        </w:rPr>
      </w:pPr>
    </w:p>
    <w:p w:rsidR="00970E10" w:rsidRPr="006220FC" w:rsidRDefault="00970E10" w:rsidP="00970E10">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 xml:space="preserve">Recommendation </w:t>
      </w:r>
      <w:r w:rsidR="00AD206B">
        <w:rPr>
          <w:rFonts w:ascii="Arial" w:hAnsi="Arial" w:cs="Arial"/>
          <w:b/>
          <w:iCs/>
          <w:sz w:val="22"/>
          <w:szCs w:val="22"/>
        </w:rPr>
        <w:t>2</w:t>
      </w:r>
    </w:p>
    <w:p w:rsidR="00D1418F" w:rsidRDefault="00D1418F" w:rsidP="00D1418F"/>
    <w:p w:rsidR="00C32962" w:rsidRPr="006220FC" w:rsidRDefault="00C32962" w:rsidP="00D1418F">
      <w:r>
        <w:t xml:space="preserve">That NTC ensure that </w:t>
      </w:r>
      <w:r w:rsidR="0043779B">
        <w:t xml:space="preserve">any </w:t>
      </w:r>
      <w:r w:rsidR="00C6293B">
        <w:t>policy</w:t>
      </w:r>
      <w:r w:rsidR="003A33D0">
        <w:t xml:space="preserve"> </w:t>
      </w:r>
      <w:r w:rsidR="0043779B">
        <w:t>introduced</w:t>
      </w:r>
      <w:r w:rsidR="00C6293B">
        <w:t xml:space="preserve"> </w:t>
      </w:r>
      <w:r w:rsidR="0043779B">
        <w:t xml:space="preserve">by government </w:t>
      </w:r>
      <w:r>
        <w:t xml:space="preserve">to </w:t>
      </w:r>
      <w:r w:rsidR="003A33D0">
        <w:t>improve</w:t>
      </w:r>
      <w:r>
        <w:t xml:space="preserve"> volumetric load capacity for heavy vehicles </w:t>
      </w:r>
      <w:r w:rsidR="00C6293B">
        <w:t>avoid</w:t>
      </w:r>
      <w:r w:rsidR="00E9279A">
        <w:t>s</w:t>
      </w:r>
      <w:r w:rsidR="00C6293B">
        <w:t xml:space="preserve"> </w:t>
      </w:r>
      <w:r w:rsidR="00B80447">
        <w:t xml:space="preserve">the </w:t>
      </w:r>
      <w:r w:rsidR="009E68C8">
        <w:t>cost</w:t>
      </w:r>
      <w:r w:rsidR="00B80447">
        <w:t>, delay</w:t>
      </w:r>
      <w:r w:rsidR="009E68C8">
        <w:t xml:space="preserve"> and </w:t>
      </w:r>
      <w:r w:rsidR="00B80447">
        <w:t xml:space="preserve">access </w:t>
      </w:r>
      <w:r w:rsidR="0043779B">
        <w:t xml:space="preserve">barriers encountered </w:t>
      </w:r>
      <w:r w:rsidR="00B80447">
        <w:t>by customers of</w:t>
      </w:r>
      <w:r w:rsidR="0043779B">
        <w:t xml:space="preserve"> the </w:t>
      </w:r>
      <w:r>
        <w:t xml:space="preserve">Performance Based Standards scheme. </w:t>
      </w:r>
    </w:p>
    <w:p w:rsidR="006500E6" w:rsidRPr="006220FC" w:rsidRDefault="006500E6" w:rsidP="00970E10"/>
    <w:p w:rsidR="00432426" w:rsidRPr="006220FC" w:rsidRDefault="00432426" w:rsidP="00432426">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 xml:space="preserve">Recommendation </w:t>
      </w:r>
      <w:r w:rsidR="00AD206B">
        <w:rPr>
          <w:rFonts w:ascii="Arial" w:hAnsi="Arial" w:cs="Arial"/>
          <w:b/>
          <w:iCs/>
          <w:sz w:val="22"/>
          <w:szCs w:val="22"/>
        </w:rPr>
        <w:t>3</w:t>
      </w:r>
    </w:p>
    <w:p w:rsidR="00432426" w:rsidRPr="006220FC" w:rsidRDefault="00432426" w:rsidP="00432426"/>
    <w:p w:rsidR="0043779B" w:rsidRPr="0043779B" w:rsidRDefault="0043779B" w:rsidP="0043779B">
      <w:r w:rsidRPr="0043779B">
        <w:t xml:space="preserve">That </w:t>
      </w:r>
      <w:r>
        <w:t xml:space="preserve">prescriptive vehicle length </w:t>
      </w:r>
      <w:r w:rsidR="007E1D5C">
        <w:t xml:space="preserve">be increased </w:t>
      </w:r>
      <w:r>
        <w:t>for appropriate vehicle classes and types (</w:t>
      </w:r>
      <w:r w:rsidR="007E1D5C">
        <w:t xml:space="preserve">and </w:t>
      </w:r>
      <w:r>
        <w:t>excluding devices such as bull bars, marking plates, lift platforms, access steps etc.).</w:t>
      </w:r>
    </w:p>
    <w:p w:rsidR="00432426" w:rsidRDefault="00432426" w:rsidP="009D1601"/>
    <w:p w:rsidR="00AD206B" w:rsidRPr="006220FC" w:rsidRDefault="00AD206B" w:rsidP="00AD206B">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 xml:space="preserve">Recommendation </w:t>
      </w:r>
      <w:r>
        <w:rPr>
          <w:rFonts w:ascii="Arial" w:hAnsi="Arial" w:cs="Arial"/>
          <w:b/>
          <w:iCs/>
          <w:sz w:val="22"/>
          <w:szCs w:val="22"/>
        </w:rPr>
        <w:t>4</w:t>
      </w:r>
    </w:p>
    <w:p w:rsidR="00AD206B" w:rsidRPr="006220FC" w:rsidRDefault="00AD206B" w:rsidP="00AD206B"/>
    <w:p w:rsidR="00AD206B" w:rsidRPr="0043779B" w:rsidRDefault="00AD206B" w:rsidP="00AD206B">
      <w:r w:rsidRPr="0043779B">
        <w:t xml:space="preserve">That </w:t>
      </w:r>
      <w:r>
        <w:t>prescriptive vehicle width for appropriate vehicle classes and types be increased (excluding equipment such as buckles, chains, grab rails, side mirrors etc.).</w:t>
      </w:r>
    </w:p>
    <w:p w:rsidR="00AD206B" w:rsidRDefault="00AD206B" w:rsidP="007E1D5C">
      <w:pPr>
        <w:pStyle w:val="NormalWeb"/>
        <w:spacing w:before="0" w:beforeAutospacing="0" w:after="0" w:afterAutospacing="0"/>
        <w:rPr>
          <w:rFonts w:ascii="Arial" w:hAnsi="Arial" w:cs="Arial"/>
          <w:b/>
          <w:iCs/>
          <w:sz w:val="22"/>
          <w:szCs w:val="22"/>
        </w:rPr>
      </w:pPr>
    </w:p>
    <w:p w:rsidR="007E1D5C" w:rsidRPr="006220FC" w:rsidRDefault="007E1D5C" w:rsidP="007E1D5C">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 xml:space="preserve">Recommendation </w:t>
      </w:r>
      <w:r>
        <w:rPr>
          <w:rFonts w:ascii="Arial" w:hAnsi="Arial" w:cs="Arial"/>
          <w:b/>
          <w:iCs/>
          <w:sz w:val="22"/>
          <w:szCs w:val="22"/>
        </w:rPr>
        <w:t>5</w:t>
      </w:r>
    </w:p>
    <w:p w:rsidR="007E1D5C" w:rsidRDefault="007E1D5C" w:rsidP="007E1D5C"/>
    <w:p w:rsidR="00AD206B" w:rsidRPr="0043779B" w:rsidRDefault="00AD206B" w:rsidP="00AD206B">
      <w:r w:rsidRPr="0043779B">
        <w:t xml:space="preserve">That </w:t>
      </w:r>
      <w:r>
        <w:t>prescriptive vehicle height for appropriate vehicle classes and types be considered for vehicles on transport routes, regional centre routes and other suitable non-urban locations.</w:t>
      </w:r>
    </w:p>
    <w:p w:rsidR="007E1D5C" w:rsidRPr="0043779B" w:rsidRDefault="007E1D5C" w:rsidP="009D1601"/>
    <w:p w:rsidR="00432426" w:rsidRPr="0043779B" w:rsidRDefault="00432426" w:rsidP="009D1601"/>
    <w:p w:rsidR="006233B3" w:rsidRPr="00242D21" w:rsidRDefault="006233B3" w:rsidP="009D1601">
      <w:pPr>
        <w:pStyle w:val="Heading1"/>
        <w:rPr>
          <w:sz w:val="24"/>
          <w:szCs w:val="24"/>
        </w:rPr>
      </w:pPr>
      <w:bookmarkStart w:id="2" w:name="_Toc445303035"/>
      <w:bookmarkStart w:id="3" w:name="_Toc462652426"/>
      <w:r w:rsidRPr="00242D21">
        <w:rPr>
          <w:sz w:val="24"/>
          <w:szCs w:val="24"/>
        </w:rPr>
        <w:t>Introduction</w:t>
      </w:r>
      <w:bookmarkEnd w:id="2"/>
      <w:bookmarkEnd w:id="3"/>
    </w:p>
    <w:p w:rsidR="006233B3" w:rsidRDefault="006233B3" w:rsidP="009D1601">
      <w:pPr>
        <w:rPr>
          <w:rFonts w:ascii="Arial" w:eastAsia="Times New Roman" w:hAnsi="Arial" w:cs="Arial"/>
          <w:bCs/>
        </w:rPr>
      </w:pPr>
    </w:p>
    <w:p w:rsidR="001E023F" w:rsidRDefault="00CE530D" w:rsidP="001E023F">
      <w:pPr>
        <w:pStyle w:val="NoSpacing"/>
        <w:rPr>
          <w:rFonts w:eastAsia="Calibri"/>
          <w:color w:val="auto"/>
          <w:sz w:val="22"/>
          <w:szCs w:val="22"/>
          <w:lang w:eastAsia="en-US"/>
        </w:rPr>
      </w:pPr>
      <w:r w:rsidRPr="006220FC">
        <w:rPr>
          <w:rFonts w:eastAsia="Calibri"/>
          <w:color w:val="auto"/>
          <w:sz w:val="22"/>
          <w:szCs w:val="22"/>
          <w:lang w:eastAsia="en-US"/>
        </w:rPr>
        <w:t xml:space="preserve">The National Transport Commission (NTC) is </w:t>
      </w:r>
      <w:r w:rsidR="001E023F" w:rsidRPr="001E023F">
        <w:rPr>
          <w:rFonts w:eastAsia="Calibri"/>
          <w:color w:val="auto"/>
          <w:sz w:val="22"/>
          <w:szCs w:val="22"/>
          <w:lang w:eastAsia="en-US"/>
        </w:rPr>
        <w:t xml:space="preserve">seeking industry </w:t>
      </w:r>
      <w:r w:rsidR="007316FE">
        <w:rPr>
          <w:rFonts w:eastAsia="Calibri"/>
          <w:color w:val="auto"/>
          <w:sz w:val="22"/>
          <w:szCs w:val="22"/>
          <w:lang w:eastAsia="en-US"/>
        </w:rPr>
        <w:t>feedback</w:t>
      </w:r>
      <w:r w:rsidR="001E023F" w:rsidRPr="001E023F">
        <w:rPr>
          <w:rFonts w:eastAsia="Calibri"/>
          <w:color w:val="auto"/>
          <w:sz w:val="22"/>
          <w:szCs w:val="22"/>
          <w:lang w:eastAsia="en-US"/>
        </w:rPr>
        <w:t xml:space="preserve"> on </w:t>
      </w:r>
      <w:r w:rsidR="00AA089C">
        <w:rPr>
          <w:rFonts w:eastAsia="Calibri"/>
          <w:color w:val="auto"/>
          <w:sz w:val="22"/>
          <w:szCs w:val="22"/>
          <w:lang w:eastAsia="en-US"/>
        </w:rPr>
        <w:t>the</w:t>
      </w:r>
      <w:r w:rsidR="001E023F" w:rsidRPr="001E023F">
        <w:rPr>
          <w:rFonts w:eastAsia="Calibri"/>
          <w:color w:val="auto"/>
          <w:sz w:val="22"/>
          <w:szCs w:val="22"/>
          <w:lang w:eastAsia="en-US"/>
        </w:rPr>
        <w:t xml:space="preserve"> </w:t>
      </w:r>
      <w:r w:rsidR="001E023F">
        <w:rPr>
          <w:rFonts w:eastAsia="Calibri"/>
          <w:color w:val="auto"/>
          <w:sz w:val="22"/>
          <w:szCs w:val="22"/>
          <w:lang w:eastAsia="en-US"/>
        </w:rPr>
        <w:t>issues</w:t>
      </w:r>
      <w:r w:rsidR="001E023F" w:rsidRPr="001E023F">
        <w:rPr>
          <w:rFonts w:eastAsia="Calibri"/>
          <w:color w:val="auto"/>
          <w:sz w:val="22"/>
          <w:szCs w:val="22"/>
          <w:lang w:eastAsia="en-US"/>
        </w:rPr>
        <w:t xml:space="preserve"> paper</w:t>
      </w:r>
      <w:r w:rsidR="00BD1B5E">
        <w:rPr>
          <w:rFonts w:eastAsia="Calibri"/>
          <w:color w:val="auto"/>
          <w:sz w:val="22"/>
          <w:szCs w:val="22"/>
          <w:lang w:eastAsia="en-US"/>
        </w:rPr>
        <w:t>,</w:t>
      </w:r>
      <w:r w:rsidR="001E023F">
        <w:rPr>
          <w:rFonts w:eastAsia="Calibri"/>
          <w:color w:val="auto"/>
          <w:sz w:val="22"/>
          <w:szCs w:val="22"/>
          <w:lang w:eastAsia="en-US"/>
        </w:rPr>
        <w:t xml:space="preserve"> </w:t>
      </w:r>
      <w:r w:rsidR="001E023F" w:rsidRPr="001E023F">
        <w:rPr>
          <w:rFonts w:eastAsia="Calibri"/>
          <w:i/>
          <w:color w:val="auto"/>
          <w:sz w:val="22"/>
          <w:szCs w:val="22"/>
          <w:lang w:eastAsia="en-US"/>
        </w:rPr>
        <w:t>Increasing heavy vehicle volumetric load capacity without increasing mass limits</w:t>
      </w:r>
      <w:r w:rsidR="001E023F" w:rsidRPr="001E023F">
        <w:rPr>
          <w:rFonts w:eastAsia="Calibri"/>
          <w:color w:val="auto"/>
          <w:sz w:val="22"/>
          <w:szCs w:val="22"/>
          <w:lang w:eastAsia="en-US"/>
        </w:rPr>
        <w:t xml:space="preserve">. </w:t>
      </w:r>
      <w:r w:rsidR="00BD65E2">
        <w:rPr>
          <w:rFonts w:eastAsia="Calibri"/>
          <w:color w:val="auto"/>
          <w:sz w:val="22"/>
          <w:szCs w:val="22"/>
          <w:lang w:eastAsia="en-US"/>
        </w:rPr>
        <w:t>This</w:t>
      </w:r>
      <w:r w:rsidR="001E023F" w:rsidRPr="001E023F">
        <w:rPr>
          <w:rFonts w:eastAsia="Calibri"/>
          <w:color w:val="auto"/>
          <w:sz w:val="22"/>
          <w:szCs w:val="22"/>
          <w:lang w:eastAsia="en-US"/>
        </w:rPr>
        <w:t xml:space="preserve"> </w:t>
      </w:r>
      <w:r w:rsidR="00BD1B5E">
        <w:rPr>
          <w:rFonts w:eastAsia="Calibri"/>
          <w:color w:val="auto"/>
          <w:sz w:val="22"/>
          <w:szCs w:val="22"/>
          <w:lang w:eastAsia="en-US"/>
        </w:rPr>
        <w:t>paper</w:t>
      </w:r>
      <w:r w:rsidR="001E023F" w:rsidRPr="001E023F">
        <w:rPr>
          <w:rFonts w:eastAsia="Calibri"/>
          <w:color w:val="auto"/>
          <w:sz w:val="22"/>
          <w:szCs w:val="22"/>
          <w:lang w:eastAsia="en-US"/>
        </w:rPr>
        <w:t xml:space="preserve"> </w:t>
      </w:r>
      <w:r w:rsidR="001E023F">
        <w:rPr>
          <w:rFonts w:eastAsia="Calibri"/>
          <w:color w:val="auto"/>
          <w:sz w:val="22"/>
          <w:szCs w:val="22"/>
          <w:lang w:eastAsia="en-US"/>
        </w:rPr>
        <w:t xml:space="preserve">is </w:t>
      </w:r>
      <w:r w:rsidR="00A31B61">
        <w:rPr>
          <w:rFonts w:eastAsia="Calibri"/>
          <w:color w:val="auto"/>
          <w:sz w:val="22"/>
          <w:szCs w:val="22"/>
          <w:lang w:eastAsia="en-US"/>
        </w:rPr>
        <w:t>analysing</w:t>
      </w:r>
      <w:r w:rsidR="001E023F">
        <w:rPr>
          <w:rFonts w:eastAsia="Calibri"/>
          <w:color w:val="auto"/>
          <w:sz w:val="22"/>
          <w:szCs w:val="22"/>
          <w:lang w:eastAsia="en-US"/>
        </w:rPr>
        <w:t xml:space="preserve"> opportunities for </w:t>
      </w:r>
      <w:r w:rsidR="00BD1B5E">
        <w:rPr>
          <w:rFonts w:eastAsia="Calibri"/>
          <w:color w:val="auto"/>
          <w:sz w:val="22"/>
          <w:szCs w:val="22"/>
          <w:lang w:eastAsia="en-US"/>
        </w:rPr>
        <w:t xml:space="preserve">allowing </w:t>
      </w:r>
      <w:r w:rsidR="00DD725B">
        <w:rPr>
          <w:rFonts w:eastAsia="Calibri"/>
          <w:color w:val="auto"/>
          <w:sz w:val="22"/>
          <w:szCs w:val="22"/>
          <w:lang w:eastAsia="en-US"/>
        </w:rPr>
        <w:t xml:space="preserve">physically </w:t>
      </w:r>
      <w:r w:rsidR="001E023F">
        <w:rPr>
          <w:rFonts w:eastAsia="Calibri"/>
          <w:color w:val="auto"/>
          <w:sz w:val="22"/>
          <w:szCs w:val="22"/>
          <w:lang w:eastAsia="en-US"/>
        </w:rPr>
        <w:t>larger</w:t>
      </w:r>
      <w:r w:rsidR="00DD725B">
        <w:rPr>
          <w:rFonts w:eastAsia="Calibri"/>
          <w:color w:val="auto"/>
          <w:sz w:val="22"/>
          <w:szCs w:val="22"/>
          <w:lang w:eastAsia="en-US"/>
        </w:rPr>
        <w:t xml:space="preserve"> </w:t>
      </w:r>
      <w:r w:rsidR="00E9279A">
        <w:rPr>
          <w:rFonts w:eastAsia="Calibri"/>
          <w:color w:val="auto"/>
          <w:sz w:val="22"/>
          <w:szCs w:val="22"/>
          <w:lang w:eastAsia="en-US"/>
        </w:rPr>
        <w:t>(</w:t>
      </w:r>
      <w:r w:rsidR="00DD725B">
        <w:rPr>
          <w:rFonts w:eastAsia="Calibri"/>
          <w:color w:val="auto"/>
          <w:sz w:val="22"/>
          <w:szCs w:val="22"/>
          <w:lang w:eastAsia="en-US"/>
        </w:rPr>
        <w:t>n</w:t>
      </w:r>
      <w:r w:rsidR="0032280E">
        <w:rPr>
          <w:rFonts w:eastAsia="Calibri"/>
          <w:color w:val="auto"/>
          <w:sz w:val="22"/>
          <w:szCs w:val="22"/>
          <w:lang w:eastAsia="en-US"/>
        </w:rPr>
        <w:t>o</w:t>
      </w:r>
      <w:r w:rsidR="00DD725B">
        <w:rPr>
          <w:rFonts w:eastAsia="Calibri"/>
          <w:color w:val="auto"/>
          <w:sz w:val="22"/>
          <w:szCs w:val="22"/>
          <w:lang w:eastAsia="en-US"/>
        </w:rPr>
        <w:t>t heavier</w:t>
      </w:r>
      <w:r w:rsidR="00E9279A">
        <w:rPr>
          <w:rFonts w:eastAsia="Calibri"/>
          <w:color w:val="auto"/>
          <w:sz w:val="22"/>
          <w:szCs w:val="22"/>
          <w:lang w:eastAsia="en-US"/>
        </w:rPr>
        <w:t>)</w:t>
      </w:r>
      <w:r w:rsidR="001E023F">
        <w:rPr>
          <w:rFonts w:eastAsia="Calibri"/>
          <w:color w:val="auto"/>
          <w:sz w:val="22"/>
          <w:szCs w:val="22"/>
          <w:lang w:eastAsia="en-US"/>
        </w:rPr>
        <w:t xml:space="preserve"> </w:t>
      </w:r>
      <w:r w:rsidR="00BD1B5E">
        <w:rPr>
          <w:rFonts w:eastAsia="Calibri"/>
          <w:color w:val="auto"/>
          <w:sz w:val="22"/>
          <w:szCs w:val="22"/>
          <w:lang w:eastAsia="en-US"/>
        </w:rPr>
        <w:t>vehicle</w:t>
      </w:r>
      <w:bookmarkStart w:id="4" w:name="_GoBack"/>
      <w:bookmarkEnd w:id="4"/>
      <w:r w:rsidR="00BD1B5E">
        <w:rPr>
          <w:rFonts w:eastAsia="Calibri"/>
          <w:color w:val="auto"/>
          <w:sz w:val="22"/>
          <w:szCs w:val="22"/>
          <w:lang w:eastAsia="en-US"/>
        </w:rPr>
        <w:t>s and trailers on the road</w:t>
      </w:r>
      <w:r w:rsidR="001E023F" w:rsidRPr="001E023F">
        <w:rPr>
          <w:rFonts w:eastAsia="Calibri"/>
          <w:color w:val="auto"/>
          <w:sz w:val="22"/>
          <w:szCs w:val="22"/>
          <w:lang w:eastAsia="en-US"/>
        </w:rPr>
        <w:t xml:space="preserve">. </w:t>
      </w:r>
      <w:r w:rsidR="00BD1B5E">
        <w:rPr>
          <w:rFonts w:eastAsia="Calibri"/>
          <w:color w:val="auto"/>
          <w:sz w:val="22"/>
          <w:szCs w:val="22"/>
          <w:lang w:eastAsia="en-US"/>
        </w:rPr>
        <w:t>NTC’s</w:t>
      </w:r>
      <w:r w:rsidR="001E023F" w:rsidRPr="001E023F">
        <w:rPr>
          <w:rFonts w:eastAsia="Calibri"/>
          <w:color w:val="auto"/>
          <w:sz w:val="22"/>
          <w:szCs w:val="22"/>
          <w:lang w:eastAsia="en-US"/>
        </w:rPr>
        <w:t xml:space="preserve"> </w:t>
      </w:r>
      <w:r w:rsidR="00BD1B5E">
        <w:rPr>
          <w:rFonts w:eastAsia="Calibri"/>
          <w:color w:val="auto"/>
          <w:sz w:val="22"/>
          <w:szCs w:val="22"/>
          <w:lang w:eastAsia="en-US"/>
        </w:rPr>
        <w:t>goal</w:t>
      </w:r>
      <w:r w:rsidR="001E023F" w:rsidRPr="001E023F">
        <w:rPr>
          <w:rFonts w:eastAsia="Calibri"/>
          <w:color w:val="auto"/>
          <w:sz w:val="22"/>
          <w:szCs w:val="22"/>
          <w:lang w:eastAsia="en-US"/>
        </w:rPr>
        <w:t xml:space="preserve"> is to work with stakeholders and identify </w:t>
      </w:r>
      <w:r w:rsidR="00BD1B5E">
        <w:rPr>
          <w:rFonts w:eastAsia="Calibri"/>
          <w:color w:val="auto"/>
          <w:sz w:val="22"/>
          <w:szCs w:val="22"/>
          <w:lang w:eastAsia="en-US"/>
        </w:rPr>
        <w:t>options</w:t>
      </w:r>
      <w:r w:rsidR="001E023F" w:rsidRPr="001E023F">
        <w:rPr>
          <w:rFonts w:eastAsia="Calibri"/>
          <w:color w:val="auto"/>
          <w:sz w:val="22"/>
          <w:szCs w:val="22"/>
          <w:lang w:eastAsia="en-US"/>
        </w:rPr>
        <w:t xml:space="preserve"> (i.e. vehicle</w:t>
      </w:r>
      <w:r w:rsidR="00BD1B5E">
        <w:rPr>
          <w:rFonts w:eastAsia="Calibri"/>
          <w:color w:val="auto"/>
          <w:sz w:val="22"/>
          <w:szCs w:val="22"/>
          <w:lang w:eastAsia="en-US"/>
        </w:rPr>
        <w:t>,</w:t>
      </w:r>
      <w:r w:rsidR="00BD1B5E" w:rsidRPr="00BD1B5E">
        <w:rPr>
          <w:rFonts w:eastAsia="Calibri"/>
          <w:color w:val="auto"/>
          <w:sz w:val="22"/>
          <w:szCs w:val="22"/>
          <w:lang w:eastAsia="en-US"/>
        </w:rPr>
        <w:t xml:space="preserve"> </w:t>
      </w:r>
      <w:r w:rsidR="00BD1B5E" w:rsidRPr="001E023F">
        <w:rPr>
          <w:rFonts w:eastAsia="Calibri"/>
          <w:color w:val="auto"/>
          <w:sz w:val="22"/>
          <w:szCs w:val="22"/>
          <w:lang w:eastAsia="en-US"/>
        </w:rPr>
        <w:t>route, and</w:t>
      </w:r>
      <w:r w:rsidR="00BD1B5E" w:rsidRPr="001E023F">
        <w:rPr>
          <w:rFonts w:eastAsia="Calibri"/>
          <w:color w:val="auto"/>
          <w:sz w:val="22"/>
          <w:szCs w:val="22"/>
          <w:lang w:eastAsia="en-US"/>
        </w:rPr>
        <w:t xml:space="preserve"> </w:t>
      </w:r>
      <w:r w:rsidR="00BD1B5E" w:rsidRPr="001E023F">
        <w:rPr>
          <w:rFonts w:eastAsia="Calibri"/>
          <w:color w:val="auto"/>
          <w:sz w:val="22"/>
          <w:szCs w:val="22"/>
          <w:lang w:eastAsia="en-US"/>
        </w:rPr>
        <w:t>freight</w:t>
      </w:r>
      <w:r w:rsidR="00BD1B5E" w:rsidRPr="00BD1B5E">
        <w:rPr>
          <w:rFonts w:eastAsia="Calibri"/>
          <w:color w:val="auto"/>
          <w:sz w:val="22"/>
          <w:szCs w:val="22"/>
          <w:lang w:eastAsia="en-US"/>
        </w:rPr>
        <w:t xml:space="preserve"> </w:t>
      </w:r>
      <w:r w:rsidR="00BD1B5E" w:rsidRPr="001E023F">
        <w:rPr>
          <w:rFonts w:eastAsia="Calibri"/>
          <w:color w:val="auto"/>
          <w:sz w:val="22"/>
          <w:szCs w:val="22"/>
          <w:lang w:eastAsia="en-US"/>
        </w:rPr>
        <w:t>types</w:t>
      </w:r>
      <w:r w:rsidR="001E023F" w:rsidRPr="001E023F">
        <w:rPr>
          <w:rFonts w:eastAsia="Calibri"/>
          <w:color w:val="auto"/>
          <w:sz w:val="22"/>
          <w:szCs w:val="22"/>
          <w:lang w:eastAsia="en-US"/>
        </w:rPr>
        <w:t xml:space="preserve">) to achieve wider access to the road network for trucks carrying higher volumes of freight without also increasing legal mass limits. </w:t>
      </w:r>
    </w:p>
    <w:p w:rsidR="001E023F" w:rsidRPr="001E023F" w:rsidRDefault="001E023F" w:rsidP="001E023F">
      <w:pPr>
        <w:pStyle w:val="NoSpacing"/>
        <w:rPr>
          <w:rFonts w:eastAsia="Calibri"/>
          <w:color w:val="auto"/>
          <w:sz w:val="22"/>
          <w:szCs w:val="22"/>
          <w:lang w:eastAsia="en-US"/>
        </w:rPr>
      </w:pPr>
    </w:p>
    <w:p w:rsidR="009C0912" w:rsidRDefault="009C0912" w:rsidP="009C0912">
      <w:r w:rsidRPr="001E023F">
        <w:t xml:space="preserve">The NTC paper offers three </w:t>
      </w:r>
      <w:r>
        <w:rPr>
          <w:rFonts w:cs="Arial"/>
        </w:rPr>
        <w:t>o</w:t>
      </w:r>
      <w:r w:rsidRPr="000870A5">
        <w:rPr>
          <w:rFonts w:cs="Arial"/>
        </w:rPr>
        <w:t xml:space="preserve">ptions for </w:t>
      </w:r>
      <w:r>
        <w:rPr>
          <w:rFonts w:cs="Arial"/>
        </w:rPr>
        <w:t xml:space="preserve">physically </w:t>
      </w:r>
      <w:r w:rsidRPr="000870A5">
        <w:rPr>
          <w:rFonts w:cs="Arial"/>
        </w:rPr>
        <w:t xml:space="preserve">increasing a </w:t>
      </w:r>
      <w:r>
        <w:rPr>
          <w:rFonts w:cs="Arial"/>
        </w:rPr>
        <w:t>semi-trailer or heavy vehicle combination’s</w:t>
      </w:r>
      <w:r w:rsidRPr="000870A5">
        <w:rPr>
          <w:rFonts w:cs="Arial"/>
        </w:rPr>
        <w:t xml:space="preserve"> volumetric load capacity</w:t>
      </w:r>
      <w:r>
        <w:rPr>
          <w:rFonts w:cs="Arial"/>
        </w:rPr>
        <w:t xml:space="preserve"> and thus </w:t>
      </w:r>
      <w:r w:rsidR="001E023F" w:rsidRPr="001E023F">
        <w:t xml:space="preserve">freight productivity </w:t>
      </w:r>
      <w:r>
        <w:t xml:space="preserve">i.e. </w:t>
      </w:r>
      <w:r w:rsidR="001E023F" w:rsidRPr="001E023F">
        <w:t xml:space="preserve">(increasing length, height and/or width of vehicle or load space) plus possible benefits, costs and barriers as well as steps for developing a national policy. </w:t>
      </w:r>
      <w:r>
        <w:t xml:space="preserve">Each of these three options are discussed below. </w:t>
      </w:r>
    </w:p>
    <w:p w:rsidR="009C0912" w:rsidRDefault="009C0912" w:rsidP="009C0912"/>
    <w:p w:rsidR="001E023F" w:rsidRPr="001E023F" w:rsidRDefault="009C0912" w:rsidP="009C0912">
      <w:r>
        <w:t>The ATA agrees that e</w:t>
      </w:r>
      <w:r w:rsidR="001E023F" w:rsidRPr="001E023F">
        <w:t xml:space="preserve">ach option </w:t>
      </w:r>
      <w:r w:rsidR="00F477F7">
        <w:t xml:space="preserve">for increasing heavy vehicle dimensions </w:t>
      </w:r>
      <w:r w:rsidR="001E023F" w:rsidRPr="001E023F">
        <w:t xml:space="preserve">has consequences for how </w:t>
      </w:r>
      <w:r w:rsidR="00073E8C">
        <w:t>the</w:t>
      </w:r>
      <w:r w:rsidR="001E023F" w:rsidRPr="001E023F">
        <w:t xml:space="preserve"> truck performs and how it fits the road infrastructure. Some obvious benefits </w:t>
      </w:r>
      <w:r>
        <w:t xml:space="preserve">of </w:t>
      </w:r>
      <w:r w:rsidR="00DA628E">
        <w:t>larger</w:t>
      </w:r>
      <w:r>
        <w:t xml:space="preserve"> </w:t>
      </w:r>
      <w:r w:rsidR="00073E8C">
        <w:t xml:space="preserve">not </w:t>
      </w:r>
      <w:r>
        <w:t xml:space="preserve">heavier </w:t>
      </w:r>
      <w:r w:rsidR="00073E8C">
        <w:t>vehicles and certain loads for example,</w:t>
      </w:r>
      <w:r>
        <w:t xml:space="preserve"> include </w:t>
      </w:r>
      <w:r w:rsidR="001E023F" w:rsidRPr="001E023F">
        <w:t>reductions in traffic volume and lower</w:t>
      </w:r>
      <w:r>
        <w:t xml:space="preserve"> business and consumer</w:t>
      </w:r>
      <w:r w:rsidR="001E023F" w:rsidRPr="001E023F">
        <w:t xml:space="preserve"> costs through fewer journeys</w:t>
      </w:r>
      <w:r w:rsidR="00B744E2">
        <w:t xml:space="preserve">, </w:t>
      </w:r>
      <w:r w:rsidR="00DA628E">
        <w:t>reduction</w:t>
      </w:r>
      <w:r w:rsidR="003E08B5">
        <w:t>s</w:t>
      </w:r>
      <w:r w:rsidR="00DA628E">
        <w:t xml:space="preserve"> </w:t>
      </w:r>
      <w:r w:rsidR="003E08B5">
        <w:t xml:space="preserve">in fuel use </w:t>
      </w:r>
      <w:r w:rsidR="00B637D4">
        <w:t>and</w:t>
      </w:r>
      <w:r>
        <w:t xml:space="preserve"> more efficient </w:t>
      </w:r>
      <w:r w:rsidR="00B637D4">
        <w:t>logistics</w:t>
      </w:r>
      <w:r w:rsidR="00D6194F">
        <w:t xml:space="preserve"> outcomes</w:t>
      </w:r>
      <w:r w:rsidR="001E023F" w:rsidRPr="001E023F">
        <w:t xml:space="preserve">. </w:t>
      </w:r>
    </w:p>
    <w:p w:rsidR="001E023F" w:rsidRPr="001E023F" w:rsidRDefault="001E023F" w:rsidP="001E023F">
      <w:pPr>
        <w:pStyle w:val="NoSpacing"/>
        <w:rPr>
          <w:rFonts w:eastAsia="Calibri"/>
          <w:color w:val="auto"/>
          <w:sz w:val="22"/>
          <w:szCs w:val="22"/>
          <w:lang w:eastAsia="en-US"/>
        </w:rPr>
      </w:pPr>
    </w:p>
    <w:p w:rsidR="001E023F" w:rsidRPr="001E023F" w:rsidRDefault="001E023F" w:rsidP="001E023F">
      <w:pPr>
        <w:pStyle w:val="NoSpacing"/>
        <w:rPr>
          <w:rFonts w:eastAsia="Calibri"/>
          <w:color w:val="auto"/>
          <w:sz w:val="22"/>
          <w:szCs w:val="22"/>
          <w:lang w:eastAsia="en-US"/>
        </w:rPr>
      </w:pPr>
    </w:p>
    <w:p w:rsidR="001E023F" w:rsidRDefault="001E023F" w:rsidP="00B5778E">
      <w:pPr>
        <w:pStyle w:val="NoSpacing"/>
        <w:rPr>
          <w:rFonts w:eastAsia="Calibri"/>
          <w:color w:val="auto"/>
          <w:sz w:val="22"/>
          <w:szCs w:val="22"/>
          <w:lang w:eastAsia="en-US"/>
        </w:rPr>
      </w:pPr>
    </w:p>
    <w:p w:rsidR="00414E13" w:rsidRPr="006220FC" w:rsidRDefault="00414E13" w:rsidP="00414E13">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lastRenderedPageBreak/>
        <w:t xml:space="preserve">Recommendation </w:t>
      </w:r>
      <w:r>
        <w:rPr>
          <w:rFonts w:ascii="Arial" w:hAnsi="Arial" w:cs="Arial"/>
          <w:b/>
          <w:iCs/>
          <w:sz w:val="22"/>
          <w:szCs w:val="22"/>
        </w:rPr>
        <w:t>1</w:t>
      </w:r>
    </w:p>
    <w:p w:rsidR="00414E13" w:rsidRPr="006220FC" w:rsidRDefault="00414E13" w:rsidP="00414E13"/>
    <w:p w:rsidR="00414E13" w:rsidRDefault="00414E13" w:rsidP="00414E13">
      <w:r w:rsidRPr="006220FC">
        <w:t xml:space="preserve">That the NTC consult states and territories with a view to establishing a </w:t>
      </w:r>
      <w:r>
        <w:t xml:space="preserve">systematic </w:t>
      </w:r>
      <w:r w:rsidRPr="006220FC">
        <w:t xml:space="preserve">national approach to </w:t>
      </w:r>
      <w:r>
        <w:t>general access for safe, larger prescriptive vehicle combinations with improved volumetric load capacity</w:t>
      </w:r>
      <w:r w:rsidRPr="006220FC">
        <w:t>.</w:t>
      </w:r>
    </w:p>
    <w:p w:rsidR="001E023F" w:rsidRDefault="001E023F" w:rsidP="006500E6">
      <w:pPr>
        <w:pStyle w:val="NoSpacing"/>
        <w:rPr>
          <w:rFonts w:eastAsia="Calibri"/>
          <w:color w:val="auto"/>
          <w:sz w:val="22"/>
          <w:szCs w:val="22"/>
          <w:lang w:eastAsia="en-US"/>
        </w:rPr>
      </w:pPr>
    </w:p>
    <w:p w:rsidR="001E023F" w:rsidRPr="001E023F" w:rsidRDefault="001E023F" w:rsidP="001E023F">
      <w:pPr>
        <w:pStyle w:val="Heading1"/>
        <w:rPr>
          <w:sz w:val="24"/>
          <w:szCs w:val="24"/>
        </w:rPr>
      </w:pPr>
      <w:bookmarkStart w:id="5" w:name="_Toc462652427"/>
      <w:r w:rsidRPr="001E023F">
        <w:rPr>
          <w:sz w:val="24"/>
          <w:szCs w:val="24"/>
        </w:rPr>
        <w:t>Industry response</w:t>
      </w:r>
      <w:r w:rsidR="00B65C57">
        <w:rPr>
          <w:sz w:val="24"/>
          <w:szCs w:val="24"/>
        </w:rPr>
        <w:t>s</w:t>
      </w:r>
      <w:r w:rsidRPr="001E023F">
        <w:rPr>
          <w:sz w:val="24"/>
          <w:szCs w:val="24"/>
        </w:rPr>
        <w:t xml:space="preserve"> to </w:t>
      </w:r>
      <w:r w:rsidR="00BD65E2" w:rsidRPr="001E023F">
        <w:rPr>
          <w:sz w:val="24"/>
          <w:szCs w:val="24"/>
        </w:rPr>
        <w:t>increase</w:t>
      </w:r>
      <w:r w:rsidR="000937A9">
        <w:rPr>
          <w:sz w:val="24"/>
          <w:szCs w:val="24"/>
        </w:rPr>
        <w:t>s</w:t>
      </w:r>
      <w:r w:rsidR="00BD65E2" w:rsidRPr="001E023F">
        <w:rPr>
          <w:sz w:val="24"/>
          <w:szCs w:val="24"/>
        </w:rPr>
        <w:t xml:space="preserve"> </w:t>
      </w:r>
      <w:r w:rsidR="00BD65E2">
        <w:rPr>
          <w:sz w:val="24"/>
          <w:szCs w:val="24"/>
        </w:rPr>
        <w:t xml:space="preserve">in </w:t>
      </w:r>
      <w:r w:rsidR="00A02ED6">
        <w:rPr>
          <w:sz w:val="24"/>
          <w:szCs w:val="24"/>
        </w:rPr>
        <w:t>volumetric load</w:t>
      </w:r>
      <w:r w:rsidRPr="001E023F">
        <w:rPr>
          <w:sz w:val="24"/>
          <w:szCs w:val="24"/>
        </w:rPr>
        <w:t xml:space="preserve"> </w:t>
      </w:r>
      <w:r w:rsidR="00BD65E2">
        <w:rPr>
          <w:sz w:val="24"/>
          <w:szCs w:val="24"/>
        </w:rPr>
        <w:t>capacity</w:t>
      </w:r>
      <w:bookmarkEnd w:id="5"/>
    </w:p>
    <w:p w:rsidR="001E023F" w:rsidRDefault="001E023F" w:rsidP="006500E6">
      <w:pPr>
        <w:pStyle w:val="NoSpacing"/>
        <w:rPr>
          <w:rFonts w:eastAsia="Calibri"/>
          <w:color w:val="auto"/>
          <w:sz w:val="22"/>
          <w:szCs w:val="22"/>
          <w:lang w:eastAsia="en-US"/>
        </w:rPr>
      </w:pPr>
    </w:p>
    <w:p w:rsidR="001E023F" w:rsidRDefault="009059DF" w:rsidP="001E023F">
      <w:r>
        <w:t>C</w:t>
      </w:r>
      <w:r w:rsidR="00A02ED6">
        <w:t>ommercial</w:t>
      </w:r>
      <w:r w:rsidR="001B738A">
        <w:t xml:space="preserve"> </w:t>
      </w:r>
      <w:r w:rsidRPr="001E023F">
        <w:t>priorit</w:t>
      </w:r>
      <w:r>
        <w:t xml:space="preserve">ies </w:t>
      </w:r>
      <w:r w:rsidR="00812E17">
        <w:t>and</w:t>
      </w:r>
      <w:r w:rsidR="001B738A">
        <w:t xml:space="preserve"> </w:t>
      </w:r>
      <w:r w:rsidR="00227090">
        <w:t xml:space="preserve">transport </w:t>
      </w:r>
      <w:r>
        <w:t xml:space="preserve">needs </w:t>
      </w:r>
      <w:r w:rsidR="001E023F">
        <w:t>were discussed</w:t>
      </w:r>
      <w:r w:rsidR="00812E17">
        <w:t xml:space="preserve"> </w:t>
      </w:r>
      <w:r>
        <w:t xml:space="preserve">by </w:t>
      </w:r>
      <w:r w:rsidR="00812E17">
        <w:t>industry</w:t>
      </w:r>
      <w:r>
        <w:t xml:space="preserve"> stakeholders at a</w:t>
      </w:r>
      <w:r w:rsidR="00812E17">
        <w:t xml:space="preserve"> </w:t>
      </w:r>
      <w:r w:rsidR="001E023F">
        <w:t xml:space="preserve">workshop </w:t>
      </w:r>
      <w:r>
        <w:t>held</w:t>
      </w:r>
      <w:r w:rsidR="001E023F">
        <w:t xml:space="preserve"> by the ATA and the Queensland Trucking Association</w:t>
      </w:r>
      <w:r w:rsidR="00812E17" w:rsidRPr="00812E17">
        <w:t xml:space="preserve"> </w:t>
      </w:r>
      <w:r w:rsidR="00812E17">
        <w:t>on 14 September</w:t>
      </w:r>
      <w:r w:rsidR="001E023F">
        <w:t xml:space="preserve">. </w:t>
      </w:r>
      <w:r w:rsidR="00812E17">
        <w:t>Those attending included ATA member associations, NatRoad and the Australian Furniture Removalists Association (AFRA)</w:t>
      </w:r>
      <w:r w:rsidR="00CE0F53">
        <w:t>,</w:t>
      </w:r>
      <w:r w:rsidR="00812E17">
        <w:t xml:space="preserve"> as well as </w:t>
      </w:r>
      <w:r w:rsidR="001B738A">
        <w:t>o</w:t>
      </w:r>
      <w:r w:rsidR="001E023F">
        <w:t xml:space="preserve">perators, </w:t>
      </w:r>
      <w:r w:rsidR="001B738A">
        <w:t xml:space="preserve">trailer </w:t>
      </w:r>
      <w:r w:rsidR="001E023F">
        <w:t>builders</w:t>
      </w:r>
      <w:r w:rsidR="001B738A">
        <w:t xml:space="preserve"> a</w:t>
      </w:r>
      <w:r w:rsidR="001E023F">
        <w:t xml:space="preserve">nd </w:t>
      </w:r>
      <w:r w:rsidR="001B738A">
        <w:t>their</w:t>
      </w:r>
      <w:r w:rsidR="001E023F">
        <w:t xml:space="preserve"> customers</w:t>
      </w:r>
      <w:r w:rsidR="00DD725B">
        <w:t xml:space="preserve">. </w:t>
      </w:r>
      <w:r w:rsidR="001E023F">
        <w:t>Th</w:t>
      </w:r>
      <w:r w:rsidR="00DD725B">
        <w:t>e</w:t>
      </w:r>
      <w:r w:rsidR="001E023F">
        <w:t xml:space="preserve"> workshop was also attended by the NTC project leader.</w:t>
      </w:r>
    </w:p>
    <w:p w:rsidR="001E023F" w:rsidRDefault="001E023F" w:rsidP="001E023F"/>
    <w:p w:rsidR="00A31B61" w:rsidRDefault="001E023F" w:rsidP="001E023F">
      <w:r>
        <w:t>This submission answer</w:t>
      </w:r>
      <w:r w:rsidR="001B738A">
        <w:t>s</w:t>
      </w:r>
      <w:r>
        <w:t xml:space="preserve"> </w:t>
      </w:r>
      <w:r w:rsidR="001B738A">
        <w:t>various</w:t>
      </w:r>
      <w:r>
        <w:t xml:space="preserve"> questions </w:t>
      </w:r>
      <w:r w:rsidR="000937A9">
        <w:t>for industry in</w:t>
      </w:r>
      <w:r w:rsidR="001B738A">
        <w:t xml:space="preserve"> the issues paper</w:t>
      </w:r>
      <w:r w:rsidR="00CE0F53">
        <w:t>,</w:t>
      </w:r>
      <w:r w:rsidR="001B738A">
        <w:t xml:space="preserve"> and conveys </w:t>
      </w:r>
      <w:r w:rsidR="00A31B61" w:rsidRPr="00A31B61">
        <w:t>stakeholder perspectives</w:t>
      </w:r>
      <w:r w:rsidR="00812E17">
        <w:t xml:space="preserve"> on</w:t>
      </w:r>
      <w:r w:rsidR="001B738A">
        <w:t xml:space="preserve"> the opportunity and </w:t>
      </w:r>
      <w:r w:rsidR="000937A9">
        <w:t xml:space="preserve">the </w:t>
      </w:r>
      <w:r w:rsidR="00EA607E">
        <w:t>importance</w:t>
      </w:r>
      <w:r w:rsidR="001B738A">
        <w:t xml:space="preserve"> </w:t>
      </w:r>
      <w:r w:rsidR="00EA607E">
        <w:t>of</w:t>
      </w:r>
      <w:r w:rsidR="001B738A">
        <w:t xml:space="preserve"> increasing </w:t>
      </w:r>
      <w:r w:rsidR="000937A9">
        <w:t xml:space="preserve">a </w:t>
      </w:r>
      <w:r w:rsidR="00CE0F53">
        <w:t xml:space="preserve">prescriptive heavy </w:t>
      </w:r>
      <w:r w:rsidR="000937A9">
        <w:t>vehicle’s length, width and/or height</w:t>
      </w:r>
      <w:r w:rsidR="001B738A">
        <w:t xml:space="preserve">. </w:t>
      </w:r>
    </w:p>
    <w:p w:rsidR="00B5778E" w:rsidRDefault="00B5778E" w:rsidP="001E023F"/>
    <w:p w:rsidR="00862F8B" w:rsidRPr="001E023F" w:rsidRDefault="00B5778E" w:rsidP="00862F8B">
      <w:pPr>
        <w:pStyle w:val="NoSpacing"/>
        <w:rPr>
          <w:rFonts w:eastAsia="Calibri"/>
          <w:color w:val="auto"/>
          <w:sz w:val="22"/>
          <w:szCs w:val="22"/>
          <w:lang w:eastAsia="en-US"/>
        </w:rPr>
      </w:pPr>
      <w:r>
        <w:rPr>
          <w:rFonts w:eastAsia="Calibri"/>
          <w:color w:val="auto"/>
          <w:sz w:val="22"/>
          <w:szCs w:val="22"/>
          <w:lang w:eastAsia="en-US"/>
        </w:rPr>
        <w:t xml:space="preserve">The ATA </w:t>
      </w:r>
      <w:r w:rsidR="00C01C18">
        <w:rPr>
          <w:rFonts w:eastAsia="Calibri"/>
          <w:color w:val="auto"/>
          <w:sz w:val="22"/>
          <w:szCs w:val="22"/>
          <w:lang w:eastAsia="en-US"/>
        </w:rPr>
        <w:t>understands</w:t>
      </w:r>
      <w:r>
        <w:rPr>
          <w:rFonts w:eastAsia="Calibri"/>
          <w:color w:val="auto"/>
          <w:sz w:val="22"/>
          <w:szCs w:val="22"/>
          <w:lang w:eastAsia="en-US"/>
        </w:rPr>
        <w:t xml:space="preserve"> the regulatory requirement </w:t>
      </w:r>
      <w:r w:rsidR="00EA607E">
        <w:rPr>
          <w:rFonts w:eastAsia="Calibri"/>
          <w:color w:val="auto"/>
          <w:sz w:val="22"/>
          <w:szCs w:val="22"/>
          <w:lang w:eastAsia="en-US"/>
        </w:rPr>
        <w:t>of</w:t>
      </w:r>
      <w:r>
        <w:rPr>
          <w:rFonts w:eastAsia="Calibri"/>
          <w:color w:val="auto"/>
          <w:sz w:val="22"/>
          <w:szCs w:val="22"/>
          <w:lang w:eastAsia="en-US"/>
        </w:rPr>
        <w:t xml:space="preserve"> </w:t>
      </w:r>
      <w:r w:rsidRPr="001E023F">
        <w:rPr>
          <w:rFonts w:eastAsia="Calibri"/>
          <w:color w:val="auto"/>
          <w:sz w:val="22"/>
          <w:szCs w:val="22"/>
          <w:lang w:eastAsia="en-US"/>
        </w:rPr>
        <w:t xml:space="preserve">seeking </w:t>
      </w:r>
      <w:r>
        <w:rPr>
          <w:rFonts w:eastAsia="Calibri"/>
          <w:color w:val="auto"/>
          <w:sz w:val="22"/>
          <w:szCs w:val="22"/>
          <w:lang w:eastAsia="en-US"/>
        </w:rPr>
        <w:t xml:space="preserve">access </w:t>
      </w:r>
      <w:r w:rsidRPr="001E023F">
        <w:rPr>
          <w:rFonts w:eastAsia="Calibri"/>
          <w:color w:val="auto"/>
          <w:sz w:val="22"/>
          <w:szCs w:val="22"/>
          <w:lang w:eastAsia="en-US"/>
        </w:rPr>
        <w:t xml:space="preserve">consent from road managers </w:t>
      </w:r>
      <w:r>
        <w:rPr>
          <w:rFonts w:eastAsia="Calibri"/>
          <w:color w:val="auto"/>
          <w:sz w:val="22"/>
          <w:szCs w:val="22"/>
          <w:lang w:eastAsia="en-US"/>
        </w:rPr>
        <w:t xml:space="preserve">constrains </w:t>
      </w:r>
      <w:r w:rsidR="00C01C18">
        <w:rPr>
          <w:rFonts w:eastAsia="Calibri"/>
          <w:color w:val="auto"/>
          <w:sz w:val="22"/>
          <w:szCs w:val="22"/>
          <w:lang w:eastAsia="en-US"/>
        </w:rPr>
        <w:t xml:space="preserve">a </w:t>
      </w:r>
      <w:r>
        <w:rPr>
          <w:rFonts w:eastAsia="Calibri"/>
          <w:color w:val="auto"/>
          <w:sz w:val="22"/>
          <w:szCs w:val="22"/>
          <w:lang w:eastAsia="en-US"/>
        </w:rPr>
        <w:t xml:space="preserve">national effort to widen </w:t>
      </w:r>
      <w:r w:rsidRPr="001E023F">
        <w:rPr>
          <w:rFonts w:eastAsia="Calibri"/>
          <w:color w:val="auto"/>
          <w:sz w:val="22"/>
          <w:szCs w:val="22"/>
          <w:lang w:eastAsia="en-US"/>
        </w:rPr>
        <w:t>road access</w:t>
      </w:r>
      <w:r>
        <w:rPr>
          <w:rFonts w:eastAsia="Calibri"/>
          <w:color w:val="auto"/>
          <w:sz w:val="22"/>
          <w:szCs w:val="22"/>
          <w:lang w:eastAsia="en-US"/>
        </w:rPr>
        <w:t xml:space="preserve"> for </w:t>
      </w:r>
      <w:r w:rsidR="00EA607E">
        <w:rPr>
          <w:rFonts w:eastAsia="Calibri"/>
          <w:color w:val="auto"/>
          <w:sz w:val="22"/>
          <w:szCs w:val="22"/>
          <w:lang w:eastAsia="en-US"/>
        </w:rPr>
        <w:t>more</w:t>
      </w:r>
      <w:r>
        <w:rPr>
          <w:rFonts w:eastAsia="Calibri"/>
          <w:color w:val="auto"/>
          <w:sz w:val="22"/>
          <w:szCs w:val="22"/>
          <w:lang w:eastAsia="en-US"/>
        </w:rPr>
        <w:t xml:space="preserve"> productive heavy vehicles</w:t>
      </w:r>
      <w:r w:rsidRPr="001E023F">
        <w:rPr>
          <w:rFonts w:eastAsia="Calibri"/>
          <w:color w:val="auto"/>
          <w:sz w:val="22"/>
          <w:szCs w:val="22"/>
          <w:lang w:eastAsia="en-US"/>
        </w:rPr>
        <w:t>.</w:t>
      </w:r>
      <w:r>
        <w:rPr>
          <w:rFonts w:eastAsia="Calibri"/>
          <w:color w:val="auto"/>
          <w:sz w:val="22"/>
          <w:szCs w:val="22"/>
          <w:lang w:eastAsia="en-US"/>
        </w:rPr>
        <w:t xml:space="preserve"> </w:t>
      </w:r>
      <w:r w:rsidR="000937A9">
        <w:rPr>
          <w:rFonts w:eastAsia="Calibri"/>
          <w:color w:val="auto"/>
          <w:sz w:val="22"/>
          <w:szCs w:val="22"/>
          <w:lang w:eastAsia="en-US"/>
        </w:rPr>
        <w:t>Further it is true</w:t>
      </w:r>
      <w:r w:rsidR="00C01C18">
        <w:rPr>
          <w:rFonts w:eastAsia="Calibri"/>
          <w:color w:val="auto"/>
          <w:sz w:val="22"/>
          <w:szCs w:val="22"/>
          <w:lang w:eastAsia="en-US"/>
        </w:rPr>
        <w:t>,</w:t>
      </w:r>
      <w:r w:rsidR="000937A9">
        <w:rPr>
          <w:rFonts w:eastAsia="Calibri"/>
          <w:color w:val="auto"/>
          <w:sz w:val="22"/>
          <w:szCs w:val="22"/>
          <w:lang w:eastAsia="en-US"/>
        </w:rPr>
        <w:t xml:space="preserve"> that </w:t>
      </w:r>
      <w:r w:rsidRPr="001E023F">
        <w:rPr>
          <w:rFonts w:eastAsia="Calibri"/>
          <w:color w:val="auto"/>
          <w:sz w:val="22"/>
          <w:szCs w:val="22"/>
          <w:lang w:eastAsia="en-US"/>
        </w:rPr>
        <w:t xml:space="preserve">barriers </w:t>
      </w:r>
      <w:r w:rsidR="000937A9">
        <w:rPr>
          <w:rFonts w:eastAsia="Calibri"/>
          <w:color w:val="auto"/>
          <w:sz w:val="22"/>
          <w:szCs w:val="22"/>
          <w:lang w:eastAsia="en-US"/>
        </w:rPr>
        <w:t>exist (</w:t>
      </w:r>
      <w:r w:rsidR="00EA607E">
        <w:rPr>
          <w:rFonts w:eastAsia="Calibri"/>
          <w:color w:val="auto"/>
          <w:sz w:val="22"/>
          <w:szCs w:val="22"/>
          <w:lang w:eastAsia="en-US"/>
        </w:rPr>
        <w:t>e.g.</w:t>
      </w:r>
      <w:r w:rsidR="000937A9">
        <w:rPr>
          <w:rFonts w:eastAsia="Calibri"/>
          <w:color w:val="auto"/>
          <w:sz w:val="22"/>
          <w:szCs w:val="22"/>
          <w:lang w:eastAsia="en-US"/>
        </w:rPr>
        <w:t xml:space="preserve"> </w:t>
      </w:r>
      <w:r w:rsidR="000937A9" w:rsidRPr="001E023F">
        <w:rPr>
          <w:rFonts w:eastAsia="Calibri"/>
          <w:color w:val="auto"/>
          <w:sz w:val="22"/>
          <w:szCs w:val="22"/>
          <w:lang w:eastAsia="en-US"/>
        </w:rPr>
        <w:t>public concern</w:t>
      </w:r>
      <w:r w:rsidR="000937A9">
        <w:rPr>
          <w:rFonts w:eastAsia="Calibri"/>
          <w:color w:val="auto"/>
          <w:sz w:val="22"/>
          <w:szCs w:val="22"/>
          <w:lang w:eastAsia="en-US"/>
        </w:rPr>
        <w:t>)</w:t>
      </w:r>
      <w:r w:rsidR="000937A9" w:rsidRPr="001E023F">
        <w:rPr>
          <w:rFonts w:eastAsia="Calibri"/>
          <w:color w:val="auto"/>
          <w:sz w:val="22"/>
          <w:szCs w:val="22"/>
          <w:lang w:eastAsia="en-US"/>
        </w:rPr>
        <w:t xml:space="preserve"> </w:t>
      </w:r>
      <w:r w:rsidR="000937A9">
        <w:rPr>
          <w:rFonts w:eastAsia="Calibri"/>
          <w:color w:val="auto"/>
          <w:sz w:val="22"/>
          <w:szCs w:val="22"/>
          <w:lang w:eastAsia="en-US"/>
        </w:rPr>
        <w:t xml:space="preserve">yet </w:t>
      </w:r>
      <w:r w:rsidRPr="001E023F">
        <w:rPr>
          <w:rFonts w:eastAsia="Calibri"/>
          <w:color w:val="auto"/>
          <w:sz w:val="22"/>
          <w:szCs w:val="22"/>
          <w:lang w:eastAsia="en-US"/>
        </w:rPr>
        <w:t>benefits</w:t>
      </w:r>
      <w:r w:rsidR="005C0149">
        <w:rPr>
          <w:rFonts w:eastAsia="Calibri"/>
          <w:color w:val="auto"/>
          <w:sz w:val="22"/>
          <w:szCs w:val="22"/>
          <w:lang w:eastAsia="en-US"/>
        </w:rPr>
        <w:t xml:space="preserve"> </w:t>
      </w:r>
      <w:r w:rsidRPr="001E023F">
        <w:rPr>
          <w:rFonts w:eastAsia="Calibri"/>
          <w:color w:val="auto"/>
          <w:sz w:val="22"/>
          <w:szCs w:val="22"/>
          <w:lang w:eastAsia="en-US"/>
        </w:rPr>
        <w:t xml:space="preserve">(e.g. </w:t>
      </w:r>
      <w:r>
        <w:rPr>
          <w:rFonts w:eastAsia="Calibri"/>
          <w:color w:val="auto"/>
          <w:sz w:val="22"/>
          <w:szCs w:val="22"/>
          <w:lang w:eastAsia="en-US"/>
        </w:rPr>
        <w:t>lower</w:t>
      </w:r>
      <w:r w:rsidRPr="001E023F">
        <w:rPr>
          <w:rFonts w:eastAsia="Calibri"/>
          <w:color w:val="auto"/>
          <w:sz w:val="22"/>
          <w:szCs w:val="22"/>
          <w:lang w:eastAsia="en-US"/>
        </w:rPr>
        <w:t xml:space="preserve"> cost</w:t>
      </w:r>
      <w:r>
        <w:rPr>
          <w:rFonts w:eastAsia="Calibri"/>
          <w:color w:val="auto"/>
          <w:sz w:val="22"/>
          <w:szCs w:val="22"/>
          <w:lang w:eastAsia="en-US"/>
        </w:rPr>
        <w:t>s</w:t>
      </w:r>
      <w:r w:rsidRPr="001E023F">
        <w:rPr>
          <w:rFonts w:eastAsia="Calibri"/>
          <w:color w:val="auto"/>
          <w:sz w:val="22"/>
          <w:szCs w:val="22"/>
          <w:lang w:eastAsia="en-US"/>
        </w:rPr>
        <w:t xml:space="preserve">, less </w:t>
      </w:r>
      <w:r>
        <w:rPr>
          <w:rFonts w:eastAsia="Calibri"/>
          <w:color w:val="auto"/>
          <w:sz w:val="22"/>
          <w:szCs w:val="22"/>
          <w:lang w:eastAsia="en-US"/>
        </w:rPr>
        <w:t xml:space="preserve">truck </w:t>
      </w:r>
      <w:r w:rsidRPr="001E023F">
        <w:rPr>
          <w:rFonts w:eastAsia="Calibri"/>
          <w:color w:val="auto"/>
          <w:sz w:val="22"/>
          <w:szCs w:val="22"/>
          <w:lang w:eastAsia="en-US"/>
        </w:rPr>
        <w:t>traffic) are</w:t>
      </w:r>
      <w:r w:rsidR="000F49AC">
        <w:rPr>
          <w:rFonts w:eastAsia="Calibri"/>
          <w:color w:val="auto"/>
          <w:sz w:val="22"/>
          <w:szCs w:val="22"/>
          <w:lang w:eastAsia="en-US"/>
        </w:rPr>
        <w:t xml:space="preserve"> </w:t>
      </w:r>
      <w:r w:rsidR="000937A9">
        <w:rPr>
          <w:rFonts w:eastAsia="Calibri"/>
          <w:color w:val="auto"/>
          <w:sz w:val="22"/>
          <w:szCs w:val="22"/>
          <w:lang w:eastAsia="en-US"/>
        </w:rPr>
        <w:t>not</w:t>
      </w:r>
      <w:r w:rsidRPr="001E023F">
        <w:rPr>
          <w:rFonts w:eastAsia="Calibri"/>
          <w:color w:val="auto"/>
          <w:sz w:val="22"/>
          <w:szCs w:val="22"/>
          <w:lang w:eastAsia="en-US"/>
        </w:rPr>
        <w:t xml:space="preserve"> </w:t>
      </w:r>
      <w:r w:rsidR="00C01C18">
        <w:rPr>
          <w:rFonts w:eastAsia="Calibri"/>
          <w:color w:val="auto"/>
          <w:sz w:val="22"/>
          <w:szCs w:val="22"/>
          <w:lang w:eastAsia="en-US"/>
        </w:rPr>
        <w:t xml:space="preserve">made </w:t>
      </w:r>
      <w:r w:rsidR="000937A9">
        <w:rPr>
          <w:rFonts w:eastAsia="Calibri"/>
          <w:color w:val="auto"/>
          <w:sz w:val="22"/>
          <w:szCs w:val="22"/>
          <w:lang w:eastAsia="en-US"/>
        </w:rPr>
        <w:t xml:space="preserve">sufficiently </w:t>
      </w:r>
      <w:r w:rsidR="00C01C18">
        <w:rPr>
          <w:rFonts w:eastAsia="Calibri"/>
          <w:color w:val="auto"/>
          <w:sz w:val="22"/>
          <w:szCs w:val="22"/>
          <w:lang w:eastAsia="en-US"/>
        </w:rPr>
        <w:t>evident</w:t>
      </w:r>
      <w:r w:rsidRPr="001E023F">
        <w:rPr>
          <w:rFonts w:eastAsia="Calibri"/>
          <w:color w:val="auto"/>
          <w:sz w:val="22"/>
          <w:szCs w:val="22"/>
          <w:lang w:eastAsia="en-US"/>
        </w:rPr>
        <w:t xml:space="preserve">. </w:t>
      </w:r>
      <w:r w:rsidR="00F34678">
        <w:rPr>
          <w:rFonts w:eastAsia="Calibri"/>
          <w:color w:val="auto"/>
          <w:sz w:val="22"/>
          <w:szCs w:val="22"/>
          <w:lang w:eastAsia="en-US"/>
        </w:rPr>
        <w:t>As the issues paper notes, i</w:t>
      </w:r>
      <w:r w:rsidRPr="001E023F">
        <w:rPr>
          <w:rFonts w:eastAsia="Calibri"/>
          <w:color w:val="auto"/>
          <w:sz w:val="22"/>
          <w:szCs w:val="22"/>
          <w:lang w:eastAsia="en-US"/>
        </w:rPr>
        <w:t xml:space="preserve">t is </w:t>
      </w:r>
      <w:r w:rsidR="003939A2">
        <w:rPr>
          <w:rFonts w:eastAsia="Calibri"/>
          <w:color w:val="auto"/>
          <w:sz w:val="22"/>
          <w:szCs w:val="22"/>
          <w:lang w:eastAsia="en-US"/>
        </w:rPr>
        <w:t xml:space="preserve">likely </w:t>
      </w:r>
      <w:r w:rsidRPr="001E023F">
        <w:rPr>
          <w:rFonts w:eastAsia="Calibri"/>
          <w:color w:val="auto"/>
          <w:sz w:val="22"/>
          <w:szCs w:val="22"/>
          <w:lang w:eastAsia="en-US"/>
        </w:rPr>
        <w:t xml:space="preserve">that </w:t>
      </w:r>
      <w:r w:rsidR="00F34678">
        <w:rPr>
          <w:rFonts w:eastAsia="Calibri"/>
          <w:color w:val="auto"/>
          <w:sz w:val="22"/>
          <w:szCs w:val="22"/>
          <w:lang w:eastAsia="en-US"/>
        </w:rPr>
        <w:t>costs/</w:t>
      </w:r>
      <w:r w:rsidRPr="001E023F">
        <w:rPr>
          <w:rFonts w:eastAsia="Calibri"/>
          <w:color w:val="auto"/>
          <w:sz w:val="22"/>
          <w:szCs w:val="22"/>
          <w:lang w:eastAsia="en-US"/>
        </w:rPr>
        <w:t xml:space="preserve">barriers </w:t>
      </w:r>
      <w:r w:rsidR="000937A9">
        <w:rPr>
          <w:rFonts w:eastAsia="Calibri"/>
          <w:color w:val="auto"/>
          <w:sz w:val="22"/>
          <w:szCs w:val="22"/>
          <w:lang w:eastAsia="en-US"/>
        </w:rPr>
        <w:t xml:space="preserve">rather </w:t>
      </w:r>
      <w:r w:rsidR="000937A9" w:rsidRPr="001E023F">
        <w:rPr>
          <w:rFonts w:eastAsia="Calibri"/>
          <w:color w:val="auto"/>
          <w:sz w:val="22"/>
          <w:szCs w:val="22"/>
          <w:lang w:eastAsia="en-US"/>
        </w:rPr>
        <w:t xml:space="preserve">than benefits </w:t>
      </w:r>
      <w:r w:rsidRPr="001E023F">
        <w:rPr>
          <w:rFonts w:eastAsia="Calibri"/>
          <w:color w:val="auto"/>
          <w:sz w:val="22"/>
          <w:szCs w:val="22"/>
          <w:lang w:eastAsia="en-US"/>
        </w:rPr>
        <w:t xml:space="preserve">have been </w:t>
      </w:r>
      <w:r w:rsidR="000937A9">
        <w:rPr>
          <w:rFonts w:eastAsia="Calibri"/>
          <w:color w:val="auto"/>
          <w:sz w:val="22"/>
          <w:szCs w:val="22"/>
          <w:lang w:eastAsia="en-US"/>
        </w:rPr>
        <w:t>treated more</w:t>
      </w:r>
      <w:r w:rsidR="003939A2">
        <w:rPr>
          <w:rFonts w:eastAsia="Calibri"/>
          <w:color w:val="auto"/>
          <w:sz w:val="22"/>
          <w:szCs w:val="22"/>
          <w:lang w:eastAsia="en-US"/>
        </w:rPr>
        <w:t xml:space="preserve"> </w:t>
      </w:r>
      <w:r w:rsidR="00C01C18">
        <w:rPr>
          <w:rFonts w:eastAsia="Calibri"/>
          <w:color w:val="auto"/>
          <w:sz w:val="22"/>
          <w:szCs w:val="22"/>
          <w:lang w:eastAsia="en-US"/>
        </w:rPr>
        <w:t>effectively</w:t>
      </w:r>
      <w:r w:rsidR="003939A2">
        <w:rPr>
          <w:rFonts w:eastAsia="Calibri"/>
          <w:color w:val="auto"/>
          <w:sz w:val="22"/>
          <w:szCs w:val="22"/>
          <w:lang w:eastAsia="en-US"/>
        </w:rPr>
        <w:t xml:space="preserve"> </w:t>
      </w:r>
      <w:r w:rsidR="000937A9">
        <w:rPr>
          <w:rFonts w:eastAsia="Calibri"/>
          <w:color w:val="auto"/>
          <w:sz w:val="22"/>
          <w:szCs w:val="22"/>
          <w:lang w:eastAsia="en-US"/>
        </w:rPr>
        <w:t>in</w:t>
      </w:r>
      <w:r w:rsidRPr="001E023F">
        <w:rPr>
          <w:rFonts w:eastAsia="Calibri"/>
          <w:color w:val="auto"/>
          <w:sz w:val="22"/>
          <w:szCs w:val="22"/>
          <w:lang w:eastAsia="en-US"/>
        </w:rPr>
        <w:t xml:space="preserve"> </w:t>
      </w:r>
      <w:r w:rsidR="003939A2">
        <w:rPr>
          <w:rFonts w:eastAsia="Calibri"/>
          <w:color w:val="auto"/>
          <w:sz w:val="22"/>
          <w:szCs w:val="22"/>
          <w:lang w:eastAsia="en-US"/>
        </w:rPr>
        <w:t xml:space="preserve">government </w:t>
      </w:r>
      <w:r w:rsidR="000937A9">
        <w:rPr>
          <w:rFonts w:eastAsia="Calibri"/>
          <w:color w:val="auto"/>
          <w:sz w:val="22"/>
          <w:szCs w:val="22"/>
          <w:lang w:eastAsia="en-US"/>
        </w:rPr>
        <w:t>analyses</w:t>
      </w:r>
      <w:r w:rsidR="00830AE4" w:rsidRPr="00830AE4">
        <w:rPr>
          <w:rFonts w:eastAsia="Calibri"/>
          <w:color w:val="auto"/>
          <w:sz w:val="22"/>
          <w:szCs w:val="22"/>
          <w:lang w:eastAsia="en-US"/>
        </w:rPr>
        <w:t xml:space="preserve"> </w:t>
      </w:r>
      <w:r w:rsidR="00830AE4" w:rsidRPr="001E023F">
        <w:rPr>
          <w:rFonts w:eastAsia="Calibri"/>
          <w:color w:val="auto"/>
          <w:sz w:val="22"/>
          <w:szCs w:val="22"/>
          <w:lang w:eastAsia="en-US"/>
        </w:rPr>
        <w:t>to date</w:t>
      </w:r>
      <w:r w:rsidRPr="001E023F">
        <w:rPr>
          <w:rFonts w:eastAsia="Calibri"/>
          <w:color w:val="auto"/>
          <w:sz w:val="22"/>
          <w:szCs w:val="22"/>
          <w:lang w:eastAsia="en-US"/>
        </w:rPr>
        <w:t>.</w:t>
      </w:r>
      <w:r w:rsidR="00862F8B">
        <w:rPr>
          <w:rFonts w:eastAsia="Calibri"/>
          <w:color w:val="auto"/>
          <w:sz w:val="22"/>
          <w:szCs w:val="22"/>
          <w:lang w:eastAsia="en-US"/>
        </w:rPr>
        <w:t xml:space="preserve"> </w:t>
      </w:r>
      <w:r w:rsidR="00C01C18">
        <w:rPr>
          <w:rFonts w:eastAsia="Calibri"/>
          <w:color w:val="auto"/>
          <w:sz w:val="22"/>
          <w:szCs w:val="22"/>
          <w:lang w:eastAsia="en-US"/>
        </w:rPr>
        <w:t>For example, d</w:t>
      </w:r>
      <w:r w:rsidR="00830AE4">
        <w:rPr>
          <w:rFonts w:eastAsia="Calibri"/>
          <w:color w:val="auto"/>
          <w:sz w:val="22"/>
          <w:szCs w:val="22"/>
          <w:lang w:eastAsia="en-US"/>
        </w:rPr>
        <w:t xml:space="preserve">espite the fact </w:t>
      </w:r>
      <w:r w:rsidR="00862F8B" w:rsidRPr="001E023F">
        <w:rPr>
          <w:rFonts w:eastAsia="Calibri"/>
          <w:color w:val="auto"/>
          <w:sz w:val="22"/>
          <w:szCs w:val="22"/>
          <w:lang w:eastAsia="en-US"/>
        </w:rPr>
        <w:t xml:space="preserve">a larger truck </w:t>
      </w:r>
      <w:r w:rsidR="00862F8B">
        <w:rPr>
          <w:rFonts w:eastAsia="Calibri"/>
          <w:color w:val="auto"/>
          <w:sz w:val="22"/>
          <w:szCs w:val="22"/>
          <w:lang w:eastAsia="en-US"/>
        </w:rPr>
        <w:t>can mean less</w:t>
      </w:r>
      <w:r w:rsidR="00862F8B" w:rsidRPr="001E023F">
        <w:rPr>
          <w:rFonts w:eastAsia="Calibri"/>
          <w:color w:val="auto"/>
          <w:sz w:val="22"/>
          <w:szCs w:val="22"/>
          <w:lang w:eastAsia="en-US"/>
        </w:rPr>
        <w:t xml:space="preserve"> risk </w:t>
      </w:r>
      <w:r w:rsidR="00C01C18">
        <w:rPr>
          <w:rFonts w:eastAsia="Calibri"/>
          <w:color w:val="auto"/>
          <w:sz w:val="22"/>
          <w:szCs w:val="22"/>
          <w:lang w:eastAsia="en-US"/>
        </w:rPr>
        <w:t xml:space="preserve">to safety </w:t>
      </w:r>
      <w:r w:rsidR="00862F8B" w:rsidRPr="001E023F">
        <w:rPr>
          <w:rFonts w:eastAsia="Calibri"/>
          <w:color w:val="auto"/>
          <w:sz w:val="22"/>
          <w:szCs w:val="22"/>
          <w:lang w:eastAsia="en-US"/>
        </w:rPr>
        <w:t>overall</w:t>
      </w:r>
      <w:r w:rsidR="00830AE4">
        <w:rPr>
          <w:rFonts w:eastAsia="Calibri"/>
          <w:color w:val="auto"/>
          <w:sz w:val="22"/>
          <w:szCs w:val="22"/>
          <w:lang w:eastAsia="en-US"/>
        </w:rPr>
        <w:t xml:space="preserve"> this</w:t>
      </w:r>
      <w:r w:rsidR="00F34678">
        <w:rPr>
          <w:rFonts w:eastAsia="Calibri"/>
          <w:color w:val="auto"/>
          <w:sz w:val="22"/>
          <w:szCs w:val="22"/>
          <w:lang w:eastAsia="en-US"/>
        </w:rPr>
        <w:t xml:space="preserve"> benefit </w:t>
      </w:r>
      <w:r w:rsidR="00862F8B">
        <w:rPr>
          <w:rFonts w:eastAsia="Calibri"/>
          <w:color w:val="auto"/>
          <w:sz w:val="22"/>
          <w:szCs w:val="22"/>
          <w:lang w:eastAsia="en-US"/>
        </w:rPr>
        <w:t>remains</w:t>
      </w:r>
      <w:r w:rsidR="00862F8B" w:rsidRPr="001E023F">
        <w:rPr>
          <w:rFonts w:eastAsia="Calibri"/>
          <w:color w:val="auto"/>
          <w:sz w:val="22"/>
          <w:szCs w:val="22"/>
          <w:lang w:eastAsia="en-US"/>
        </w:rPr>
        <w:t xml:space="preserve"> counter-intuitive </w:t>
      </w:r>
      <w:r w:rsidR="00862F8B">
        <w:rPr>
          <w:rFonts w:eastAsia="Calibri"/>
          <w:color w:val="auto"/>
          <w:sz w:val="22"/>
          <w:szCs w:val="22"/>
          <w:lang w:eastAsia="en-US"/>
        </w:rPr>
        <w:t xml:space="preserve">to many </w:t>
      </w:r>
      <w:r w:rsidR="00F34678">
        <w:rPr>
          <w:rFonts w:eastAsia="Calibri"/>
          <w:color w:val="auto"/>
          <w:sz w:val="22"/>
          <w:szCs w:val="22"/>
          <w:lang w:eastAsia="en-US"/>
        </w:rPr>
        <w:t>policy</w:t>
      </w:r>
      <w:r w:rsidR="00862F8B">
        <w:rPr>
          <w:rFonts w:eastAsia="Calibri"/>
          <w:color w:val="auto"/>
          <w:sz w:val="22"/>
          <w:szCs w:val="22"/>
          <w:lang w:eastAsia="en-US"/>
        </w:rPr>
        <w:t xml:space="preserve">makers </w:t>
      </w:r>
      <w:r w:rsidR="00C01C18">
        <w:rPr>
          <w:rFonts w:eastAsia="Calibri"/>
          <w:color w:val="auto"/>
          <w:sz w:val="22"/>
          <w:szCs w:val="22"/>
          <w:lang w:eastAsia="en-US"/>
        </w:rPr>
        <w:t>and</w:t>
      </w:r>
      <w:r w:rsidR="00F34678">
        <w:rPr>
          <w:rFonts w:eastAsia="Calibri"/>
          <w:color w:val="auto"/>
          <w:sz w:val="22"/>
          <w:szCs w:val="22"/>
          <w:lang w:eastAsia="en-US"/>
        </w:rPr>
        <w:t xml:space="preserve"> </w:t>
      </w:r>
      <w:r w:rsidR="000937A9">
        <w:rPr>
          <w:rFonts w:eastAsia="Calibri"/>
          <w:color w:val="auto"/>
          <w:sz w:val="22"/>
          <w:szCs w:val="22"/>
          <w:lang w:eastAsia="en-US"/>
        </w:rPr>
        <w:t xml:space="preserve">the general </w:t>
      </w:r>
      <w:r w:rsidR="00862F8B">
        <w:rPr>
          <w:rFonts w:eastAsia="Calibri"/>
          <w:color w:val="auto"/>
          <w:sz w:val="22"/>
          <w:szCs w:val="22"/>
          <w:lang w:eastAsia="en-US"/>
        </w:rPr>
        <w:t>public</w:t>
      </w:r>
      <w:r w:rsidR="00862F8B" w:rsidRPr="001E023F">
        <w:rPr>
          <w:rFonts w:eastAsia="Calibri"/>
          <w:color w:val="auto"/>
          <w:sz w:val="22"/>
          <w:szCs w:val="22"/>
          <w:lang w:eastAsia="en-US"/>
        </w:rPr>
        <w:t xml:space="preserve">. </w:t>
      </w:r>
    </w:p>
    <w:p w:rsidR="000937A9" w:rsidRDefault="000937A9" w:rsidP="00432A56">
      <w:pPr>
        <w:pStyle w:val="NoSpacing"/>
        <w:rPr>
          <w:rFonts w:eastAsia="Calibri"/>
          <w:color w:val="auto"/>
          <w:sz w:val="22"/>
          <w:szCs w:val="22"/>
          <w:lang w:eastAsia="en-US"/>
        </w:rPr>
      </w:pPr>
    </w:p>
    <w:p w:rsidR="001E023F" w:rsidRPr="00812E17" w:rsidRDefault="00812E17" w:rsidP="001E023F">
      <w:pPr>
        <w:rPr>
          <w:b/>
        </w:rPr>
      </w:pPr>
      <w:r w:rsidRPr="00812E17">
        <w:rPr>
          <w:b/>
        </w:rPr>
        <w:t xml:space="preserve">NTC </w:t>
      </w:r>
      <w:r>
        <w:rPr>
          <w:b/>
        </w:rPr>
        <w:t>issue</w:t>
      </w:r>
      <w:r w:rsidR="003C0F81">
        <w:rPr>
          <w:b/>
        </w:rPr>
        <w:t xml:space="preserve"> paper</w:t>
      </w:r>
      <w:r w:rsidRPr="00812E17">
        <w:rPr>
          <w:b/>
        </w:rPr>
        <w:t xml:space="preserve">: </w:t>
      </w:r>
      <w:r w:rsidR="001E023F" w:rsidRPr="00812E17">
        <w:rPr>
          <w:b/>
        </w:rPr>
        <w:t>Rank the three mechanisms</w:t>
      </w:r>
      <w:r>
        <w:rPr>
          <w:b/>
        </w:rPr>
        <w:t xml:space="preserve"> by </w:t>
      </w:r>
      <w:r w:rsidR="001E023F" w:rsidRPr="00812E17">
        <w:rPr>
          <w:b/>
        </w:rPr>
        <w:t xml:space="preserve">most feasible and </w:t>
      </w:r>
      <w:r>
        <w:rPr>
          <w:b/>
        </w:rPr>
        <w:t xml:space="preserve">commercially </w:t>
      </w:r>
      <w:r w:rsidR="001E023F" w:rsidRPr="00812E17">
        <w:rPr>
          <w:b/>
        </w:rPr>
        <w:t>attractive</w:t>
      </w:r>
      <w:r w:rsidR="002729F4">
        <w:rPr>
          <w:b/>
        </w:rPr>
        <w:t>:</w:t>
      </w:r>
    </w:p>
    <w:p w:rsidR="001E023F" w:rsidRDefault="001E023F" w:rsidP="001E023F"/>
    <w:p w:rsidR="001E023F" w:rsidRPr="00391B9D" w:rsidRDefault="002729F4" w:rsidP="00812E17">
      <w:pPr>
        <w:pStyle w:val="ListParagraph"/>
        <w:numPr>
          <w:ilvl w:val="0"/>
          <w:numId w:val="44"/>
        </w:numPr>
        <w:rPr>
          <w:b/>
        </w:rPr>
      </w:pPr>
      <w:r w:rsidRPr="00391B9D">
        <w:rPr>
          <w:b/>
        </w:rPr>
        <w:t>Increasing l</w:t>
      </w:r>
      <w:r w:rsidR="001E023F" w:rsidRPr="00391B9D">
        <w:rPr>
          <w:b/>
        </w:rPr>
        <w:t>ength</w:t>
      </w:r>
      <w:r w:rsidR="00812E17" w:rsidRPr="00391B9D">
        <w:rPr>
          <w:b/>
        </w:rPr>
        <w:t xml:space="preserve"> (high priority)</w:t>
      </w:r>
    </w:p>
    <w:p w:rsidR="001E023F" w:rsidRPr="005D5318" w:rsidRDefault="002729F4" w:rsidP="005D5318">
      <w:pPr>
        <w:pStyle w:val="ListParagraph"/>
        <w:numPr>
          <w:ilvl w:val="0"/>
          <w:numId w:val="44"/>
        </w:numPr>
        <w:rPr>
          <w:b/>
        </w:rPr>
      </w:pPr>
      <w:r w:rsidRPr="005D5318">
        <w:rPr>
          <w:b/>
        </w:rPr>
        <w:t>Increasing w</w:t>
      </w:r>
      <w:r w:rsidR="001E023F" w:rsidRPr="005D5318">
        <w:rPr>
          <w:b/>
        </w:rPr>
        <w:t>idth</w:t>
      </w:r>
      <w:r w:rsidR="00812E17" w:rsidRPr="005D5318">
        <w:rPr>
          <w:b/>
        </w:rPr>
        <w:t xml:space="preserve"> (high priority)</w:t>
      </w:r>
    </w:p>
    <w:p w:rsidR="001B738A" w:rsidRDefault="002729F4" w:rsidP="00812E17">
      <w:pPr>
        <w:pStyle w:val="ListParagraph"/>
        <w:numPr>
          <w:ilvl w:val="0"/>
          <w:numId w:val="45"/>
        </w:numPr>
      </w:pPr>
      <w:r>
        <w:t>Increasing h</w:t>
      </w:r>
      <w:r w:rsidR="001E023F">
        <w:t>eight</w:t>
      </w:r>
      <w:r w:rsidR="00812E17">
        <w:t xml:space="preserve"> (lowe</w:t>
      </w:r>
      <w:r w:rsidR="00391B9D">
        <w:t>r</w:t>
      </w:r>
      <w:r w:rsidR="00812E17">
        <w:t xml:space="preserve"> priority)</w:t>
      </w:r>
    </w:p>
    <w:p w:rsidR="00901F9E" w:rsidRDefault="00901F9E" w:rsidP="00901F9E">
      <w:pPr>
        <w:spacing w:after="240"/>
      </w:pPr>
      <w:r w:rsidRPr="00432A56">
        <w:t xml:space="preserve">Australian operators are </w:t>
      </w:r>
      <w:r>
        <w:t>predominantly</w:t>
      </w:r>
      <w:r w:rsidRPr="00432A56">
        <w:t xml:space="preserve"> generalists with most operating on short-term </w:t>
      </w:r>
      <w:r>
        <w:t xml:space="preserve">freight </w:t>
      </w:r>
      <w:r w:rsidRPr="00432A56">
        <w:t>cont</w:t>
      </w:r>
      <w:r w:rsidR="00BF7FAF">
        <w:t>r</w:t>
      </w:r>
      <w:r w:rsidRPr="00432A56">
        <w:t xml:space="preserve">acts </w:t>
      </w:r>
      <w:r>
        <w:t>(i.e.</w:t>
      </w:r>
      <w:r w:rsidRPr="00432A56">
        <w:t xml:space="preserve"> not for the life of the equipment lease period</w:t>
      </w:r>
      <w:r>
        <w:t>). V</w:t>
      </w:r>
      <w:r w:rsidRPr="009C0912">
        <w:t xml:space="preserve">ehicle specifications </w:t>
      </w:r>
      <w:r>
        <w:t>may be deliberately</w:t>
      </w:r>
      <w:r w:rsidRPr="009C0912">
        <w:t xml:space="preserve"> kept sub-optimal to ensure the same vehicle will be suitable for the next contract. This can lead to </w:t>
      </w:r>
      <w:r>
        <w:t xml:space="preserve">perverse yet </w:t>
      </w:r>
      <w:r w:rsidR="00826CF0">
        <w:t xml:space="preserve">commercially </w:t>
      </w:r>
      <w:r>
        <w:t xml:space="preserve">flexible freight </w:t>
      </w:r>
      <w:r w:rsidRPr="009C0912">
        <w:t>outcomes such as road train prime movers doing single trailer work</w:t>
      </w:r>
      <w:r w:rsidRPr="009C0912">
        <w:rPr>
          <w:b/>
        </w:rPr>
        <w:t>.</w:t>
      </w:r>
      <w:r>
        <w:rPr>
          <w:b/>
        </w:rPr>
        <w:t xml:space="preserve"> </w:t>
      </w:r>
      <w:r>
        <w:t>A</w:t>
      </w:r>
      <w:r w:rsidRPr="00432A56">
        <w:t>ny change</w:t>
      </w:r>
      <w:r>
        <w:t>s</w:t>
      </w:r>
      <w:r w:rsidRPr="00432A56">
        <w:t xml:space="preserve"> to </w:t>
      </w:r>
      <w:r>
        <w:t xml:space="preserve">heavy </w:t>
      </w:r>
      <w:r w:rsidRPr="00432A56">
        <w:t xml:space="preserve">vehicle dimensions and performance must </w:t>
      </w:r>
      <w:r>
        <w:t xml:space="preserve">therefore </w:t>
      </w:r>
      <w:r w:rsidRPr="00432A56">
        <w:t>continue to be optimal and modular to meet the needs of Australian industry</w:t>
      </w:r>
      <w:r>
        <w:t xml:space="preserve"> to be ultra-flexible</w:t>
      </w:r>
      <w:r w:rsidRPr="00432A56">
        <w:t>.</w:t>
      </w:r>
    </w:p>
    <w:p w:rsidR="00EC5964" w:rsidRDefault="00EC5964" w:rsidP="00EC5964">
      <w:pPr>
        <w:pStyle w:val="NoSpacing"/>
        <w:rPr>
          <w:rFonts w:eastAsia="Calibri"/>
          <w:color w:val="auto"/>
          <w:sz w:val="22"/>
          <w:szCs w:val="22"/>
          <w:lang w:eastAsia="en-US"/>
        </w:rPr>
      </w:pPr>
      <w:r>
        <w:rPr>
          <w:rFonts w:eastAsia="Calibri"/>
          <w:color w:val="auto"/>
          <w:sz w:val="22"/>
          <w:szCs w:val="22"/>
          <w:lang w:eastAsia="en-US"/>
        </w:rPr>
        <w:t>Overseas trends</w:t>
      </w:r>
      <w:r w:rsidRPr="00432A56">
        <w:rPr>
          <w:rFonts w:eastAsia="Calibri"/>
          <w:color w:val="auto"/>
          <w:sz w:val="22"/>
          <w:szCs w:val="22"/>
          <w:lang w:eastAsia="en-US"/>
        </w:rPr>
        <w:t xml:space="preserve"> </w:t>
      </w:r>
      <w:r>
        <w:rPr>
          <w:rFonts w:eastAsia="Calibri"/>
          <w:color w:val="auto"/>
          <w:sz w:val="22"/>
          <w:szCs w:val="22"/>
          <w:lang w:eastAsia="en-US"/>
        </w:rPr>
        <w:t xml:space="preserve">in transport logistics </w:t>
      </w:r>
      <w:r>
        <w:rPr>
          <w:rFonts w:eastAsia="Calibri"/>
          <w:color w:val="auto"/>
          <w:sz w:val="22"/>
          <w:szCs w:val="22"/>
          <w:lang w:eastAsia="en-US"/>
        </w:rPr>
        <w:t xml:space="preserve">also </w:t>
      </w:r>
      <w:r>
        <w:rPr>
          <w:rFonts w:eastAsia="Calibri"/>
          <w:color w:val="auto"/>
          <w:sz w:val="22"/>
          <w:szCs w:val="22"/>
          <w:lang w:eastAsia="en-US"/>
        </w:rPr>
        <w:t xml:space="preserve">tend to </w:t>
      </w:r>
      <w:r w:rsidRPr="00432A56">
        <w:rPr>
          <w:rFonts w:eastAsia="Calibri"/>
          <w:color w:val="auto"/>
          <w:sz w:val="22"/>
          <w:szCs w:val="22"/>
          <w:lang w:eastAsia="en-US"/>
        </w:rPr>
        <w:t>ha</w:t>
      </w:r>
      <w:r>
        <w:rPr>
          <w:rFonts w:eastAsia="Calibri"/>
          <w:color w:val="auto"/>
          <w:sz w:val="22"/>
          <w:szCs w:val="22"/>
          <w:lang w:eastAsia="en-US"/>
        </w:rPr>
        <w:t>ve</w:t>
      </w:r>
      <w:r w:rsidRPr="00432A56">
        <w:rPr>
          <w:rFonts w:eastAsia="Calibri"/>
          <w:color w:val="auto"/>
          <w:sz w:val="22"/>
          <w:szCs w:val="22"/>
          <w:lang w:eastAsia="en-US"/>
        </w:rPr>
        <w:t xml:space="preserve"> </w:t>
      </w:r>
      <w:r>
        <w:rPr>
          <w:rFonts w:eastAsia="Calibri"/>
          <w:color w:val="auto"/>
          <w:sz w:val="22"/>
          <w:szCs w:val="22"/>
          <w:lang w:eastAsia="en-US"/>
        </w:rPr>
        <w:t>large</w:t>
      </w:r>
      <w:r w:rsidRPr="00432A56">
        <w:rPr>
          <w:rFonts w:eastAsia="Calibri"/>
          <w:color w:val="auto"/>
          <w:sz w:val="22"/>
          <w:szCs w:val="22"/>
          <w:lang w:eastAsia="en-US"/>
        </w:rPr>
        <w:t xml:space="preserve"> </w:t>
      </w:r>
      <w:r>
        <w:rPr>
          <w:rFonts w:eastAsia="Calibri"/>
          <w:color w:val="auto"/>
          <w:sz w:val="22"/>
          <w:szCs w:val="22"/>
          <w:lang w:eastAsia="en-US"/>
        </w:rPr>
        <w:t xml:space="preserve">downstream </w:t>
      </w:r>
      <w:r w:rsidRPr="00432A56">
        <w:rPr>
          <w:rFonts w:eastAsia="Calibri"/>
          <w:color w:val="auto"/>
          <w:sz w:val="22"/>
          <w:szCs w:val="22"/>
          <w:lang w:eastAsia="en-US"/>
        </w:rPr>
        <w:t>implications for the road transport industry</w:t>
      </w:r>
      <w:r>
        <w:rPr>
          <w:rFonts w:eastAsia="Calibri"/>
          <w:color w:val="auto"/>
          <w:sz w:val="22"/>
          <w:szCs w:val="22"/>
          <w:lang w:eastAsia="en-US"/>
        </w:rPr>
        <w:t xml:space="preserve">. </w:t>
      </w:r>
      <w:r>
        <w:rPr>
          <w:rFonts w:eastAsia="Calibri"/>
          <w:color w:val="auto"/>
          <w:sz w:val="22"/>
          <w:szCs w:val="22"/>
          <w:lang w:eastAsia="en-US"/>
        </w:rPr>
        <w:t>The ATA is mindful of the changing nature of transport logistics which</w:t>
      </w:r>
      <w:r>
        <w:rPr>
          <w:rFonts w:eastAsia="Calibri"/>
          <w:color w:val="auto"/>
          <w:sz w:val="22"/>
          <w:szCs w:val="22"/>
          <w:lang w:eastAsia="en-US"/>
        </w:rPr>
        <w:t xml:space="preserve"> for example</w:t>
      </w:r>
      <w:r>
        <w:rPr>
          <w:rFonts w:eastAsia="Calibri"/>
          <w:color w:val="auto"/>
          <w:sz w:val="22"/>
          <w:szCs w:val="22"/>
          <w:lang w:eastAsia="en-US"/>
        </w:rPr>
        <w:t xml:space="preserve"> plac</w:t>
      </w:r>
      <w:r>
        <w:rPr>
          <w:rFonts w:eastAsia="Calibri"/>
          <w:color w:val="auto"/>
          <w:sz w:val="22"/>
          <w:szCs w:val="22"/>
          <w:lang w:eastAsia="en-US"/>
        </w:rPr>
        <w:t>es</w:t>
      </w:r>
      <w:r>
        <w:rPr>
          <w:rFonts w:eastAsia="Calibri"/>
          <w:color w:val="auto"/>
          <w:sz w:val="22"/>
          <w:szCs w:val="22"/>
          <w:lang w:eastAsia="en-US"/>
        </w:rPr>
        <w:t xml:space="preserve"> </w:t>
      </w:r>
      <w:r w:rsidRPr="001E023F">
        <w:rPr>
          <w:rFonts w:eastAsia="Calibri"/>
          <w:color w:val="auto"/>
          <w:sz w:val="22"/>
          <w:szCs w:val="22"/>
          <w:lang w:eastAsia="en-US"/>
        </w:rPr>
        <w:t xml:space="preserve">pressure on industry to adapt </w:t>
      </w:r>
      <w:r>
        <w:rPr>
          <w:rFonts w:eastAsia="Calibri"/>
          <w:color w:val="auto"/>
          <w:sz w:val="22"/>
          <w:szCs w:val="22"/>
          <w:lang w:eastAsia="en-US"/>
        </w:rPr>
        <w:t xml:space="preserve">to </w:t>
      </w:r>
      <w:r>
        <w:rPr>
          <w:rFonts w:eastAsia="Calibri"/>
          <w:color w:val="auto"/>
          <w:sz w:val="22"/>
          <w:szCs w:val="22"/>
          <w:lang w:eastAsia="en-US"/>
        </w:rPr>
        <w:t>a rise in</w:t>
      </w:r>
      <w:r>
        <w:rPr>
          <w:rFonts w:eastAsia="Calibri"/>
          <w:color w:val="auto"/>
          <w:sz w:val="22"/>
          <w:szCs w:val="22"/>
          <w:lang w:eastAsia="en-US"/>
        </w:rPr>
        <w:t xml:space="preserve"> </w:t>
      </w:r>
      <w:r w:rsidRPr="001E023F">
        <w:rPr>
          <w:rFonts w:eastAsia="Calibri"/>
          <w:color w:val="auto"/>
          <w:sz w:val="22"/>
          <w:szCs w:val="22"/>
          <w:lang w:eastAsia="en-US"/>
        </w:rPr>
        <w:t>containerised volume</w:t>
      </w:r>
      <w:r>
        <w:rPr>
          <w:rFonts w:eastAsia="Calibri"/>
          <w:color w:val="auto"/>
          <w:sz w:val="22"/>
          <w:szCs w:val="22"/>
          <w:lang w:eastAsia="en-US"/>
        </w:rPr>
        <w:t xml:space="preserve">, and the </w:t>
      </w:r>
      <w:r w:rsidRPr="001E023F">
        <w:rPr>
          <w:rFonts w:eastAsia="Calibri"/>
          <w:color w:val="auto"/>
          <w:sz w:val="22"/>
          <w:szCs w:val="22"/>
          <w:lang w:eastAsia="en-US"/>
        </w:rPr>
        <w:t xml:space="preserve">use of 40-foot and potentially 45-foot boxes. This </w:t>
      </w:r>
      <w:r>
        <w:rPr>
          <w:rFonts w:eastAsia="Calibri"/>
          <w:color w:val="auto"/>
          <w:sz w:val="22"/>
          <w:szCs w:val="22"/>
          <w:lang w:eastAsia="en-US"/>
        </w:rPr>
        <w:t xml:space="preserve">according to the NTC </w:t>
      </w:r>
      <w:r w:rsidRPr="001E023F">
        <w:rPr>
          <w:rFonts w:eastAsia="Calibri"/>
          <w:color w:val="auto"/>
          <w:sz w:val="22"/>
          <w:szCs w:val="22"/>
          <w:lang w:eastAsia="en-US"/>
        </w:rPr>
        <w:t>ch</w:t>
      </w:r>
      <w:r>
        <w:rPr>
          <w:rFonts w:eastAsia="Calibri"/>
          <w:color w:val="auto"/>
          <w:sz w:val="22"/>
          <w:szCs w:val="22"/>
          <w:lang w:eastAsia="en-US"/>
        </w:rPr>
        <w:t>allenges typical three</w:t>
      </w:r>
      <w:r w:rsidRPr="001E023F">
        <w:rPr>
          <w:rFonts w:eastAsia="Calibri"/>
          <w:color w:val="auto"/>
          <w:sz w:val="22"/>
          <w:szCs w:val="22"/>
          <w:lang w:eastAsia="en-US"/>
        </w:rPr>
        <w:t xml:space="preserve"> </w:t>
      </w:r>
      <w:r>
        <w:rPr>
          <w:rFonts w:eastAsia="Calibri"/>
          <w:color w:val="auto"/>
          <w:sz w:val="22"/>
          <w:szCs w:val="22"/>
          <w:lang w:eastAsia="en-US"/>
        </w:rPr>
        <w:t>container</w:t>
      </w:r>
      <w:r w:rsidRPr="001E023F">
        <w:rPr>
          <w:rFonts w:eastAsia="Calibri"/>
          <w:color w:val="auto"/>
          <w:sz w:val="22"/>
          <w:szCs w:val="22"/>
          <w:lang w:eastAsia="en-US"/>
        </w:rPr>
        <w:t xml:space="preserve"> 25/26 m</w:t>
      </w:r>
      <w:r>
        <w:rPr>
          <w:rFonts w:eastAsia="Calibri"/>
          <w:color w:val="auto"/>
          <w:sz w:val="22"/>
          <w:szCs w:val="22"/>
          <w:lang w:eastAsia="en-US"/>
        </w:rPr>
        <w:t xml:space="preserve"> </w:t>
      </w:r>
      <w:r w:rsidRPr="001E023F">
        <w:rPr>
          <w:rFonts w:eastAsia="Calibri"/>
          <w:color w:val="auto"/>
          <w:sz w:val="22"/>
          <w:szCs w:val="22"/>
          <w:lang w:eastAsia="en-US"/>
        </w:rPr>
        <w:t>B</w:t>
      </w:r>
      <w:r>
        <w:rPr>
          <w:rFonts w:eastAsia="Calibri"/>
          <w:color w:val="auto"/>
          <w:sz w:val="22"/>
          <w:szCs w:val="22"/>
          <w:lang w:eastAsia="en-US"/>
        </w:rPr>
        <w:t>-</w:t>
      </w:r>
      <w:r w:rsidRPr="001E023F">
        <w:rPr>
          <w:rFonts w:eastAsia="Calibri"/>
          <w:color w:val="auto"/>
          <w:sz w:val="22"/>
          <w:szCs w:val="22"/>
          <w:lang w:eastAsia="en-US"/>
        </w:rPr>
        <w:t>double</w:t>
      </w:r>
      <w:r>
        <w:rPr>
          <w:rFonts w:eastAsia="Calibri"/>
          <w:color w:val="auto"/>
          <w:sz w:val="22"/>
          <w:szCs w:val="22"/>
          <w:lang w:eastAsia="en-US"/>
        </w:rPr>
        <w:t>s which</w:t>
      </w:r>
      <w:r>
        <w:rPr>
          <w:rFonts w:eastAsia="Calibri"/>
          <w:color w:val="auto"/>
          <w:sz w:val="22"/>
          <w:szCs w:val="22"/>
          <w:lang w:eastAsia="en-US"/>
        </w:rPr>
        <w:t xml:space="preserve"> have</w:t>
      </w:r>
      <w:r>
        <w:rPr>
          <w:rFonts w:eastAsia="Calibri"/>
          <w:color w:val="auto"/>
          <w:sz w:val="22"/>
          <w:szCs w:val="22"/>
          <w:lang w:eastAsia="en-US"/>
        </w:rPr>
        <w:t xml:space="preserve"> since the eighties</w:t>
      </w:r>
      <w:r>
        <w:rPr>
          <w:rFonts w:eastAsia="Calibri"/>
          <w:color w:val="auto"/>
          <w:sz w:val="22"/>
          <w:szCs w:val="22"/>
          <w:lang w:eastAsia="en-US"/>
        </w:rPr>
        <w:t xml:space="preserve"> </w:t>
      </w:r>
      <w:r>
        <w:rPr>
          <w:rFonts w:eastAsia="Calibri"/>
          <w:color w:val="auto"/>
          <w:sz w:val="22"/>
          <w:szCs w:val="22"/>
          <w:lang w:eastAsia="en-US"/>
        </w:rPr>
        <w:t xml:space="preserve">replaced semi-trailers as the </w:t>
      </w:r>
      <w:r>
        <w:rPr>
          <w:rFonts w:eastAsia="Calibri"/>
          <w:color w:val="auto"/>
          <w:sz w:val="22"/>
          <w:szCs w:val="22"/>
          <w:lang w:eastAsia="en-US"/>
        </w:rPr>
        <w:t>main</w:t>
      </w:r>
      <w:r>
        <w:rPr>
          <w:rFonts w:eastAsia="Calibri"/>
          <w:color w:val="auto"/>
          <w:sz w:val="22"/>
          <w:szCs w:val="22"/>
          <w:lang w:eastAsia="en-US"/>
        </w:rPr>
        <w:t xml:space="preserve"> </w:t>
      </w:r>
      <w:r>
        <w:rPr>
          <w:rFonts w:eastAsia="Calibri"/>
          <w:color w:val="auto"/>
          <w:sz w:val="22"/>
          <w:szCs w:val="22"/>
          <w:lang w:eastAsia="en-US"/>
        </w:rPr>
        <w:t>way to meet a</w:t>
      </w:r>
      <w:r>
        <w:rPr>
          <w:rFonts w:eastAsia="Calibri"/>
          <w:color w:val="auto"/>
          <w:sz w:val="22"/>
          <w:szCs w:val="22"/>
          <w:lang w:eastAsia="en-US"/>
        </w:rPr>
        <w:t xml:space="preserve"> </w:t>
      </w:r>
      <w:r>
        <w:rPr>
          <w:rFonts w:eastAsia="Calibri"/>
          <w:color w:val="auto"/>
          <w:sz w:val="22"/>
          <w:szCs w:val="22"/>
          <w:lang w:eastAsia="en-US"/>
        </w:rPr>
        <w:t xml:space="preserve">growing </w:t>
      </w:r>
      <w:r>
        <w:rPr>
          <w:rFonts w:eastAsia="Calibri"/>
          <w:color w:val="auto"/>
          <w:sz w:val="22"/>
          <w:szCs w:val="22"/>
          <w:lang w:eastAsia="en-US"/>
        </w:rPr>
        <w:t>land freight task</w:t>
      </w:r>
      <w:r w:rsidRPr="001E023F">
        <w:rPr>
          <w:rFonts w:eastAsia="Calibri"/>
          <w:color w:val="auto"/>
          <w:sz w:val="22"/>
          <w:szCs w:val="22"/>
          <w:lang w:eastAsia="en-US"/>
        </w:rPr>
        <w:t>.</w:t>
      </w:r>
      <w:r>
        <w:rPr>
          <w:rFonts w:eastAsia="Calibri"/>
          <w:color w:val="auto"/>
          <w:sz w:val="22"/>
          <w:szCs w:val="22"/>
          <w:lang w:eastAsia="en-US"/>
        </w:rPr>
        <w:t xml:space="preserve"> As </w:t>
      </w:r>
      <w:r>
        <w:rPr>
          <w:rFonts w:eastAsia="Calibri"/>
          <w:color w:val="auto"/>
          <w:sz w:val="22"/>
          <w:szCs w:val="22"/>
          <w:lang w:eastAsia="en-US"/>
        </w:rPr>
        <w:t>noted</w:t>
      </w:r>
      <w:r>
        <w:rPr>
          <w:rFonts w:eastAsia="Calibri"/>
          <w:color w:val="auto"/>
          <w:sz w:val="22"/>
          <w:szCs w:val="22"/>
          <w:lang w:eastAsia="en-US"/>
        </w:rPr>
        <w:t xml:space="preserve"> above, t</w:t>
      </w:r>
      <w:r w:rsidRPr="00432A56">
        <w:rPr>
          <w:rFonts w:eastAsia="Calibri"/>
          <w:color w:val="auto"/>
          <w:sz w:val="22"/>
          <w:szCs w:val="22"/>
          <w:lang w:eastAsia="en-US"/>
        </w:rPr>
        <w:t xml:space="preserve">he characteristics of truck equipment, loads and loading schemes are </w:t>
      </w:r>
      <w:r>
        <w:rPr>
          <w:rFonts w:eastAsia="Calibri"/>
          <w:color w:val="auto"/>
          <w:sz w:val="22"/>
          <w:szCs w:val="22"/>
          <w:lang w:eastAsia="en-US"/>
        </w:rPr>
        <w:t>evolving</w:t>
      </w:r>
      <w:r w:rsidRPr="00432A56">
        <w:rPr>
          <w:rFonts w:eastAsia="Calibri"/>
          <w:color w:val="auto"/>
          <w:sz w:val="22"/>
          <w:szCs w:val="22"/>
          <w:lang w:eastAsia="en-US"/>
        </w:rPr>
        <w:t>.</w:t>
      </w:r>
      <w:r w:rsidRPr="00EC5964">
        <w:rPr>
          <w:rFonts w:eastAsia="Calibri"/>
          <w:color w:val="auto"/>
          <w:sz w:val="22"/>
          <w:szCs w:val="22"/>
          <w:lang w:eastAsia="en-US"/>
        </w:rPr>
        <w:t xml:space="preserve"> </w:t>
      </w:r>
    </w:p>
    <w:p w:rsidR="00EC5964" w:rsidRPr="00432A56" w:rsidRDefault="00EC5964" w:rsidP="00EC5964">
      <w:pPr>
        <w:pStyle w:val="NoSpacing"/>
        <w:rPr>
          <w:rFonts w:eastAsia="Calibri"/>
          <w:color w:val="auto"/>
          <w:sz w:val="22"/>
          <w:szCs w:val="22"/>
          <w:lang w:eastAsia="en-US"/>
        </w:rPr>
      </w:pPr>
    </w:p>
    <w:p w:rsidR="00A26BE4" w:rsidRPr="00432A56" w:rsidRDefault="00A26BE4" w:rsidP="00A26BE4">
      <w:pPr>
        <w:pStyle w:val="NoSpacing"/>
        <w:rPr>
          <w:rFonts w:eastAsia="Calibri"/>
          <w:color w:val="auto"/>
          <w:sz w:val="22"/>
          <w:szCs w:val="22"/>
          <w:lang w:eastAsia="en-US"/>
        </w:rPr>
      </w:pPr>
      <w:r w:rsidRPr="00432A56">
        <w:rPr>
          <w:rFonts w:eastAsia="Calibri"/>
          <w:color w:val="auto"/>
          <w:sz w:val="22"/>
          <w:szCs w:val="22"/>
          <w:lang w:eastAsia="en-US"/>
        </w:rPr>
        <w:t xml:space="preserve">In terms of domestic industry demand for increasing load capacity, it should </w:t>
      </w:r>
      <w:r w:rsidR="00EC5964">
        <w:rPr>
          <w:rFonts w:eastAsia="Calibri"/>
          <w:color w:val="auto"/>
          <w:sz w:val="22"/>
          <w:szCs w:val="22"/>
          <w:lang w:eastAsia="en-US"/>
        </w:rPr>
        <w:t xml:space="preserve">also </w:t>
      </w:r>
      <w:r w:rsidRPr="00432A56">
        <w:rPr>
          <w:rFonts w:eastAsia="Calibri"/>
          <w:color w:val="auto"/>
          <w:sz w:val="22"/>
          <w:szCs w:val="22"/>
          <w:lang w:eastAsia="en-US"/>
        </w:rPr>
        <w:t>be borne in mind that Australia sources all key materials for trucks and trailers, either complete or as a components, from three key regions – NE Asia (Japan) (49.5% of total market), USA (5.3%) and Europe (28.5%) along with some local manufacturers (16.7%) wh</w:t>
      </w:r>
      <w:r w:rsidR="00EC5964">
        <w:rPr>
          <w:rFonts w:eastAsia="Calibri"/>
          <w:color w:val="auto"/>
          <w:sz w:val="22"/>
          <w:szCs w:val="22"/>
          <w:lang w:eastAsia="en-US"/>
        </w:rPr>
        <w:t>o</w:t>
      </w:r>
      <w:r w:rsidRPr="00432A56">
        <w:rPr>
          <w:rFonts w:eastAsia="Calibri"/>
          <w:color w:val="auto"/>
          <w:sz w:val="22"/>
          <w:szCs w:val="22"/>
          <w:lang w:eastAsia="en-US"/>
        </w:rPr>
        <w:t xml:space="preserve"> are still reliant upon technology from these overseas markets.</w:t>
      </w:r>
    </w:p>
    <w:p w:rsidR="00A26BE4" w:rsidRDefault="00A26BE4" w:rsidP="009C0912">
      <w:pPr>
        <w:rPr>
          <w:b/>
        </w:rPr>
      </w:pPr>
    </w:p>
    <w:p w:rsidR="001E023F" w:rsidRDefault="003C0F81" w:rsidP="009C0912">
      <w:pPr>
        <w:rPr>
          <w:b/>
        </w:rPr>
      </w:pPr>
      <w:r w:rsidRPr="00812E17">
        <w:rPr>
          <w:b/>
        </w:rPr>
        <w:t xml:space="preserve">NTC </w:t>
      </w:r>
      <w:r>
        <w:rPr>
          <w:b/>
        </w:rPr>
        <w:t>issue paper</w:t>
      </w:r>
      <w:r w:rsidR="00DD725B" w:rsidRPr="00812E17">
        <w:rPr>
          <w:b/>
        </w:rPr>
        <w:t xml:space="preserve">: </w:t>
      </w:r>
      <w:r w:rsidR="001E023F" w:rsidRPr="00DD725B">
        <w:rPr>
          <w:b/>
        </w:rPr>
        <w:t>Which freight types could benefit right now from increasing volumetric load capacity?</w:t>
      </w:r>
    </w:p>
    <w:p w:rsidR="00EA2537" w:rsidRDefault="00F32F01" w:rsidP="001623CC">
      <w:pPr>
        <w:spacing w:after="240"/>
      </w:pPr>
      <w:r>
        <w:t>Transport of f</w:t>
      </w:r>
      <w:r w:rsidR="0037439E" w:rsidRPr="0037439E">
        <w:t xml:space="preserve">urniture, empty </w:t>
      </w:r>
      <w:r w:rsidR="00441166">
        <w:t xml:space="preserve">or lightly laden </w:t>
      </w:r>
      <w:r>
        <w:t>TEU</w:t>
      </w:r>
      <w:r w:rsidR="0037439E">
        <w:t xml:space="preserve">, </w:t>
      </w:r>
      <w:r w:rsidR="0037439E" w:rsidRPr="0037439E">
        <w:t xml:space="preserve">and general freight </w:t>
      </w:r>
      <w:r>
        <w:t>such as</w:t>
      </w:r>
      <w:r w:rsidR="0037439E" w:rsidRPr="0037439E">
        <w:t xml:space="preserve"> refrigerated </w:t>
      </w:r>
      <w:r w:rsidR="00124E0A">
        <w:t>product</w:t>
      </w:r>
      <w:r w:rsidR="0037439E">
        <w:t xml:space="preserve"> as well as other </w:t>
      </w:r>
      <w:r w:rsidR="00124E0A">
        <w:t>light</w:t>
      </w:r>
      <w:r w:rsidR="00441166">
        <w:t>er</w:t>
      </w:r>
      <w:r w:rsidR="00124E0A">
        <w:t xml:space="preserve">, </w:t>
      </w:r>
      <w:r w:rsidR="004756F3">
        <w:t xml:space="preserve">fast-moving </w:t>
      </w:r>
      <w:r w:rsidR="0037439E">
        <w:t xml:space="preserve">consumer goods </w:t>
      </w:r>
      <w:r>
        <w:t>were</w:t>
      </w:r>
      <w:r w:rsidR="0037439E">
        <w:t xml:space="preserve"> </w:t>
      </w:r>
      <w:r w:rsidR="004756F3">
        <w:t>raised</w:t>
      </w:r>
      <w:r w:rsidR="0037439E">
        <w:t xml:space="preserve"> </w:t>
      </w:r>
      <w:r>
        <w:t xml:space="preserve">in the industry workshop </w:t>
      </w:r>
      <w:r w:rsidR="0037439E">
        <w:t xml:space="preserve">as </w:t>
      </w:r>
      <w:r w:rsidR="004756F3">
        <w:t xml:space="preserve">obvious </w:t>
      </w:r>
      <w:r w:rsidR="0037439E">
        <w:t xml:space="preserve">candidates for </w:t>
      </w:r>
      <w:r w:rsidR="0083341C">
        <w:t>volumetric freight</w:t>
      </w:r>
      <w:r w:rsidR="00441166">
        <w:t xml:space="preserve"> load capacity</w:t>
      </w:r>
      <w:r w:rsidR="0083341C">
        <w:t xml:space="preserve"> increases</w:t>
      </w:r>
      <w:r w:rsidR="0037439E">
        <w:t xml:space="preserve">. </w:t>
      </w:r>
    </w:p>
    <w:p w:rsidR="005D2D75" w:rsidRDefault="008E51F4" w:rsidP="008E51F4">
      <w:pPr>
        <w:spacing w:after="240"/>
      </w:pPr>
      <w:r>
        <w:lastRenderedPageBreak/>
        <w:t>The refrigerated trailer market is</w:t>
      </w:r>
      <w:r w:rsidR="0009386C">
        <w:t>,</w:t>
      </w:r>
      <w:r>
        <w:t xml:space="preserve"> </w:t>
      </w:r>
      <w:r w:rsidR="0009386C">
        <w:t>according to a 2016 report</w:t>
      </w:r>
      <w:r w:rsidR="0009386C">
        <w:rPr>
          <w:rStyle w:val="FootnoteReference"/>
        </w:rPr>
        <w:footnoteReference w:id="1"/>
      </w:r>
      <w:r w:rsidR="0009386C">
        <w:t xml:space="preserve">, </w:t>
      </w:r>
      <w:r>
        <w:t xml:space="preserve">gaining </w:t>
      </w:r>
      <w:r w:rsidR="0009386C">
        <w:t xml:space="preserve">both </w:t>
      </w:r>
      <w:r w:rsidR="00A229EA">
        <w:t xml:space="preserve">in Australia and worldwide because of new </w:t>
      </w:r>
      <w:r>
        <w:t xml:space="preserve">advanced </w:t>
      </w:r>
      <w:r w:rsidR="00A229EA">
        <w:t xml:space="preserve">equipment and </w:t>
      </w:r>
      <w:r>
        <w:t>technologies</w:t>
      </w:r>
      <w:r w:rsidR="0009386C">
        <w:t>.</w:t>
      </w:r>
      <w:r>
        <w:t xml:space="preserve"> By product type, chilled was the largest segment for the refrigerated trailer</w:t>
      </w:r>
      <w:r w:rsidR="007F678F">
        <w:t xml:space="preserve"> sector</w:t>
      </w:r>
      <w:r>
        <w:t>, accounting for 61.3 per cent market share in 2014</w:t>
      </w:r>
      <w:r w:rsidR="0009386C">
        <w:t xml:space="preserve"> </w:t>
      </w:r>
      <w:r w:rsidR="007F678F">
        <w:t>with</w:t>
      </w:r>
      <w:r w:rsidR="0009386C">
        <w:t xml:space="preserve"> t</w:t>
      </w:r>
      <w:r w:rsidR="0009386C" w:rsidRPr="0009386C">
        <w:t>he Asia-Pacific</w:t>
      </w:r>
      <w:r w:rsidR="005D2D75">
        <w:t>,</w:t>
      </w:r>
      <w:r w:rsidR="0009386C" w:rsidRPr="0009386C">
        <w:t xml:space="preserve"> </w:t>
      </w:r>
      <w:r w:rsidR="005D2D75">
        <w:t>namely</w:t>
      </w:r>
      <w:r w:rsidR="0009386C" w:rsidRPr="0009386C">
        <w:t xml:space="preserve"> China and Australia</w:t>
      </w:r>
      <w:r w:rsidR="005D2D75">
        <w:t>,</w:t>
      </w:r>
      <w:r w:rsidR="0009386C" w:rsidRPr="0009386C">
        <w:t xml:space="preserve"> is considered </w:t>
      </w:r>
      <w:r w:rsidR="0009386C">
        <w:t>‘</w:t>
      </w:r>
      <w:r w:rsidR="0009386C" w:rsidRPr="0009386C">
        <w:t>a key gr</w:t>
      </w:r>
      <w:r w:rsidR="0009386C">
        <w:t>owth driver for the future’</w:t>
      </w:r>
      <w:r w:rsidR="0009386C" w:rsidRPr="0009386C">
        <w:t xml:space="preserve">. As a result, demand for refrigerated transport equipment is </w:t>
      </w:r>
      <w:r w:rsidR="005D2D75">
        <w:t>predicted</w:t>
      </w:r>
      <w:r w:rsidR="0009386C" w:rsidRPr="0009386C">
        <w:t xml:space="preserve"> to grow</w:t>
      </w:r>
      <w:r w:rsidR="005D2D75">
        <w:t xml:space="preserve"> strongly</w:t>
      </w:r>
      <w:r w:rsidR="0009386C" w:rsidRPr="0009386C">
        <w:t xml:space="preserve"> in </w:t>
      </w:r>
      <w:r w:rsidR="005D2D75">
        <w:t>our</w:t>
      </w:r>
      <w:r w:rsidR="0009386C" w:rsidRPr="0009386C">
        <w:t xml:space="preserve"> region over the </w:t>
      </w:r>
      <w:r w:rsidR="005D2D75">
        <w:t xml:space="preserve">next five </w:t>
      </w:r>
      <w:r w:rsidR="0009386C" w:rsidRPr="0009386C">
        <w:t>year</w:t>
      </w:r>
      <w:r w:rsidR="005D2D75">
        <w:t>s</w:t>
      </w:r>
      <w:r w:rsidR="0009386C" w:rsidRPr="0009386C">
        <w:t>.</w:t>
      </w:r>
      <w:r w:rsidR="005D2D75">
        <w:t xml:space="preserve"> </w:t>
      </w:r>
    </w:p>
    <w:p w:rsidR="00892354" w:rsidRDefault="007F678F" w:rsidP="00892354">
      <w:r>
        <w:t>Of course, n</w:t>
      </w:r>
      <w:r w:rsidR="00892354">
        <w:t xml:space="preserve">ot all sectors of the road transport industry </w:t>
      </w:r>
      <w:r>
        <w:t>can</w:t>
      </w:r>
      <w:r w:rsidR="00892354">
        <w:t xml:space="preserve"> capitalise on pure volumetric increase because their freight </w:t>
      </w:r>
      <w:r>
        <w:t xml:space="preserve">type </w:t>
      </w:r>
      <w:r w:rsidR="00892354">
        <w:t xml:space="preserve">reaches maximum mass limits well before payload space </w:t>
      </w:r>
      <w:r>
        <w:t>is</w:t>
      </w:r>
      <w:r w:rsidR="00892354">
        <w:t xml:space="preserve"> an issue. Such sectors (e.g. dry bulk freight</w:t>
      </w:r>
      <w:r>
        <w:t xml:space="preserve"> haulage</w:t>
      </w:r>
      <w:r w:rsidR="00892354">
        <w:t xml:space="preserve"> </w:t>
      </w:r>
      <w:r>
        <w:t>of</w:t>
      </w:r>
      <w:r w:rsidR="00892354">
        <w:t xml:space="preserve"> gravel</w:t>
      </w:r>
      <w:r>
        <w:t xml:space="preserve"> or </w:t>
      </w:r>
      <w:r w:rsidR="00892354">
        <w:t xml:space="preserve">sand) </w:t>
      </w:r>
      <w:r>
        <w:t>already have the</w:t>
      </w:r>
      <w:r w:rsidR="00892354">
        <w:t xml:space="preserve"> opportunity to participate in </w:t>
      </w:r>
      <w:r>
        <w:t xml:space="preserve">a </w:t>
      </w:r>
      <w:r w:rsidR="00892354">
        <w:t xml:space="preserve">productivity </w:t>
      </w:r>
      <w:r>
        <w:t>scheme called</w:t>
      </w:r>
      <w:r w:rsidR="00892354">
        <w:t xml:space="preserve"> the Performance-Based Standards Scheme</w:t>
      </w:r>
      <w:r>
        <w:t xml:space="preserve"> but </w:t>
      </w:r>
      <w:r w:rsidR="00433FDB">
        <w:t xml:space="preserve">it represents a slow, non-prescriptive </w:t>
      </w:r>
      <w:r>
        <w:t>path to access</w:t>
      </w:r>
      <w:r w:rsidR="00892354">
        <w:t>.</w:t>
      </w:r>
    </w:p>
    <w:p w:rsidR="00EE2D7E" w:rsidRDefault="00EE2D7E" w:rsidP="00EA2537">
      <w:pPr>
        <w:rPr>
          <w:b/>
        </w:rPr>
      </w:pPr>
    </w:p>
    <w:p w:rsidR="00EA2537" w:rsidRPr="00EA2537" w:rsidRDefault="003C0F81" w:rsidP="00EA2537">
      <w:pPr>
        <w:rPr>
          <w:b/>
        </w:rPr>
      </w:pPr>
      <w:r w:rsidRPr="00812E17">
        <w:rPr>
          <w:b/>
        </w:rPr>
        <w:t xml:space="preserve">NTC </w:t>
      </w:r>
      <w:r>
        <w:rPr>
          <w:b/>
        </w:rPr>
        <w:t>issue paper</w:t>
      </w:r>
      <w:r w:rsidR="00EA2537" w:rsidRPr="00EA2537">
        <w:rPr>
          <w:b/>
        </w:rPr>
        <w:t>: How do we make a case for public expenditure on upgrades to support</w:t>
      </w:r>
      <w:r w:rsidR="00905BE0">
        <w:rPr>
          <w:b/>
        </w:rPr>
        <w:t xml:space="preserve"> </w:t>
      </w:r>
      <w:r w:rsidR="00EA2537" w:rsidRPr="00EA2537">
        <w:rPr>
          <w:b/>
        </w:rPr>
        <w:t xml:space="preserve">productivity? </w:t>
      </w:r>
    </w:p>
    <w:p w:rsidR="001623CC" w:rsidRDefault="00312765" w:rsidP="00DD725B">
      <w:pPr>
        <w:spacing w:after="240"/>
      </w:pPr>
      <w:r>
        <w:t xml:space="preserve">The case </w:t>
      </w:r>
      <w:r w:rsidR="00905332">
        <w:t>is</w:t>
      </w:r>
      <w:r>
        <w:t xml:space="preserve"> </w:t>
      </w:r>
      <w:r w:rsidR="00905332">
        <w:t>similar</w:t>
      </w:r>
      <w:r>
        <w:t xml:space="preserve"> for volumetric and mass increases. </w:t>
      </w:r>
      <w:r w:rsidR="00892354">
        <w:t>Higher capacity, stronger, divided</w:t>
      </w:r>
      <w:r>
        <w:t xml:space="preserve"> road infrastructure is </w:t>
      </w:r>
      <w:r w:rsidR="00905332">
        <w:t>needed</w:t>
      </w:r>
      <w:r>
        <w:t xml:space="preserve"> to host </w:t>
      </w:r>
      <w:r w:rsidR="00892354">
        <w:t>a 21</w:t>
      </w:r>
      <w:r w:rsidR="00892354" w:rsidRPr="00892354">
        <w:rPr>
          <w:vertAlign w:val="superscript"/>
        </w:rPr>
        <w:t>st</w:t>
      </w:r>
      <w:r w:rsidR="00892354">
        <w:t xml:space="preserve"> century fleet of </w:t>
      </w:r>
      <w:r>
        <w:t xml:space="preserve">modern </w:t>
      </w:r>
      <w:r w:rsidR="00905332">
        <w:t>higher productivity vehicles</w:t>
      </w:r>
      <w:r>
        <w:t xml:space="preserve">. </w:t>
      </w:r>
      <w:r w:rsidR="00EC27C3">
        <w:t>Industry welcome</w:t>
      </w:r>
      <w:r>
        <w:t>s</w:t>
      </w:r>
      <w:r w:rsidR="00EC27C3">
        <w:t xml:space="preserve"> opportunit</w:t>
      </w:r>
      <w:r w:rsidR="00905332">
        <w:t>ies</w:t>
      </w:r>
      <w:r w:rsidR="00EC27C3">
        <w:t xml:space="preserve"> </w:t>
      </w:r>
      <w:r w:rsidR="000841E5">
        <w:t xml:space="preserve">to </w:t>
      </w:r>
      <w:r w:rsidR="00EC27C3">
        <w:t xml:space="preserve">use longer </w:t>
      </w:r>
      <w:r w:rsidR="000841E5">
        <w:t xml:space="preserve">and/or wider </w:t>
      </w:r>
      <w:r w:rsidR="00EC27C3">
        <w:t xml:space="preserve">vehicles </w:t>
      </w:r>
      <w:r>
        <w:t>but not if</w:t>
      </w:r>
      <w:r w:rsidR="000841E5">
        <w:t xml:space="preserve"> forced to proceed through the long, expensive and </w:t>
      </w:r>
      <w:r>
        <w:t xml:space="preserve">often </w:t>
      </w:r>
      <w:r w:rsidR="000841E5">
        <w:t>ultimately disappointing PBS scheme.</w:t>
      </w:r>
      <w:r w:rsidR="00EA2537">
        <w:t xml:space="preserve"> </w:t>
      </w:r>
    </w:p>
    <w:p w:rsidR="007635E4" w:rsidRDefault="0083341C" w:rsidP="0083341C">
      <w:pPr>
        <w:spacing w:after="240"/>
      </w:pPr>
      <w:r>
        <w:t xml:space="preserve">Nevertheless, </w:t>
      </w:r>
      <w:r w:rsidR="007635E4">
        <w:t xml:space="preserve">industry </w:t>
      </w:r>
      <w:r>
        <w:t xml:space="preserve">demand </w:t>
      </w:r>
      <w:r w:rsidR="00905332">
        <w:t>is clearly there</w:t>
      </w:r>
      <w:r w:rsidR="00905332">
        <w:t xml:space="preserve"> </w:t>
      </w:r>
      <w:r>
        <w:t xml:space="preserve">for the </w:t>
      </w:r>
      <w:r w:rsidR="00905332">
        <w:t>access</w:t>
      </w:r>
      <w:r>
        <w:t xml:space="preserve"> </w:t>
      </w:r>
      <w:r w:rsidR="00830AE4">
        <w:t xml:space="preserve">that the </w:t>
      </w:r>
      <w:r>
        <w:t>PBS</w:t>
      </w:r>
      <w:r w:rsidR="00830AE4">
        <w:t xml:space="preserve"> scheme</w:t>
      </w:r>
      <w:r>
        <w:t xml:space="preserve"> </w:t>
      </w:r>
      <w:r w:rsidR="00905332">
        <w:t>offers but does not always achieve,</w:t>
      </w:r>
      <w:r>
        <w:t xml:space="preserve"> </w:t>
      </w:r>
      <w:r w:rsidR="00163979">
        <w:t>so</w:t>
      </w:r>
      <w:r>
        <w:t xml:space="preserve"> the</w:t>
      </w:r>
      <w:r w:rsidR="007635E4">
        <w:t xml:space="preserve"> right</w:t>
      </w:r>
      <w:r>
        <w:t xml:space="preserve"> </w:t>
      </w:r>
      <w:r w:rsidR="00905332">
        <w:t xml:space="preserve">network </w:t>
      </w:r>
      <w:r>
        <w:t xml:space="preserve">infrastructure is needed to support it. </w:t>
      </w:r>
    </w:p>
    <w:p w:rsidR="0083341C" w:rsidRDefault="0083341C" w:rsidP="0083341C">
      <w:pPr>
        <w:spacing w:after="240"/>
      </w:pPr>
      <w:r>
        <w:t xml:space="preserve">For example, in 2014 Ron Finemore Transport commenced using semi-trailers </w:t>
      </w:r>
      <w:r w:rsidR="007635E4">
        <w:t xml:space="preserve">in certain locations </w:t>
      </w:r>
      <w:r>
        <w:t xml:space="preserve">that were slightly longer than the prescriptive 19 metres. The company was approved under the PBS scheme to operate 20 metre semi-trailers for carrying 26 pallets or </w:t>
      </w:r>
      <w:r w:rsidR="005C3C00">
        <w:t>“</w:t>
      </w:r>
      <w:r>
        <w:t>up to six more pallets than standard semi-trailers</w:t>
      </w:r>
      <w:r w:rsidR="005C3C00">
        <w:t>”</w:t>
      </w:r>
      <w:r>
        <w:rPr>
          <w:rStyle w:val="FootnoteReference"/>
        </w:rPr>
        <w:footnoteReference w:id="2"/>
      </w:r>
      <w:r>
        <w:t>. These trucks began delivering freight to supermarkets and large specialty stores</w:t>
      </w:r>
      <w:r w:rsidR="00DC7F55" w:rsidRPr="00DC7F55">
        <w:t xml:space="preserve"> </w:t>
      </w:r>
      <w:r w:rsidR="00DC7F55">
        <w:t>in the ACT and surrounding regions</w:t>
      </w:r>
      <w:r>
        <w:t xml:space="preserve">. At the time, the NHVR stated that a benefit of the increased load-carrying capacity of these trucks was to reduce the number of truck trips required for the same work by an average of 10 per cent.  </w:t>
      </w:r>
      <w:r w:rsidR="006F619A">
        <w:t>A</w:t>
      </w:r>
      <w:r w:rsidR="006F619A" w:rsidRPr="009E76AA">
        <w:t>ccording to the national regulator</w:t>
      </w:r>
      <w:r w:rsidR="006F619A">
        <w:t>, a</w:t>
      </w:r>
      <w:r>
        <w:t xml:space="preserve">dditional direct benefits expected included </w:t>
      </w:r>
      <w:r w:rsidR="006F619A">
        <w:t>‘</w:t>
      </w:r>
      <w:r>
        <w:t xml:space="preserve">fuel savings of </w:t>
      </w:r>
      <w:r w:rsidRPr="009E76AA">
        <w:t xml:space="preserve">304,000 litres of diesel per year and 820 </w:t>
      </w:r>
      <w:r>
        <w:t>fewer</w:t>
      </w:r>
      <w:r w:rsidRPr="009E76AA">
        <w:t xml:space="preserve"> tonnes of C</w:t>
      </w:r>
      <w:r w:rsidR="00F9777A">
        <w:t>O</w:t>
      </w:r>
      <w:r w:rsidRPr="009E76AA">
        <w:rPr>
          <w:vertAlign w:val="subscript"/>
        </w:rPr>
        <w:t>2</w:t>
      </w:r>
      <w:r>
        <w:rPr>
          <w:vertAlign w:val="subscript"/>
        </w:rPr>
        <w:t xml:space="preserve"> </w:t>
      </w:r>
      <w:r w:rsidRPr="00694D82">
        <w:t>emitted</w:t>
      </w:r>
      <w:r w:rsidR="006F619A">
        <w:t>’</w:t>
      </w:r>
      <w:r w:rsidR="00F9777A">
        <w:t>.</w:t>
      </w:r>
      <w:r w:rsidRPr="003C0F81">
        <w:t xml:space="preserve"> </w:t>
      </w:r>
    </w:p>
    <w:p w:rsidR="001E023F" w:rsidRPr="001623CC" w:rsidRDefault="003C0F81" w:rsidP="009C0912">
      <w:pPr>
        <w:rPr>
          <w:b/>
        </w:rPr>
      </w:pPr>
      <w:r w:rsidRPr="00812E17">
        <w:rPr>
          <w:b/>
        </w:rPr>
        <w:t xml:space="preserve">NTC </w:t>
      </w:r>
      <w:r>
        <w:rPr>
          <w:b/>
        </w:rPr>
        <w:t>issue paper</w:t>
      </w:r>
      <w:r w:rsidR="006F26B9" w:rsidRPr="001623CC">
        <w:rPr>
          <w:b/>
        </w:rPr>
        <w:t xml:space="preserve">: </w:t>
      </w:r>
      <w:r w:rsidR="001E023F" w:rsidRPr="001623CC">
        <w:rPr>
          <w:b/>
        </w:rPr>
        <w:t>Which schemes, trials or access arrangements currently support use of heavy vehicles with increased load capacity?</w:t>
      </w:r>
    </w:p>
    <w:p w:rsidR="006F26B9" w:rsidRPr="006F26B9" w:rsidRDefault="006F26B9" w:rsidP="006F26B9">
      <w:pPr>
        <w:spacing w:after="240"/>
      </w:pPr>
      <w:r w:rsidRPr="006F26B9">
        <w:t xml:space="preserve">As </w:t>
      </w:r>
      <w:r>
        <w:t>noted</w:t>
      </w:r>
      <w:r w:rsidRPr="006F26B9">
        <w:t xml:space="preserve"> above</w:t>
      </w:r>
      <w:r>
        <w:t>,</w:t>
      </w:r>
      <w:r w:rsidRPr="006F26B9">
        <w:t xml:space="preserve"> the PBS scheme </w:t>
      </w:r>
      <w:r>
        <w:t xml:space="preserve">now </w:t>
      </w:r>
      <w:r w:rsidRPr="006F26B9">
        <w:t>managed by the NHVR is first and foremost a</w:t>
      </w:r>
      <w:r>
        <w:t xml:space="preserve"> freight</w:t>
      </w:r>
      <w:r w:rsidRPr="006F26B9">
        <w:t xml:space="preserve"> productivity initiative whereby </w:t>
      </w:r>
      <w:r>
        <w:t xml:space="preserve">new </w:t>
      </w:r>
      <w:r w:rsidRPr="006F26B9">
        <w:t xml:space="preserve">vehicle designs </w:t>
      </w:r>
      <w:r w:rsidR="009059DF">
        <w:t>that exceed</w:t>
      </w:r>
      <w:r w:rsidRPr="006F26B9">
        <w:t xml:space="preserve"> prescriptive </w:t>
      </w:r>
      <w:r w:rsidR="00A6094F">
        <w:t xml:space="preserve">mass and/or dimension </w:t>
      </w:r>
      <w:r w:rsidRPr="006F26B9">
        <w:t xml:space="preserve">limits </w:t>
      </w:r>
      <w:r w:rsidR="000A21FE">
        <w:t xml:space="preserve">and </w:t>
      </w:r>
      <w:r w:rsidR="00A6094F">
        <w:t>yet</w:t>
      </w:r>
      <w:r>
        <w:t xml:space="preserve"> meet </w:t>
      </w:r>
      <w:r w:rsidR="000A21FE">
        <w:t xml:space="preserve">certain </w:t>
      </w:r>
      <w:r>
        <w:t xml:space="preserve">performance </w:t>
      </w:r>
      <w:r w:rsidR="00A6094F">
        <w:t>requirements</w:t>
      </w:r>
      <w:r>
        <w:t xml:space="preserve"> </w:t>
      </w:r>
      <w:r w:rsidR="000A21FE">
        <w:t>can</w:t>
      </w:r>
      <w:r w:rsidRPr="006F26B9">
        <w:t xml:space="preserve"> be </w:t>
      </w:r>
      <w:r w:rsidR="00A6094F">
        <w:t>granted access to</w:t>
      </w:r>
      <w:r w:rsidRPr="006F26B9">
        <w:t xml:space="preserve"> </w:t>
      </w:r>
      <w:r>
        <w:t xml:space="preserve">the </w:t>
      </w:r>
      <w:r w:rsidRPr="006F26B9">
        <w:t>road.</w:t>
      </w:r>
      <w:r w:rsidR="001623CC">
        <w:t xml:space="preserve"> Other state-</w:t>
      </w:r>
      <w:r w:rsidR="009E76AA">
        <w:t>based</w:t>
      </w:r>
      <w:r w:rsidR="001623CC">
        <w:t xml:space="preserve"> </w:t>
      </w:r>
      <w:r w:rsidR="009E76AA">
        <w:t>schemes</w:t>
      </w:r>
      <w:r w:rsidR="001623CC">
        <w:t xml:space="preserve"> such as NSW SPECTS </w:t>
      </w:r>
      <w:r w:rsidR="000A21FE">
        <w:t xml:space="preserve">also </w:t>
      </w:r>
      <w:r w:rsidR="001623CC">
        <w:t>exist</w:t>
      </w:r>
      <w:r w:rsidR="005D630B">
        <w:t xml:space="preserve"> and are welcome locall</w:t>
      </w:r>
      <w:r w:rsidR="00442B07">
        <w:t>y</w:t>
      </w:r>
      <w:r w:rsidR="00D322A6">
        <w:t>,</w:t>
      </w:r>
      <w:r w:rsidR="00442B07">
        <w:t xml:space="preserve"> but </w:t>
      </w:r>
      <w:r w:rsidR="00D322A6">
        <w:t>in</w:t>
      </w:r>
      <w:r w:rsidR="00442B07">
        <w:t xml:space="preserve"> the new national </w:t>
      </w:r>
      <w:r w:rsidR="00F73C76">
        <w:t>transport</w:t>
      </w:r>
      <w:r w:rsidR="00442B07">
        <w:t xml:space="preserve"> environment</w:t>
      </w:r>
      <w:r w:rsidR="005D630B">
        <w:t xml:space="preserve">, schemes for national access </w:t>
      </w:r>
      <w:r w:rsidR="00442B07">
        <w:t xml:space="preserve">under notices or </w:t>
      </w:r>
      <w:r w:rsidR="00D322A6">
        <w:t>‘</w:t>
      </w:r>
      <w:r w:rsidR="00442B07">
        <w:t>as of right</w:t>
      </w:r>
      <w:r w:rsidR="00D322A6">
        <w:t>’</w:t>
      </w:r>
      <w:r w:rsidR="00442B07">
        <w:t xml:space="preserve"> access </w:t>
      </w:r>
      <w:r w:rsidR="005D630B">
        <w:t xml:space="preserve">should be the </w:t>
      </w:r>
      <w:r w:rsidR="00442B07">
        <w:t>objective not a patchwork of schemes</w:t>
      </w:r>
      <w:r w:rsidR="001623CC">
        <w:t>.</w:t>
      </w:r>
    </w:p>
    <w:p w:rsidR="00CB1B9C" w:rsidRDefault="001623CC" w:rsidP="006F26B9">
      <w:pPr>
        <w:spacing w:after="240"/>
      </w:pPr>
      <w:r w:rsidRPr="001623CC">
        <w:t xml:space="preserve">Unfortunately, </w:t>
      </w:r>
      <w:r w:rsidR="00824B60">
        <w:t xml:space="preserve">despite promising </w:t>
      </w:r>
      <w:r w:rsidR="00A96CFA">
        <w:t xml:space="preserve">cases such as </w:t>
      </w:r>
      <w:r w:rsidR="00CE419A">
        <w:t xml:space="preserve">more productive </w:t>
      </w:r>
      <w:r w:rsidR="00A96CFA">
        <w:t>semi-trailers above</w:t>
      </w:r>
      <w:r w:rsidR="00442B07">
        <w:t>,</w:t>
      </w:r>
      <w:r w:rsidR="00A96CFA">
        <w:t xml:space="preserve"> and eye-catching </w:t>
      </w:r>
      <w:r w:rsidR="00824B60">
        <w:t xml:space="preserve">headlines such as </w:t>
      </w:r>
      <w:r w:rsidR="00A96CFA">
        <w:t>‘</w:t>
      </w:r>
      <w:r w:rsidR="00824B60">
        <w:t>The end of regulation’</w:t>
      </w:r>
      <w:r w:rsidR="00A96CFA">
        <w:rPr>
          <w:rStyle w:val="FootnoteReference"/>
        </w:rPr>
        <w:footnoteReference w:id="3"/>
      </w:r>
      <w:r w:rsidR="00442B07">
        <w:t xml:space="preserve"> or ‘</w:t>
      </w:r>
      <w:r w:rsidR="00442B07" w:rsidRPr="00442B07">
        <w:t xml:space="preserve">Can the </w:t>
      </w:r>
      <w:r w:rsidR="00442B07">
        <w:t xml:space="preserve">PBS </w:t>
      </w:r>
      <w:r w:rsidR="00442B07" w:rsidRPr="00442B07">
        <w:t>A-double change the trucking industry</w:t>
      </w:r>
      <w:r w:rsidR="00442B07">
        <w:t>’</w:t>
      </w:r>
      <w:r w:rsidR="0079286C">
        <w:rPr>
          <w:rStyle w:val="FootnoteReference"/>
        </w:rPr>
        <w:footnoteReference w:id="4"/>
      </w:r>
      <w:r w:rsidR="00442B07" w:rsidRPr="00442B07">
        <w:t>?</w:t>
      </w:r>
      <w:r w:rsidR="00824B60">
        <w:t xml:space="preserve">, </w:t>
      </w:r>
      <w:r w:rsidR="009E76AA">
        <w:t xml:space="preserve">the PBS </w:t>
      </w:r>
      <w:r w:rsidR="00442B07">
        <w:t>process</w:t>
      </w:r>
      <w:r w:rsidR="00B700C3">
        <w:rPr>
          <w:rStyle w:val="FootnoteReference"/>
        </w:rPr>
        <w:footnoteReference w:id="5"/>
      </w:r>
      <w:r w:rsidR="009E76AA">
        <w:t xml:space="preserve"> has not delivered </w:t>
      </w:r>
      <w:r w:rsidR="00442B07">
        <w:t xml:space="preserve">the </w:t>
      </w:r>
      <w:r w:rsidR="009E76AA">
        <w:t>end</w:t>
      </w:r>
      <w:r w:rsidR="00CE419A">
        <w:t>-</w:t>
      </w:r>
      <w:r w:rsidR="009E76AA">
        <w:t>to</w:t>
      </w:r>
      <w:r w:rsidR="00CE419A">
        <w:t>-</w:t>
      </w:r>
      <w:r w:rsidR="009E76AA">
        <w:t>end outcomes that industry desires</w:t>
      </w:r>
      <w:r w:rsidR="00442B07">
        <w:t xml:space="preserve"> </w:t>
      </w:r>
      <w:r w:rsidR="00CE419A">
        <w:t>and</w:t>
      </w:r>
      <w:r w:rsidR="00442B07">
        <w:t xml:space="preserve"> at a cost it can </w:t>
      </w:r>
      <w:r w:rsidR="00CE419A">
        <w:t>widely</w:t>
      </w:r>
      <w:r w:rsidR="00442B07">
        <w:t xml:space="preserve"> bear</w:t>
      </w:r>
      <w:r w:rsidR="00006079">
        <w:t xml:space="preserve">. Despite huge investments by </w:t>
      </w:r>
      <w:r w:rsidR="00520CFB">
        <w:t xml:space="preserve">the </w:t>
      </w:r>
      <w:r w:rsidR="00006079">
        <w:t xml:space="preserve">industry in design, engineering and build processes, the PBS approval process is </w:t>
      </w:r>
      <w:r w:rsidR="00CE419A">
        <w:t>not</w:t>
      </w:r>
      <w:r w:rsidR="00006079">
        <w:t xml:space="preserve"> </w:t>
      </w:r>
      <w:r w:rsidR="00CE419A">
        <w:t>speedy and thus not</w:t>
      </w:r>
      <w:r w:rsidR="009E76AA">
        <w:t xml:space="preserve"> cost-effective</w:t>
      </w:r>
      <w:r w:rsidR="00442B07">
        <w:t>,</w:t>
      </w:r>
      <w:r w:rsidR="009E76AA">
        <w:t xml:space="preserve"> </w:t>
      </w:r>
      <w:r w:rsidR="00006079">
        <w:t>and</w:t>
      </w:r>
      <w:r w:rsidR="009E76AA">
        <w:t xml:space="preserve"> </w:t>
      </w:r>
      <w:r w:rsidR="00006079">
        <w:t xml:space="preserve">the absence of guaranteed </w:t>
      </w:r>
      <w:r w:rsidR="009E76AA">
        <w:t xml:space="preserve">access </w:t>
      </w:r>
      <w:r w:rsidR="00006079">
        <w:t xml:space="preserve">for otherwise better performing vehicles has </w:t>
      </w:r>
      <w:r w:rsidR="009E76AA">
        <w:t xml:space="preserve">been </w:t>
      </w:r>
      <w:r w:rsidR="00442B07">
        <w:t xml:space="preserve">and </w:t>
      </w:r>
      <w:r w:rsidR="00CE419A">
        <w:t>remains</w:t>
      </w:r>
      <w:r w:rsidR="00442B07">
        <w:t xml:space="preserve"> </w:t>
      </w:r>
      <w:r w:rsidR="00006079">
        <w:t xml:space="preserve">a major stumbling block to </w:t>
      </w:r>
      <w:r w:rsidR="00CE419A">
        <w:t>higher scheme</w:t>
      </w:r>
      <w:r w:rsidR="00195A7F">
        <w:t xml:space="preserve"> </w:t>
      </w:r>
      <w:r w:rsidR="00006079">
        <w:t>uptake</w:t>
      </w:r>
      <w:r w:rsidR="009E76AA">
        <w:t xml:space="preserve">. </w:t>
      </w:r>
    </w:p>
    <w:p w:rsidR="006F26B9" w:rsidRPr="001623CC" w:rsidRDefault="00CB1B9C" w:rsidP="006F26B9">
      <w:pPr>
        <w:spacing w:after="240"/>
      </w:pPr>
      <w:r>
        <w:lastRenderedPageBreak/>
        <w:t xml:space="preserve">It is </w:t>
      </w:r>
      <w:r w:rsidR="00520CFB">
        <w:t xml:space="preserve">also </w:t>
      </w:r>
      <w:r w:rsidR="003833D2">
        <w:t>important</w:t>
      </w:r>
      <w:r>
        <w:t xml:space="preserve"> that, as part of the PBS marketplace review that is </w:t>
      </w:r>
      <w:r w:rsidR="003833D2">
        <w:t xml:space="preserve">currently and </w:t>
      </w:r>
      <w:r>
        <w:t>separately being conducted by the NTC, the issue of why th</w:t>
      </w:r>
      <w:r w:rsidR="003833D2">
        <w:t>e</w:t>
      </w:r>
      <w:r>
        <w:t xml:space="preserve"> scheme’s outcomes since 2007 have in the main encouraged non-roll-coupled </w:t>
      </w:r>
      <w:r w:rsidR="00534F8E">
        <w:t xml:space="preserve">bulk freight </w:t>
      </w:r>
      <w:r>
        <w:t>combinations such as trucks and dogs</w:t>
      </w:r>
      <w:r w:rsidRPr="00CB1B9C">
        <w:t xml:space="preserve"> </w:t>
      </w:r>
      <w:r>
        <w:t>(</w:t>
      </w:r>
      <w:r w:rsidR="00CD61F9">
        <w:t>not</w:t>
      </w:r>
      <w:r>
        <w:t xml:space="preserve"> innovative B-double </w:t>
      </w:r>
      <w:r w:rsidR="003833D2">
        <w:t>or</w:t>
      </w:r>
      <w:r w:rsidR="00195A7F">
        <w:t xml:space="preserve"> B-</w:t>
      </w:r>
      <w:r w:rsidR="00CD61F9">
        <w:t>triple configurations</w:t>
      </w:r>
      <w:r>
        <w:t xml:space="preserve">) that do not typically haul general, container and other </w:t>
      </w:r>
      <w:r w:rsidR="003833D2">
        <w:t xml:space="preserve">key </w:t>
      </w:r>
      <w:r>
        <w:t>non-bulk linehaul freight.</w:t>
      </w:r>
      <w:r w:rsidR="00442B07">
        <w:t xml:space="preserve"> </w:t>
      </w:r>
    </w:p>
    <w:p w:rsidR="001E023F" w:rsidRPr="006C2D2A" w:rsidRDefault="003C0F81" w:rsidP="006C2D2A">
      <w:pPr>
        <w:rPr>
          <w:b/>
        </w:rPr>
      </w:pPr>
      <w:r w:rsidRPr="006C2D2A">
        <w:rPr>
          <w:b/>
        </w:rPr>
        <w:t>NTC issue paper</w:t>
      </w:r>
      <w:r w:rsidR="006F26B9" w:rsidRPr="006C2D2A">
        <w:rPr>
          <w:b/>
        </w:rPr>
        <w:t xml:space="preserve">: </w:t>
      </w:r>
      <w:r w:rsidR="001E023F" w:rsidRPr="006C2D2A">
        <w:rPr>
          <w:b/>
        </w:rPr>
        <w:t>Which key freight routes should be targeted?</w:t>
      </w:r>
    </w:p>
    <w:p w:rsidR="00AD206B" w:rsidRDefault="00862F8B" w:rsidP="006C2D2A">
      <w:r>
        <w:t xml:space="preserve">Major </w:t>
      </w:r>
      <w:r w:rsidR="00D0456C">
        <w:t>national land transport</w:t>
      </w:r>
      <w:r>
        <w:t xml:space="preserve"> routes </w:t>
      </w:r>
      <w:r w:rsidR="007A4415">
        <w:t xml:space="preserve">(such as the Hume Highway, Bruce Highway and others) </w:t>
      </w:r>
      <w:r>
        <w:t>should be targeted</w:t>
      </w:r>
      <w:r w:rsidR="00C40D2C">
        <w:t xml:space="preserve"> for access,</w:t>
      </w:r>
      <w:r>
        <w:t xml:space="preserve"> </w:t>
      </w:r>
      <w:r w:rsidR="00C40D2C">
        <w:t>with</w:t>
      </w:r>
      <w:r w:rsidR="007A4415">
        <w:t xml:space="preserve"> a</w:t>
      </w:r>
      <w:r w:rsidR="00D0456C">
        <w:t xml:space="preserve"> focus on connecting </w:t>
      </w:r>
      <w:r w:rsidR="00620940">
        <w:t>with other</w:t>
      </w:r>
      <w:r>
        <w:t xml:space="preserve"> </w:t>
      </w:r>
      <w:r w:rsidR="004122EC">
        <w:t>important</w:t>
      </w:r>
      <w:r>
        <w:t xml:space="preserve"> freight routes </w:t>
      </w:r>
      <w:r w:rsidR="004122EC">
        <w:t>underpin</w:t>
      </w:r>
      <w:r w:rsidR="00620940">
        <w:t>ning</w:t>
      </w:r>
      <w:r>
        <w:t xml:space="preserve"> export and import logistics chains </w:t>
      </w:r>
      <w:r w:rsidR="00D0456C">
        <w:t>to</w:t>
      </w:r>
      <w:r>
        <w:t xml:space="preserve"> </w:t>
      </w:r>
      <w:r w:rsidR="004122EC">
        <w:t xml:space="preserve">and from </w:t>
      </w:r>
      <w:r>
        <w:t xml:space="preserve">major rural </w:t>
      </w:r>
      <w:r w:rsidR="00D0456C">
        <w:t>centres</w:t>
      </w:r>
      <w:r>
        <w:t>.</w:t>
      </w:r>
      <w:r w:rsidR="00D0456C">
        <w:t xml:space="preserve"> </w:t>
      </w:r>
    </w:p>
    <w:p w:rsidR="00AD206B" w:rsidRDefault="00AD206B" w:rsidP="00AD206B">
      <w:pPr>
        <w:pStyle w:val="NormalWeb"/>
        <w:spacing w:before="0" w:beforeAutospacing="0" w:after="0" w:afterAutospacing="0"/>
        <w:rPr>
          <w:rFonts w:ascii="Arial" w:hAnsi="Arial" w:cs="Arial"/>
          <w:b/>
          <w:iCs/>
          <w:sz w:val="22"/>
          <w:szCs w:val="22"/>
        </w:rPr>
      </w:pPr>
    </w:p>
    <w:p w:rsidR="00621B0A" w:rsidRPr="006220FC" w:rsidRDefault="00621B0A" w:rsidP="00621B0A">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 xml:space="preserve">Recommendation </w:t>
      </w:r>
      <w:r>
        <w:rPr>
          <w:rFonts w:ascii="Arial" w:hAnsi="Arial" w:cs="Arial"/>
          <w:b/>
          <w:iCs/>
          <w:sz w:val="22"/>
          <w:szCs w:val="22"/>
        </w:rPr>
        <w:t>2</w:t>
      </w:r>
    </w:p>
    <w:p w:rsidR="00621B0A" w:rsidRDefault="00621B0A" w:rsidP="00621B0A"/>
    <w:p w:rsidR="00621B0A" w:rsidRPr="006220FC" w:rsidRDefault="00621B0A" w:rsidP="00621B0A">
      <w:r>
        <w:t xml:space="preserve">That NTC ensure that any policy introduced by government to improve volumetric load capacity for heavy vehicles avoids the cost, delay and access barriers encountered by customers of the Performance Based Standards scheme. </w:t>
      </w:r>
    </w:p>
    <w:p w:rsidR="001E023F" w:rsidRDefault="001E023F" w:rsidP="006C2D2A">
      <w:pPr>
        <w:pStyle w:val="NoSpacing"/>
        <w:rPr>
          <w:b/>
          <w:color w:val="auto"/>
          <w:sz w:val="22"/>
          <w:szCs w:val="22"/>
        </w:rPr>
      </w:pPr>
    </w:p>
    <w:p w:rsidR="00432A56" w:rsidRDefault="00432A56" w:rsidP="00432A56">
      <w:pPr>
        <w:pStyle w:val="Heading1"/>
        <w:rPr>
          <w:sz w:val="24"/>
          <w:szCs w:val="24"/>
        </w:rPr>
      </w:pPr>
      <w:bookmarkStart w:id="6" w:name="_Toc462652428"/>
      <w:r>
        <w:rPr>
          <w:sz w:val="24"/>
          <w:szCs w:val="24"/>
        </w:rPr>
        <w:t>I</w:t>
      </w:r>
      <w:r w:rsidRPr="001E023F">
        <w:rPr>
          <w:sz w:val="24"/>
          <w:szCs w:val="24"/>
        </w:rPr>
        <w:t>ncrease</w:t>
      </w:r>
      <w:r>
        <w:rPr>
          <w:sz w:val="24"/>
          <w:szCs w:val="24"/>
        </w:rPr>
        <w:t>s</w:t>
      </w:r>
      <w:r w:rsidRPr="001E023F">
        <w:rPr>
          <w:sz w:val="24"/>
          <w:szCs w:val="24"/>
        </w:rPr>
        <w:t xml:space="preserve"> </w:t>
      </w:r>
      <w:r>
        <w:rPr>
          <w:sz w:val="24"/>
          <w:szCs w:val="24"/>
        </w:rPr>
        <w:t>in length</w:t>
      </w:r>
      <w:bookmarkEnd w:id="6"/>
    </w:p>
    <w:p w:rsidR="00AC00B3" w:rsidRDefault="004340EB" w:rsidP="00AC00B3">
      <w:r>
        <w:t>A</w:t>
      </w:r>
      <w:r w:rsidR="009C0912">
        <w:t xml:space="preserve"> </w:t>
      </w:r>
      <w:r w:rsidR="00504573">
        <w:t>possibility of</w:t>
      </w:r>
      <w:r w:rsidR="009C0912">
        <w:t xml:space="preserve"> longer </w:t>
      </w:r>
      <w:r w:rsidR="00504573">
        <w:t>trucks</w:t>
      </w:r>
      <w:r w:rsidR="00764253">
        <w:t xml:space="preserve"> to allow for more payload space</w:t>
      </w:r>
      <w:r w:rsidR="00AC00B3">
        <w:t xml:space="preserve"> </w:t>
      </w:r>
      <w:r>
        <w:t>received</w:t>
      </w:r>
      <w:r w:rsidR="00AC00B3">
        <w:t xml:space="preserve"> explicit support from </w:t>
      </w:r>
      <w:r>
        <w:t xml:space="preserve">industry </w:t>
      </w:r>
      <w:r w:rsidR="00AC00B3">
        <w:t xml:space="preserve">stakeholders as offering </w:t>
      </w:r>
      <w:r>
        <w:t>a huge</w:t>
      </w:r>
      <w:r w:rsidR="00AC00B3">
        <w:t xml:space="preserve"> opportunity for certain space-challenged sectors of the</w:t>
      </w:r>
      <w:r>
        <w:t xml:space="preserve"> road transport</w:t>
      </w:r>
      <w:r w:rsidR="00AC00B3">
        <w:t xml:space="preserve"> industry (e.g. furniture removalists) whose loads </w:t>
      </w:r>
      <w:r w:rsidR="00195A7F">
        <w:t>typically</w:t>
      </w:r>
      <w:r w:rsidR="00AC00B3">
        <w:t xml:space="preserve"> cube out well before they reach mass limits.</w:t>
      </w:r>
    </w:p>
    <w:p w:rsidR="00AC00B3" w:rsidRDefault="00AC00B3" w:rsidP="00AC00B3"/>
    <w:p w:rsidR="00AC00B3" w:rsidRDefault="00AC00B3" w:rsidP="00AC00B3">
      <w:r>
        <w:t xml:space="preserve">Benefits </w:t>
      </w:r>
      <w:r w:rsidR="00504573">
        <w:t>may</w:t>
      </w:r>
      <w:r>
        <w:t xml:space="preserve"> include better axle spacing to protect bridges and other sensitive infrastructure.</w:t>
      </w:r>
      <w:r w:rsidR="00764253">
        <w:t xml:space="preserve"> </w:t>
      </w:r>
      <w:r w:rsidR="00D5603B">
        <w:t>However</w:t>
      </w:r>
      <w:r>
        <w:t xml:space="preserve">, a longer vehicle </w:t>
      </w:r>
      <w:r w:rsidR="000C35F6">
        <w:t>can</w:t>
      </w:r>
      <w:r>
        <w:t xml:space="preserve"> compr</w:t>
      </w:r>
      <w:r w:rsidR="00D5603B">
        <w:t>om</w:t>
      </w:r>
      <w:r>
        <w:t xml:space="preserve">ise the ability to cross intersections or change lanes within a reasonable time. </w:t>
      </w:r>
      <w:r w:rsidR="00BE1057">
        <w:t xml:space="preserve"> </w:t>
      </w:r>
    </w:p>
    <w:p w:rsidR="00AC00B3" w:rsidRDefault="00AC00B3" w:rsidP="00AC00B3"/>
    <w:p w:rsidR="00432A56" w:rsidRDefault="00AC00B3" w:rsidP="00AC00B3">
      <w:r>
        <w:t xml:space="preserve">Possible technology </w:t>
      </w:r>
      <w:r w:rsidR="00B300E9">
        <w:t xml:space="preserve">solutions </w:t>
      </w:r>
      <w:r w:rsidR="009206BB">
        <w:t xml:space="preserve">and issues </w:t>
      </w:r>
      <w:r w:rsidR="00B300E9">
        <w:t>include use of s</w:t>
      </w:r>
      <w:r>
        <w:t>teerable axles</w:t>
      </w:r>
      <w:r w:rsidR="00E6654E">
        <w:t>,</w:t>
      </w:r>
      <w:r w:rsidR="00B300E9">
        <w:t xml:space="preserve"> which improve </w:t>
      </w:r>
      <w:r w:rsidR="00BE1057">
        <w:t>swept path</w:t>
      </w:r>
      <w:r w:rsidR="00B300E9">
        <w:t xml:space="preserve">. </w:t>
      </w:r>
      <w:r w:rsidR="00E6654E">
        <w:t>H</w:t>
      </w:r>
      <w:r w:rsidR="00B300E9">
        <w:t>owever, t</w:t>
      </w:r>
      <w:r>
        <w:t xml:space="preserve">his equipment is </w:t>
      </w:r>
      <w:r w:rsidR="00B300E9">
        <w:t xml:space="preserve">also expensive and heavy. </w:t>
      </w:r>
      <w:r w:rsidR="00162AFB">
        <w:t>Wider use of l</w:t>
      </w:r>
      <w:r>
        <w:t>ift axle</w:t>
      </w:r>
      <w:r w:rsidR="00162AFB">
        <w:t xml:space="preserve">s </w:t>
      </w:r>
      <w:r w:rsidR="00BE1057">
        <w:t>is</w:t>
      </w:r>
      <w:r w:rsidR="00162AFB">
        <w:t xml:space="preserve"> also an option because </w:t>
      </w:r>
      <w:r w:rsidR="00E6654E">
        <w:t>they</w:t>
      </w:r>
      <w:r w:rsidR="00162AFB">
        <w:t xml:space="preserve"> help reduce tyre scrub and other damage</w:t>
      </w:r>
      <w:r w:rsidR="00E6654E" w:rsidRPr="00E6654E">
        <w:t xml:space="preserve"> </w:t>
      </w:r>
      <w:r w:rsidR="00E6654E">
        <w:t xml:space="preserve">to the </w:t>
      </w:r>
      <w:r w:rsidR="00E6654E">
        <w:t>road</w:t>
      </w:r>
      <w:r w:rsidR="00162AFB">
        <w:t xml:space="preserve">. However, </w:t>
      </w:r>
      <w:r>
        <w:t xml:space="preserve">transitional mass limits are generally too low to be useful for solving </w:t>
      </w:r>
      <w:r w:rsidR="00162AFB">
        <w:t xml:space="preserve">the subsequent </w:t>
      </w:r>
      <w:r>
        <w:t xml:space="preserve">rear overhang </w:t>
      </w:r>
      <w:r w:rsidR="00162AFB">
        <w:t>issues</w:t>
      </w:r>
      <w:r>
        <w:t xml:space="preserve">. </w:t>
      </w:r>
      <w:r w:rsidR="00162AFB">
        <w:t xml:space="preserve"> </w:t>
      </w:r>
    </w:p>
    <w:p w:rsidR="00862F8B" w:rsidRDefault="00862F8B" w:rsidP="00432A56"/>
    <w:p w:rsidR="00F7709E" w:rsidRPr="006220FC" w:rsidRDefault="00F7709E" w:rsidP="00F7709E">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 xml:space="preserve">Recommendation </w:t>
      </w:r>
      <w:r>
        <w:rPr>
          <w:rFonts w:ascii="Arial" w:hAnsi="Arial" w:cs="Arial"/>
          <w:b/>
          <w:iCs/>
          <w:sz w:val="22"/>
          <w:szCs w:val="22"/>
        </w:rPr>
        <w:t>3</w:t>
      </w:r>
    </w:p>
    <w:p w:rsidR="00F7709E" w:rsidRPr="006220FC" w:rsidRDefault="00F7709E" w:rsidP="00F7709E"/>
    <w:p w:rsidR="00F7709E" w:rsidRPr="0043779B" w:rsidRDefault="00F7709E" w:rsidP="00F7709E">
      <w:r w:rsidRPr="0043779B">
        <w:t xml:space="preserve">That </w:t>
      </w:r>
      <w:r>
        <w:t>prescriptive vehicle length be increased for appropriate vehicle classes and types (and excluding devices such as bull bars, marking plates, lift platforms, access steps etc.).</w:t>
      </w:r>
    </w:p>
    <w:p w:rsidR="00AD206B" w:rsidRDefault="00AD206B" w:rsidP="00AD206B">
      <w:pPr>
        <w:tabs>
          <w:tab w:val="left" w:pos="992"/>
        </w:tabs>
      </w:pPr>
    </w:p>
    <w:p w:rsidR="00432A56" w:rsidRPr="001E023F" w:rsidRDefault="00432A56" w:rsidP="00432A56">
      <w:pPr>
        <w:pStyle w:val="Heading1"/>
        <w:rPr>
          <w:sz w:val="24"/>
          <w:szCs w:val="24"/>
        </w:rPr>
      </w:pPr>
      <w:bookmarkStart w:id="7" w:name="_Toc462652429"/>
      <w:r>
        <w:rPr>
          <w:sz w:val="24"/>
          <w:szCs w:val="24"/>
        </w:rPr>
        <w:t>I</w:t>
      </w:r>
      <w:r w:rsidRPr="001E023F">
        <w:rPr>
          <w:sz w:val="24"/>
          <w:szCs w:val="24"/>
        </w:rPr>
        <w:t>ncrease</w:t>
      </w:r>
      <w:r>
        <w:rPr>
          <w:sz w:val="24"/>
          <w:szCs w:val="24"/>
        </w:rPr>
        <w:t>s</w:t>
      </w:r>
      <w:r w:rsidRPr="001E023F">
        <w:rPr>
          <w:sz w:val="24"/>
          <w:szCs w:val="24"/>
        </w:rPr>
        <w:t xml:space="preserve"> </w:t>
      </w:r>
      <w:r>
        <w:rPr>
          <w:sz w:val="24"/>
          <w:szCs w:val="24"/>
        </w:rPr>
        <w:t>in width</w:t>
      </w:r>
      <w:bookmarkEnd w:id="7"/>
    </w:p>
    <w:p w:rsidR="009C0912" w:rsidRDefault="009C0912" w:rsidP="009C0912">
      <w:pPr>
        <w:rPr>
          <w:rFonts w:cs="Arial"/>
        </w:rPr>
      </w:pPr>
      <w:r w:rsidRPr="00D776FC">
        <w:rPr>
          <w:rFonts w:cs="Arial"/>
        </w:rPr>
        <w:t>Australia</w:t>
      </w:r>
      <w:r>
        <w:rPr>
          <w:rFonts w:cs="Arial"/>
        </w:rPr>
        <w:t xml:space="preserve"> and </w:t>
      </w:r>
      <w:r w:rsidRPr="00D776FC">
        <w:rPr>
          <w:rFonts w:cs="Arial"/>
        </w:rPr>
        <w:t>Japan</w:t>
      </w:r>
      <w:r>
        <w:rPr>
          <w:rFonts w:cs="Arial"/>
        </w:rPr>
        <w:t xml:space="preserve"> share a maximum </w:t>
      </w:r>
      <w:r w:rsidR="00D624EF">
        <w:rPr>
          <w:rFonts w:cs="Arial"/>
        </w:rPr>
        <w:t xml:space="preserve">vehicle </w:t>
      </w:r>
      <w:r>
        <w:rPr>
          <w:rFonts w:cs="Arial"/>
        </w:rPr>
        <w:t>width limit of 2.5 m</w:t>
      </w:r>
      <w:r w:rsidR="00D624EF">
        <w:rPr>
          <w:rFonts w:cs="Arial"/>
        </w:rPr>
        <w:t>etres,</w:t>
      </w:r>
      <w:r>
        <w:rPr>
          <w:rFonts w:cs="Arial"/>
        </w:rPr>
        <w:t xml:space="preserve"> which is otherwise </w:t>
      </w:r>
      <w:r w:rsidRPr="00D776FC">
        <w:rPr>
          <w:rFonts w:cs="Arial"/>
        </w:rPr>
        <w:t>unique</w:t>
      </w:r>
      <w:r>
        <w:rPr>
          <w:rFonts w:cs="Arial"/>
        </w:rPr>
        <w:t xml:space="preserve"> in the world. This allows for an extra</w:t>
      </w:r>
      <w:r w:rsidRPr="00D776FC">
        <w:rPr>
          <w:rFonts w:cs="Arial"/>
        </w:rPr>
        <w:t xml:space="preserve"> 25 mm </w:t>
      </w:r>
      <w:r>
        <w:rPr>
          <w:rFonts w:cs="Arial"/>
        </w:rPr>
        <w:t xml:space="preserve">overhang on each </w:t>
      </w:r>
      <w:r w:rsidRPr="00D776FC">
        <w:rPr>
          <w:rFonts w:cs="Arial"/>
        </w:rPr>
        <w:t xml:space="preserve">side </w:t>
      </w:r>
      <w:r>
        <w:rPr>
          <w:rFonts w:cs="Arial"/>
        </w:rPr>
        <w:t xml:space="preserve">of the vehicle to account for </w:t>
      </w:r>
      <w:r w:rsidR="00570E9F">
        <w:rPr>
          <w:rFonts w:cs="Arial"/>
        </w:rPr>
        <w:t xml:space="preserve">items such as </w:t>
      </w:r>
      <w:r>
        <w:rPr>
          <w:rFonts w:cs="Arial"/>
        </w:rPr>
        <w:t>buckles on curtain-</w:t>
      </w:r>
      <w:r w:rsidRPr="00D776FC">
        <w:rPr>
          <w:rFonts w:cs="Arial"/>
        </w:rPr>
        <w:t>siders</w:t>
      </w:r>
      <w:r>
        <w:rPr>
          <w:rFonts w:cs="Arial"/>
        </w:rPr>
        <w:t>. Mirrors and other equipment</w:t>
      </w:r>
      <w:r w:rsidRPr="00D776FC">
        <w:rPr>
          <w:rFonts w:cs="Arial"/>
        </w:rPr>
        <w:t xml:space="preserve"> </w:t>
      </w:r>
      <w:r>
        <w:rPr>
          <w:rFonts w:cs="Arial"/>
        </w:rPr>
        <w:t xml:space="preserve">such as tyre inflation systems extend </w:t>
      </w:r>
      <w:r w:rsidR="00570E9F">
        <w:rPr>
          <w:rFonts w:cs="Arial"/>
        </w:rPr>
        <w:t xml:space="preserve">physical </w:t>
      </w:r>
      <w:r w:rsidR="00D624EF">
        <w:rPr>
          <w:rFonts w:cs="Arial"/>
        </w:rPr>
        <w:t xml:space="preserve">vehicle </w:t>
      </w:r>
      <w:r w:rsidR="00570E9F">
        <w:rPr>
          <w:rFonts w:cs="Arial"/>
        </w:rPr>
        <w:t xml:space="preserve">width </w:t>
      </w:r>
      <w:r>
        <w:rPr>
          <w:rFonts w:cs="Arial"/>
        </w:rPr>
        <w:t>further again</w:t>
      </w:r>
      <w:r w:rsidR="00570E9F">
        <w:rPr>
          <w:rFonts w:cs="Arial"/>
        </w:rPr>
        <w:t xml:space="preserve"> </w:t>
      </w:r>
      <w:r w:rsidR="00302F92">
        <w:rPr>
          <w:rFonts w:cs="Arial"/>
        </w:rPr>
        <w:t>but</w:t>
      </w:r>
      <w:r w:rsidR="00570E9F">
        <w:rPr>
          <w:rFonts w:cs="Arial"/>
        </w:rPr>
        <w:t xml:space="preserve"> are not </w:t>
      </w:r>
      <w:r w:rsidR="00803679">
        <w:rPr>
          <w:rFonts w:cs="Arial"/>
        </w:rPr>
        <w:t>treated</w:t>
      </w:r>
      <w:r w:rsidR="00570E9F">
        <w:rPr>
          <w:rFonts w:cs="Arial"/>
        </w:rPr>
        <w:t xml:space="preserve"> as part of the 2.5 m</w:t>
      </w:r>
      <w:r w:rsidR="00D624EF">
        <w:rPr>
          <w:rFonts w:cs="Arial"/>
        </w:rPr>
        <w:t xml:space="preserve"> </w:t>
      </w:r>
      <w:r w:rsidR="00570E9F">
        <w:rPr>
          <w:rFonts w:cs="Arial"/>
        </w:rPr>
        <w:t>parameter</w:t>
      </w:r>
      <w:r>
        <w:rPr>
          <w:rFonts w:cs="Arial"/>
        </w:rPr>
        <w:t xml:space="preserve">. </w:t>
      </w:r>
    </w:p>
    <w:p w:rsidR="009C0912" w:rsidRDefault="009C0912" w:rsidP="009C0912">
      <w:pPr>
        <w:rPr>
          <w:rFonts w:cs="Arial"/>
        </w:rPr>
      </w:pPr>
    </w:p>
    <w:p w:rsidR="009C0912" w:rsidRDefault="009C0912" w:rsidP="009D4186">
      <w:pPr>
        <w:spacing w:after="240"/>
        <w:rPr>
          <w:rFonts w:cs="Arial"/>
        </w:rPr>
      </w:pPr>
      <w:r>
        <w:rPr>
          <w:rFonts w:cs="Arial"/>
        </w:rPr>
        <w:t xml:space="preserve">However, the width standard in the </w:t>
      </w:r>
      <w:r w:rsidRPr="00D776FC">
        <w:rPr>
          <w:rFonts w:cs="Arial"/>
        </w:rPr>
        <w:t>US</w:t>
      </w:r>
      <w:r>
        <w:rPr>
          <w:rFonts w:cs="Arial"/>
        </w:rPr>
        <w:t>A</w:t>
      </w:r>
      <w:r w:rsidRPr="00D776FC">
        <w:rPr>
          <w:rFonts w:cs="Arial"/>
        </w:rPr>
        <w:t xml:space="preserve"> </w:t>
      </w:r>
      <w:r>
        <w:rPr>
          <w:rFonts w:cs="Arial"/>
        </w:rPr>
        <w:t>is 2.6 m</w:t>
      </w:r>
      <w:r w:rsidR="009D4186">
        <w:rPr>
          <w:rFonts w:cs="Arial"/>
        </w:rPr>
        <w:t xml:space="preserve"> and in </w:t>
      </w:r>
      <w:r w:rsidRPr="00D776FC">
        <w:rPr>
          <w:rFonts w:cs="Arial"/>
        </w:rPr>
        <w:t>Europe</w:t>
      </w:r>
      <w:r w:rsidR="00D624EF">
        <w:rPr>
          <w:rFonts w:cs="Arial"/>
        </w:rPr>
        <w:t>,</w:t>
      </w:r>
      <w:r w:rsidRPr="00D776FC">
        <w:rPr>
          <w:rFonts w:cs="Arial"/>
        </w:rPr>
        <w:t xml:space="preserve"> </w:t>
      </w:r>
      <w:r>
        <w:rPr>
          <w:rFonts w:cs="Arial"/>
        </w:rPr>
        <w:t>re</w:t>
      </w:r>
      <w:r w:rsidRPr="00D776FC">
        <w:rPr>
          <w:rFonts w:cs="Arial"/>
        </w:rPr>
        <w:t xml:space="preserve">frigerated bodies </w:t>
      </w:r>
      <w:r>
        <w:rPr>
          <w:rFonts w:cs="Arial"/>
        </w:rPr>
        <w:t xml:space="preserve">are </w:t>
      </w:r>
      <w:r w:rsidR="009D4186">
        <w:rPr>
          <w:rFonts w:cs="Arial"/>
        </w:rPr>
        <w:t xml:space="preserve">allowed </w:t>
      </w:r>
      <w:r w:rsidRPr="00D776FC">
        <w:rPr>
          <w:rFonts w:cs="Arial"/>
        </w:rPr>
        <w:t>2.6 m</w:t>
      </w:r>
      <w:r>
        <w:rPr>
          <w:rFonts w:cs="Arial"/>
        </w:rPr>
        <w:t xml:space="preserve"> and others </w:t>
      </w:r>
      <w:r w:rsidRPr="00D776FC">
        <w:rPr>
          <w:rFonts w:cs="Arial"/>
        </w:rPr>
        <w:t>2.55 m</w:t>
      </w:r>
      <w:r>
        <w:rPr>
          <w:rFonts w:cs="Arial"/>
        </w:rPr>
        <w:t>,</w:t>
      </w:r>
      <w:r w:rsidR="00D624EF">
        <w:rPr>
          <w:rFonts w:cs="Arial"/>
        </w:rPr>
        <w:t xml:space="preserve"> again</w:t>
      </w:r>
      <w:r w:rsidRPr="00D776FC">
        <w:rPr>
          <w:rFonts w:cs="Arial"/>
        </w:rPr>
        <w:t xml:space="preserve"> with allowances </w:t>
      </w:r>
      <w:r>
        <w:rPr>
          <w:rFonts w:cs="Arial"/>
        </w:rPr>
        <w:t xml:space="preserve">made </w:t>
      </w:r>
      <w:r w:rsidRPr="00D776FC">
        <w:rPr>
          <w:rFonts w:cs="Arial"/>
        </w:rPr>
        <w:t xml:space="preserve">for load restraint devices. </w:t>
      </w:r>
      <w:r w:rsidR="00D624EF">
        <w:t>An</w:t>
      </w:r>
      <w:r w:rsidR="009D4186">
        <w:t xml:space="preserve"> increase in allowable width</w:t>
      </w:r>
      <w:r w:rsidR="00D624EF">
        <w:t xml:space="preserve"> means</w:t>
      </w:r>
      <w:r w:rsidR="009D4186">
        <w:t xml:space="preserve"> hard-walled refrigerated trucks can have </w:t>
      </w:r>
      <w:r w:rsidR="00D624EF">
        <w:t>thicker</w:t>
      </w:r>
      <w:r w:rsidR="009D4186">
        <w:t xml:space="preserve"> internal insulated walls and new equipment potentially added, without </w:t>
      </w:r>
      <w:r w:rsidR="00D624EF">
        <w:t xml:space="preserve">a </w:t>
      </w:r>
      <w:r w:rsidR="009D4186">
        <w:t xml:space="preserve">loss of payload. Wider walls help </w:t>
      </w:r>
      <w:r w:rsidR="00D624EF">
        <w:t xml:space="preserve">these </w:t>
      </w:r>
      <w:r w:rsidR="009D4186">
        <w:t>operators mitigate the effects of hot weather in transit</w:t>
      </w:r>
      <w:r w:rsidR="009D4186" w:rsidRPr="00A229EA">
        <w:t xml:space="preserve"> </w:t>
      </w:r>
      <w:r w:rsidR="009D4186">
        <w:t xml:space="preserve">that so easily spoils fresh and chilled goods. </w:t>
      </w:r>
    </w:p>
    <w:p w:rsidR="00EE2D7E" w:rsidRDefault="004C55F0" w:rsidP="009C0912">
      <w:r>
        <w:t>As this NTC project progresses towards a set of options for volumetric load capacity increase, i</w:t>
      </w:r>
      <w:r w:rsidR="00EE2D7E">
        <w:t xml:space="preserve">ndustry </w:t>
      </w:r>
      <w:r>
        <w:t>will be</w:t>
      </w:r>
      <w:r w:rsidR="00EE2D7E">
        <w:t xml:space="preserve"> keen to </w:t>
      </w:r>
      <w:r w:rsidR="00C309AE">
        <w:t>learn</w:t>
      </w:r>
      <w:r w:rsidR="00EE2D7E">
        <w:t xml:space="preserve"> how </w:t>
      </w:r>
      <w:r>
        <w:t xml:space="preserve">non-freight </w:t>
      </w:r>
      <w:r w:rsidR="00C309AE">
        <w:t>equipment</w:t>
      </w:r>
      <w:r w:rsidR="00EE2D7E">
        <w:t xml:space="preserve"> such as aerodynamic devices (e.g. ‘Airtabs’), cameras, blind spot mitigation devices and crash protection equipment (e.g. bull bars, front underrun</w:t>
      </w:r>
      <w:r w:rsidR="00EE2D7E" w:rsidRPr="005435C0">
        <w:t xml:space="preserve"> </w:t>
      </w:r>
      <w:r w:rsidR="00EE2D7E">
        <w:t>protection devices) will be treated as part of any width or length increases.</w:t>
      </w:r>
    </w:p>
    <w:p w:rsidR="00AD206B" w:rsidRDefault="00AD206B" w:rsidP="00AD206B">
      <w:pPr>
        <w:pStyle w:val="NormalWeb"/>
        <w:spacing w:before="0" w:beforeAutospacing="0" w:after="0" w:afterAutospacing="0"/>
        <w:rPr>
          <w:rFonts w:ascii="Arial" w:hAnsi="Arial" w:cs="Arial"/>
          <w:b/>
          <w:iCs/>
          <w:sz w:val="22"/>
          <w:szCs w:val="22"/>
        </w:rPr>
      </w:pPr>
    </w:p>
    <w:p w:rsidR="00BF4664" w:rsidRPr="006220FC" w:rsidRDefault="00BF4664" w:rsidP="00BF4664">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 xml:space="preserve">Recommendation </w:t>
      </w:r>
      <w:r>
        <w:rPr>
          <w:rFonts w:ascii="Arial" w:hAnsi="Arial" w:cs="Arial"/>
          <w:b/>
          <w:iCs/>
          <w:sz w:val="22"/>
          <w:szCs w:val="22"/>
        </w:rPr>
        <w:t>4</w:t>
      </w:r>
    </w:p>
    <w:p w:rsidR="00BF4664" w:rsidRPr="006220FC" w:rsidRDefault="00BF4664" w:rsidP="00BF4664"/>
    <w:p w:rsidR="00BF4664" w:rsidRPr="0043779B" w:rsidRDefault="00BF4664" w:rsidP="00BF4664">
      <w:r w:rsidRPr="0043779B">
        <w:t xml:space="preserve">That </w:t>
      </w:r>
      <w:r>
        <w:t>prescriptive vehicle width for appropriate vehicle classes and types be increased (excluding equipment such as buckles, chains, grab rails, side mirrors etc.).</w:t>
      </w:r>
    </w:p>
    <w:p w:rsidR="00432A56" w:rsidRPr="001E023F" w:rsidRDefault="00432A56" w:rsidP="00432A56">
      <w:pPr>
        <w:pStyle w:val="Heading1"/>
        <w:rPr>
          <w:sz w:val="24"/>
          <w:szCs w:val="24"/>
        </w:rPr>
      </w:pPr>
      <w:bookmarkStart w:id="8" w:name="_Toc462652430"/>
      <w:r>
        <w:rPr>
          <w:sz w:val="24"/>
          <w:szCs w:val="24"/>
        </w:rPr>
        <w:lastRenderedPageBreak/>
        <w:t>I</w:t>
      </w:r>
      <w:r w:rsidRPr="001E023F">
        <w:rPr>
          <w:sz w:val="24"/>
          <w:szCs w:val="24"/>
        </w:rPr>
        <w:t>ncrease</w:t>
      </w:r>
      <w:r>
        <w:rPr>
          <w:sz w:val="24"/>
          <w:szCs w:val="24"/>
        </w:rPr>
        <w:t>s</w:t>
      </w:r>
      <w:r w:rsidRPr="001E023F">
        <w:rPr>
          <w:sz w:val="24"/>
          <w:szCs w:val="24"/>
        </w:rPr>
        <w:t xml:space="preserve"> </w:t>
      </w:r>
      <w:r>
        <w:rPr>
          <w:sz w:val="24"/>
          <w:szCs w:val="24"/>
        </w:rPr>
        <w:t>in height</w:t>
      </w:r>
      <w:bookmarkEnd w:id="8"/>
    </w:p>
    <w:p w:rsidR="00432A56" w:rsidRDefault="00A1561C" w:rsidP="00432A56">
      <w:pPr>
        <w:rPr>
          <w:rFonts w:cs="Arial"/>
        </w:rPr>
      </w:pPr>
      <w:r>
        <w:rPr>
          <w:rFonts w:cs="Arial"/>
        </w:rPr>
        <w:t xml:space="preserve">At present, </w:t>
      </w:r>
      <w:r w:rsidRPr="00D776FC">
        <w:rPr>
          <w:rFonts w:cs="Arial"/>
        </w:rPr>
        <w:t>4.3</w:t>
      </w:r>
      <w:r>
        <w:rPr>
          <w:rFonts w:cs="Arial"/>
        </w:rPr>
        <w:t xml:space="preserve"> m</w:t>
      </w:r>
      <w:r w:rsidR="00282263">
        <w:rPr>
          <w:rFonts w:cs="Arial"/>
        </w:rPr>
        <w:t>etres</w:t>
      </w:r>
      <w:r w:rsidRPr="00D776FC">
        <w:rPr>
          <w:rFonts w:cs="Arial"/>
        </w:rPr>
        <w:t xml:space="preserve"> </w:t>
      </w:r>
      <w:r>
        <w:rPr>
          <w:rFonts w:cs="Arial"/>
        </w:rPr>
        <w:t>(</w:t>
      </w:r>
      <w:r w:rsidRPr="00D776FC">
        <w:rPr>
          <w:rFonts w:cs="Arial"/>
        </w:rPr>
        <w:t xml:space="preserve">or 4.6 </w:t>
      </w:r>
      <w:r>
        <w:rPr>
          <w:rFonts w:cs="Arial"/>
        </w:rPr>
        <w:t xml:space="preserve">m on permit) vehicle and combination height is allowed and </w:t>
      </w:r>
      <w:r w:rsidR="008D429F">
        <w:rPr>
          <w:rFonts w:cs="Arial"/>
        </w:rPr>
        <w:t xml:space="preserve">recent </w:t>
      </w:r>
      <w:r w:rsidR="005027B8">
        <w:rPr>
          <w:rFonts w:cs="Arial"/>
        </w:rPr>
        <w:t xml:space="preserve">feedback suggests this is </w:t>
      </w:r>
      <w:r>
        <w:rPr>
          <w:rFonts w:cs="Arial"/>
        </w:rPr>
        <w:t xml:space="preserve">considered </w:t>
      </w:r>
      <w:r w:rsidR="008D429F">
        <w:rPr>
          <w:rFonts w:cs="Arial"/>
        </w:rPr>
        <w:t xml:space="preserve">largely </w:t>
      </w:r>
      <w:r>
        <w:rPr>
          <w:rFonts w:cs="Arial"/>
        </w:rPr>
        <w:t xml:space="preserve">sufficient. Some </w:t>
      </w:r>
      <w:r w:rsidR="00432A56">
        <w:rPr>
          <w:rFonts w:cs="Arial"/>
        </w:rPr>
        <w:t xml:space="preserve">ATA members </w:t>
      </w:r>
      <w:r>
        <w:rPr>
          <w:rFonts w:cs="Arial"/>
        </w:rPr>
        <w:t>noted</w:t>
      </w:r>
      <w:r w:rsidR="00432A56">
        <w:rPr>
          <w:rFonts w:cs="Arial"/>
        </w:rPr>
        <w:t xml:space="preserve"> that increasing </w:t>
      </w:r>
      <w:r w:rsidR="001434D3">
        <w:rPr>
          <w:rFonts w:cs="Arial"/>
        </w:rPr>
        <w:t>vehicle/</w:t>
      </w:r>
      <w:r w:rsidR="00432A56">
        <w:rPr>
          <w:rFonts w:cs="Arial"/>
        </w:rPr>
        <w:t xml:space="preserve">load height would make access more difficult </w:t>
      </w:r>
      <w:r w:rsidR="000447DA">
        <w:rPr>
          <w:rFonts w:cs="Arial"/>
        </w:rPr>
        <w:t>on</w:t>
      </w:r>
      <w:r w:rsidR="00432A56">
        <w:rPr>
          <w:rFonts w:cs="Arial"/>
        </w:rPr>
        <w:t xml:space="preserve"> </w:t>
      </w:r>
      <w:r>
        <w:rPr>
          <w:rFonts w:cs="Arial"/>
        </w:rPr>
        <w:t>some</w:t>
      </w:r>
      <w:r w:rsidR="00432A56">
        <w:rPr>
          <w:rFonts w:cs="Arial"/>
        </w:rPr>
        <w:t xml:space="preserve"> </w:t>
      </w:r>
      <w:r w:rsidR="000447DA">
        <w:rPr>
          <w:rFonts w:cs="Arial"/>
        </w:rPr>
        <w:t>existing</w:t>
      </w:r>
      <w:r w:rsidR="00432A56">
        <w:rPr>
          <w:rFonts w:cs="Arial"/>
        </w:rPr>
        <w:t xml:space="preserve"> </w:t>
      </w:r>
      <w:r>
        <w:rPr>
          <w:rFonts w:cs="Arial"/>
        </w:rPr>
        <w:t xml:space="preserve">infrastructure </w:t>
      </w:r>
      <w:r w:rsidR="000447DA">
        <w:rPr>
          <w:rFonts w:cs="Arial"/>
        </w:rPr>
        <w:t xml:space="preserve">featuring </w:t>
      </w:r>
      <w:r w:rsidR="00432A56">
        <w:rPr>
          <w:rFonts w:cs="Arial"/>
        </w:rPr>
        <w:t>catenary wires</w:t>
      </w:r>
      <w:r>
        <w:rPr>
          <w:rFonts w:cs="Arial"/>
        </w:rPr>
        <w:t>,</w:t>
      </w:r>
      <w:r w:rsidR="00432A56">
        <w:rPr>
          <w:rFonts w:cs="Arial"/>
        </w:rPr>
        <w:t xml:space="preserve"> overpasses, tunnels and railway bridges. </w:t>
      </w:r>
      <w:r>
        <w:rPr>
          <w:rFonts w:cs="Arial"/>
        </w:rPr>
        <w:t xml:space="preserve"> </w:t>
      </w:r>
    </w:p>
    <w:p w:rsidR="00432A56" w:rsidRDefault="00432A56" w:rsidP="00432A56">
      <w:pPr>
        <w:rPr>
          <w:rFonts w:cs="Arial"/>
        </w:rPr>
      </w:pPr>
    </w:p>
    <w:p w:rsidR="00B9273A" w:rsidRDefault="00A1561C" w:rsidP="00432A56">
      <w:pPr>
        <w:rPr>
          <w:rFonts w:cs="Arial"/>
        </w:rPr>
      </w:pPr>
      <w:r>
        <w:rPr>
          <w:rFonts w:cs="Arial"/>
        </w:rPr>
        <w:t xml:space="preserve">The </w:t>
      </w:r>
      <w:r w:rsidR="00862F8B">
        <w:rPr>
          <w:rFonts w:cs="Arial"/>
        </w:rPr>
        <w:t>ATA’s Industry Technical Council</w:t>
      </w:r>
      <w:r>
        <w:rPr>
          <w:rFonts w:cs="Arial"/>
        </w:rPr>
        <w:t xml:space="preserve"> </w:t>
      </w:r>
      <w:r w:rsidR="001434D3">
        <w:rPr>
          <w:rFonts w:cs="Arial"/>
        </w:rPr>
        <w:t xml:space="preserve">also </w:t>
      </w:r>
      <w:r>
        <w:rPr>
          <w:rFonts w:cs="Arial"/>
        </w:rPr>
        <w:t>noted that a</w:t>
      </w:r>
      <w:r w:rsidR="008D429F">
        <w:rPr>
          <w:rFonts w:cs="Arial"/>
        </w:rPr>
        <w:t>ny</w:t>
      </w:r>
      <w:r>
        <w:rPr>
          <w:rFonts w:cs="Arial"/>
        </w:rPr>
        <w:t xml:space="preserve"> vehicle’s</w:t>
      </w:r>
      <w:r w:rsidR="00432A56">
        <w:rPr>
          <w:rFonts w:cs="Arial"/>
        </w:rPr>
        <w:t xml:space="preserve"> ‘centre of gravity’ </w:t>
      </w:r>
      <w:r>
        <w:rPr>
          <w:rFonts w:cs="Arial"/>
        </w:rPr>
        <w:t>is</w:t>
      </w:r>
      <w:r w:rsidR="00432A56">
        <w:rPr>
          <w:rFonts w:cs="Arial"/>
        </w:rPr>
        <w:t xml:space="preserve"> a technical safety matter</w:t>
      </w:r>
      <w:r>
        <w:rPr>
          <w:rFonts w:cs="Arial"/>
        </w:rPr>
        <w:t xml:space="preserve"> and d</w:t>
      </w:r>
      <w:r w:rsidR="00432A56">
        <w:rPr>
          <w:rFonts w:cs="Arial"/>
        </w:rPr>
        <w:t xml:space="preserve">oubts were expressed about </w:t>
      </w:r>
      <w:r w:rsidR="008D429F">
        <w:rPr>
          <w:rFonts w:cs="Arial"/>
        </w:rPr>
        <w:t>possible</w:t>
      </w:r>
      <w:r w:rsidR="00432A56">
        <w:rPr>
          <w:rFonts w:cs="Arial"/>
        </w:rPr>
        <w:t xml:space="preserve"> changes in performance </w:t>
      </w:r>
      <w:r>
        <w:rPr>
          <w:rFonts w:cs="Arial"/>
        </w:rPr>
        <w:t>that could lead</w:t>
      </w:r>
      <w:r w:rsidR="00432A56">
        <w:rPr>
          <w:rFonts w:cs="Arial"/>
        </w:rPr>
        <w:t xml:space="preserve"> to </w:t>
      </w:r>
      <w:r>
        <w:rPr>
          <w:rFonts w:cs="Arial"/>
        </w:rPr>
        <w:t xml:space="preserve">vehicle </w:t>
      </w:r>
      <w:r w:rsidR="00432A56">
        <w:rPr>
          <w:rFonts w:cs="Arial"/>
        </w:rPr>
        <w:t xml:space="preserve">rollovers. </w:t>
      </w:r>
      <w:r w:rsidR="00AD3BCD">
        <w:rPr>
          <w:rFonts w:cs="Arial"/>
        </w:rPr>
        <w:t>Nevertheless</w:t>
      </w:r>
      <w:r>
        <w:rPr>
          <w:rFonts w:cs="Arial"/>
        </w:rPr>
        <w:t>, no</w:t>
      </w:r>
      <w:r w:rsidR="00432A56">
        <w:rPr>
          <w:rFonts w:cs="Arial"/>
        </w:rPr>
        <w:t xml:space="preserve"> outright objection </w:t>
      </w:r>
      <w:r>
        <w:rPr>
          <w:rFonts w:cs="Arial"/>
        </w:rPr>
        <w:t xml:space="preserve">to an increase in vehicle height </w:t>
      </w:r>
      <w:r w:rsidR="00AD3BCD">
        <w:rPr>
          <w:rFonts w:cs="Arial"/>
        </w:rPr>
        <w:t>was</w:t>
      </w:r>
      <w:r w:rsidR="00432A56">
        <w:rPr>
          <w:rFonts w:cs="Arial"/>
        </w:rPr>
        <w:t xml:space="preserve"> received</w:t>
      </w:r>
      <w:r>
        <w:rPr>
          <w:rFonts w:cs="Arial"/>
        </w:rPr>
        <w:t xml:space="preserve"> due to the possibility of suitable </w:t>
      </w:r>
      <w:r w:rsidR="005A60AA">
        <w:rPr>
          <w:rFonts w:cs="Arial"/>
        </w:rPr>
        <w:t>geographic</w:t>
      </w:r>
      <w:r>
        <w:rPr>
          <w:rFonts w:cs="Arial"/>
        </w:rPr>
        <w:t xml:space="preserve"> locations where infrastructure</w:t>
      </w:r>
      <w:r w:rsidR="005A60AA">
        <w:rPr>
          <w:rFonts w:cs="Arial"/>
        </w:rPr>
        <w:t xml:space="preserve"> </w:t>
      </w:r>
      <w:r w:rsidR="0054595D">
        <w:rPr>
          <w:rFonts w:cs="Arial"/>
        </w:rPr>
        <w:t xml:space="preserve">and </w:t>
      </w:r>
      <w:r w:rsidR="005A60AA">
        <w:rPr>
          <w:rFonts w:cs="Arial"/>
        </w:rPr>
        <w:t>network type allows</w:t>
      </w:r>
      <w:r w:rsidR="00432A56">
        <w:rPr>
          <w:rFonts w:cs="Arial"/>
        </w:rPr>
        <w:t>.</w:t>
      </w:r>
    </w:p>
    <w:p w:rsidR="00341728" w:rsidRDefault="00341728" w:rsidP="00341728">
      <w:pPr>
        <w:pStyle w:val="NormalWeb"/>
        <w:spacing w:before="0" w:beforeAutospacing="0" w:after="0" w:afterAutospacing="0"/>
        <w:rPr>
          <w:rFonts w:ascii="Arial" w:hAnsi="Arial" w:cs="Arial"/>
          <w:b/>
          <w:iCs/>
          <w:sz w:val="22"/>
          <w:szCs w:val="22"/>
        </w:rPr>
      </w:pPr>
    </w:p>
    <w:p w:rsidR="00BF4664" w:rsidRPr="006220FC" w:rsidRDefault="00BF4664" w:rsidP="00BF4664">
      <w:pPr>
        <w:pStyle w:val="NormalWeb"/>
        <w:spacing w:before="0" w:beforeAutospacing="0" w:after="0" w:afterAutospacing="0"/>
        <w:rPr>
          <w:rFonts w:ascii="Arial" w:hAnsi="Arial" w:cs="Arial"/>
          <w:b/>
          <w:iCs/>
          <w:sz w:val="22"/>
          <w:szCs w:val="22"/>
        </w:rPr>
      </w:pPr>
      <w:r w:rsidRPr="006220FC">
        <w:rPr>
          <w:rFonts w:ascii="Arial" w:hAnsi="Arial" w:cs="Arial"/>
          <w:b/>
          <w:iCs/>
          <w:sz w:val="22"/>
          <w:szCs w:val="22"/>
        </w:rPr>
        <w:t xml:space="preserve">Recommendation </w:t>
      </w:r>
      <w:r>
        <w:rPr>
          <w:rFonts w:ascii="Arial" w:hAnsi="Arial" w:cs="Arial"/>
          <w:b/>
          <w:iCs/>
          <w:sz w:val="22"/>
          <w:szCs w:val="22"/>
        </w:rPr>
        <w:t>5</w:t>
      </w:r>
    </w:p>
    <w:p w:rsidR="00BF4664" w:rsidRDefault="00BF4664" w:rsidP="00BF4664"/>
    <w:p w:rsidR="00341728" w:rsidRDefault="00BF4664" w:rsidP="00432A56">
      <w:pPr>
        <w:rPr>
          <w:rFonts w:cs="Arial"/>
        </w:rPr>
      </w:pPr>
      <w:r w:rsidRPr="0043779B">
        <w:t xml:space="preserve">That </w:t>
      </w:r>
      <w:r>
        <w:t>prescriptive vehicle height for appropriate vehicle classes and types be considered for vehicles on transport routes, regional centre routes and other suitable non-urban locations.</w:t>
      </w:r>
    </w:p>
    <w:p w:rsidR="00913639" w:rsidRDefault="00913639" w:rsidP="00C95379"/>
    <w:p w:rsidR="00862F8B" w:rsidRPr="00862F8B" w:rsidRDefault="00862F8B" w:rsidP="00862F8B">
      <w:pPr>
        <w:pStyle w:val="Heading1"/>
        <w:rPr>
          <w:sz w:val="24"/>
          <w:szCs w:val="24"/>
        </w:rPr>
      </w:pPr>
      <w:bookmarkStart w:id="9" w:name="_Toc462652431"/>
      <w:r w:rsidRPr="00862F8B">
        <w:rPr>
          <w:sz w:val="24"/>
          <w:szCs w:val="24"/>
        </w:rPr>
        <w:t xml:space="preserve">Increasing </w:t>
      </w:r>
      <w:r w:rsidR="00AD206B">
        <w:rPr>
          <w:sz w:val="24"/>
          <w:szCs w:val="24"/>
        </w:rPr>
        <w:t xml:space="preserve">freight </w:t>
      </w:r>
      <w:r w:rsidRPr="00862F8B">
        <w:rPr>
          <w:sz w:val="24"/>
          <w:szCs w:val="24"/>
        </w:rPr>
        <w:t xml:space="preserve">vehicle </w:t>
      </w:r>
      <w:r w:rsidR="00B9273A">
        <w:rPr>
          <w:sz w:val="24"/>
          <w:szCs w:val="24"/>
        </w:rPr>
        <w:t>productivity</w:t>
      </w:r>
      <w:bookmarkEnd w:id="9"/>
      <w:r w:rsidRPr="00862F8B">
        <w:rPr>
          <w:sz w:val="24"/>
          <w:szCs w:val="24"/>
        </w:rPr>
        <w:t xml:space="preserve"> </w:t>
      </w:r>
    </w:p>
    <w:p w:rsidR="007619BD" w:rsidRDefault="007619BD" w:rsidP="007619BD">
      <w:pPr>
        <w:rPr>
          <w:rFonts w:cs="Arial"/>
        </w:rPr>
      </w:pPr>
      <w:r>
        <w:t>Government</w:t>
      </w:r>
      <w:r w:rsidR="0003681B">
        <w:t xml:space="preserve">’s ongoing </w:t>
      </w:r>
      <w:r>
        <w:t xml:space="preserve">consideration of </w:t>
      </w:r>
      <w:r w:rsidR="0003681B">
        <w:t xml:space="preserve">options for </w:t>
      </w:r>
      <w:r>
        <w:t xml:space="preserve">safely increasing payload volume </w:t>
      </w:r>
      <w:r w:rsidRPr="00862F8B">
        <w:rPr>
          <w:i/>
        </w:rPr>
        <w:t>and</w:t>
      </w:r>
      <w:r>
        <w:t xml:space="preserve"> mass (through PBS) is welcome </w:t>
      </w:r>
      <w:r w:rsidR="0003681B">
        <w:t>and</w:t>
      </w:r>
      <w:r>
        <w:t xml:space="preserve"> needs </w:t>
      </w:r>
      <w:r w:rsidR="0003681B">
        <w:t>to keep evolving</w:t>
      </w:r>
      <w:r>
        <w:t xml:space="preserve">. For example, </w:t>
      </w:r>
      <w:r>
        <w:rPr>
          <w:rFonts w:cs="Arial"/>
        </w:rPr>
        <w:t>t</w:t>
      </w:r>
      <w:r w:rsidRPr="00C66A7B">
        <w:rPr>
          <w:rFonts w:cs="Arial"/>
        </w:rPr>
        <w:t xml:space="preserve">he ATA has progressively raised with ministers and </w:t>
      </w:r>
      <w:r w:rsidR="00B700C3">
        <w:rPr>
          <w:rFonts w:cs="Arial"/>
        </w:rPr>
        <w:t xml:space="preserve">transport agencies </w:t>
      </w:r>
      <w:r w:rsidR="00904145">
        <w:rPr>
          <w:rFonts w:cs="Arial"/>
        </w:rPr>
        <w:t xml:space="preserve">the </w:t>
      </w:r>
      <w:r>
        <w:rPr>
          <w:rFonts w:cs="Arial"/>
        </w:rPr>
        <w:t xml:space="preserve">options for wider access by safe, modern </w:t>
      </w:r>
      <w:r w:rsidRPr="00C66A7B">
        <w:rPr>
          <w:rFonts w:cs="Arial"/>
        </w:rPr>
        <w:t>high productivity</w:t>
      </w:r>
      <w:r>
        <w:rPr>
          <w:rFonts w:cs="Arial"/>
        </w:rPr>
        <w:t xml:space="preserve"> vehicles such as </w:t>
      </w:r>
      <w:r w:rsidR="00034E87">
        <w:rPr>
          <w:rFonts w:cs="Arial"/>
        </w:rPr>
        <w:br/>
      </w:r>
      <w:r>
        <w:rPr>
          <w:rFonts w:cs="Arial"/>
        </w:rPr>
        <w:t>36.5 m and 30 m A-doubles</w:t>
      </w:r>
      <w:r>
        <w:rPr>
          <w:rStyle w:val="FootnoteReference"/>
        </w:rPr>
        <w:footnoteReference w:id="6"/>
      </w:r>
      <w:r w:rsidRPr="00C66A7B">
        <w:rPr>
          <w:rFonts w:cs="Arial"/>
        </w:rPr>
        <w:t xml:space="preserve">. </w:t>
      </w:r>
    </w:p>
    <w:p w:rsidR="007619BD" w:rsidRDefault="007619BD" w:rsidP="007619BD">
      <w:pPr>
        <w:rPr>
          <w:rFonts w:cs="Arial"/>
        </w:rPr>
      </w:pPr>
    </w:p>
    <w:p w:rsidR="005D4AB2" w:rsidRDefault="005D4AB2" w:rsidP="005D4AB2">
      <w:pPr>
        <w:rPr>
          <w:rFonts w:cs="Arial"/>
        </w:rPr>
      </w:pPr>
      <w:r w:rsidRPr="00C66A7B">
        <w:rPr>
          <w:rFonts w:cs="Arial"/>
        </w:rPr>
        <w:t xml:space="preserve">Australia has a long history of innovation in road transport. A major step forward occurred in 1991 when </w:t>
      </w:r>
      <w:r>
        <w:rPr>
          <w:rFonts w:cs="Arial"/>
        </w:rPr>
        <w:br/>
      </w:r>
      <w:r w:rsidRPr="00C66A7B">
        <w:rPr>
          <w:rFonts w:cs="Arial"/>
        </w:rPr>
        <w:t>23 metre B-doubles (</w:t>
      </w:r>
      <w:r>
        <w:rPr>
          <w:rFonts w:cs="Arial"/>
        </w:rPr>
        <w:t>aka</w:t>
      </w:r>
      <w:r w:rsidRPr="00C66A7B">
        <w:rPr>
          <w:rFonts w:cs="Arial"/>
        </w:rPr>
        <w:t xml:space="preserve"> “B-trains”) were allowed on the Hume Highway between Melbourne and Sydney for the first time. Introducing the B-double to the freight task from </w:t>
      </w:r>
      <w:r w:rsidR="00904145">
        <w:rPr>
          <w:rFonts w:cs="Arial"/>
        </w:rPr>
        <w:t>then</w:t>
      </w:r>
      <w:r w:rsidRPr="00C66A7B">
        <w:rPr>
          <w:rFonts w:cs="Arial"/>
        </w:rPr>
        <w:t xml:space="preserve"> on meant an immediate increase in </w:t>
      </w:r>
      <w:r w:rsidR="00904145">
        <w:rPr>
          <w:rFonts w:cs="Arial"/>
        </w:rPr>
        <w:t xml:space="preserve">freight </w:t>
      </w:r>
      <w:r w:rsidRPr="00C66A7B">
        <w:rPr>
          <w:rFonts w:cs="Arial"/>
        </w:rPr>
        <w:t>productivity. Today, after much innovation in vehicle design, loading systems, pavement strength and road architecture, there is less immediate scope left to make</w:t>
      </w:r>
      <w:r>
        <w:rPr>
          <w:rFonts w:cs="Arial"/>
        </w:rPr>
        <w:t xml:space="preserve"> similar</w:t>
      </w:r>
      <w:r w:rsidRPr="00C66A7B">
        <w:rPr>
          <w:rFonts w:cs="Arial"/>
        </w:rPr>
        <w:t xml:space="preserve"> gains in productivity</w:t>
      </w:r>
      <w:r>
        <w:rPr>
          <w:rFonts w:cs="Arial"/>
        </w:rPr>
        <w:t>.</w:t>
      </w:r>
    </w:p>
    <w:p w:rsidR="005D4AB2" w:rsidRPr="00C66A7B" w:rsidRDefault="005D4AB2" w:rsidP="005D4AB2">
      <w:pPr>
        <w:rPr>
          <w:rFonts w:cs="Arial"/>
        </w:rPr>
      </w:pPr>
    </w:p>
    <w:p w:rsidR="00034E87" w:rsidRDefault="00034E87" w:rsidP="00034E87">
      <w:pPr>
        <w:rPr>
          <w:rFonts w:cs="Arial"/>
        </w:rPr>
      </w:pPr>
      <w:r>
        <w:rPr>
          <w:rFonts w:cs="Arial"/>
        </w:rPr>
        <w:t>It should be noted that</w:t>
      </w:r>
      <w:r w:rsidRPr="00C66A7B">
        <w:rPr>
          <w:rFonts w:cs="Arial"/>
        </w:rPr>
        <w:t xml:space="preserve"> ‘regulatory attitude’ has played </w:t>
      </w:r>
      <w:r>
        <w:rPr>
          <w:rFonts w:cs="Arial"/>
        </w:rPr>
        <w:t xml:space="preserve">its </w:t>
      </w:r>
      <w:r w:rsidRPr="00C66A7B">
        <w:rPr>
          <w:rFonts w:cs="Arial"/>
        </w:rPr>
        <w:t xml:space="preserve">part, since the extra 2 m in length </w:t>
      </w:r>
      <w:r>
        <w:rPr>
          <w:rFonts w:cs="Arial"/>
        </w:rPr>
        <w:t xml:space="preserve">that was </w:t>
      </w:r>
      <w:r w:rsidRPr="00C66A7B">
        <w:rPr>
          <w:rFonts w:cs="Arial"/>
        </w:rPr>
        <w:t>allowed (i.e. to create today</w:t>
      </w:r>
      <w:r>
        <w:rPr>
          <w:rFonts w:cs="Arial"/>
        </w:rPr>
        <w:t>’s</w:t>
      </w:r>
      <w:r w:rsidRPr="00C66A7B">
        <w:rPr>
          <w:rFonts w:cs="Arial"/>
        </w:rPr>
        <w:t xml:space="preserve"> </w:t>
      </w:r>
      <w:r w:rsidRPr="00C66A7B">
        <w:rPr>
          <w:rFonts w:cs="Arial"/>
        </w:rPr>
        <w:t xml:space="preserve">25/26 m B-double) made </w:t>
      </w:r>
      <w:r>
        <w:rPr>
          <w:rFonts w:cs="Arial"/>
        </w:rPr>
        <w:t xml:space="preserve">the </w:t>
      </w:r>
      <w:r w:rsidRPr="00C66A7B">
        <w:rPr>
          <w:rFonts w:cs="Arial"/>
        </w:rPr>
        <w:t xml:space="preserve">use of a second tri-axle group feasible. As a </w:t>
      </w:r>
      <w:r>
        <w:rPr>
          <w:rFonts w:cs="Arial"/>
        </w:rPr>
        <w:t>consequence</w:t>
      </w:r>
      <w:r w:rsidRPr="00C66A7B">
        <w:rPr>
          <w:rFonts w:cs="Arial"/>
        </w:rPr>
        <w:t xml:space="preserve">, B-doubles are </w:t>
      </w:r>
      <w:r>
        <w:rPr>
          <w:rFonts w:cs="Arial"/>
        </w:rPr>
        <w:t xml:space="preserve">now </w:t>
      </w:r>
      <w:r>
        <w:rPr>
          <w:rFonts w:cs="Arial"/>
        </w:rPr>
        <w:t>estimated</w:t>
      </w:r>
      <w:r w:rsidRPr="00C66A7B">
        <w:rPr>
          <w:rFonts w:cs="Arial"/>
        </w:rPr>
        <w:t xml:space="preserve"> to have carried almost the entire increase in the national road freight task from 1999 to 2007.</w:t>
      </w:r>
      <w:r>
        <w:rPr>
          <w:rFonts w:cs="Arial"/>
        </w:rPr>
        <w:t xml:space="preserve"> </w:t>
      </w:r>
    </w:p>
    <w:p w:rsidR="00034E87" w:rsidRDefault="00034E87" w:rsidP="00034E87">
      <w:pPr>
        <w:rPr>
          <w:rFonts w:cs="Arial"/>
        </w:rPr>
      </w:pPr>
    </w:p>
    <w:p w:rsidR="005D4AB2" w:rsidRPr="00C66A7B" w:rsidRDefault="00B316CA" w:rsidP="005D4AB2">
      <w:pPr>
        <w:rPr>
          <w:rFonts w:cs="Arial"/>
        </w:rPr>
      </w:pPr>
      <w:r>
        <w:rPr>
          <w:rFonts w:cs="Arial"/>
        </w:rPr>
        <w:t>Wider</w:t>
      </w:r>
      <w:r w:rsidR="00935458">
        <w:rPr>
          <w:rFonts w:cs="Arial"/>
        </w:rPr>
        <w:t xml:space="preserve"> use of </w:t>
      </w:r>
      <w:r w:rsidR="00314EA1">
        <w:rPr>
          <w:rFonts w:cs="Arial"/>
        </w:rPr>
        <w:t xml:space="preserve">larger </w:t>
      </w:r>
      <w:r w:rsidR="005D4AB2">
        <w:rPr>
          <w:rFonts w:cs="Arial"/>
        </w:rPr>
        <w:t xml:space="preserve">vehicles </w:t>
      </w:r>
      <w:r w:rsidR="00935458">
        <w:rPr>
          <w:rFonts w:cs="Arial"/>
        </w:rPr>
        <w:t>such as</w:t>
      </w:r>
      <w:r w:rsidR="005D4AB2">
        <w:rPr>
          <w:rFonts w:cs="Arial"/>
        </w:rPr>
        <w:t xml:space="preserve"> </w:t>
      </w:r>
      <w:r w:rsidR="00935458">
        <w:rPr>
          <w:rFonts w:cs="Arial"/>
        </w:rPr>
        <w:t>modern</w:t>
      </w:r>
      <w:r w:rsidR="005D4AB2">
        <w:rPr>
          <w:rFonts w:cs="Arial"/>
        </w:rPr>
        <w:t xml:space="preserve"> </w:t>
      </w:r>
      <w:r w:rsidR="005D4AB2" w:rsidRPr="00C66A7B">
        <w:rPr>
          <w:rFonts w:cs="Arial"/>
        </w:rPr>
        <w:t>A-double</w:t>
      </w:r>
      <w:r w:rsidR="00314EA1">
        <w:rPr>
          <w:rFonts w:cs="Arial"/>
        </w:rPr>
        <w:t>s</w:t>
      </w:r>
      <w:r w:rsidR="00935458">
        <w:rPr>
          <w:rFonts w:cs="Arial"/>
        </w:rPr>
        <w:t xml:space="preserve"> </w:t>
      </w:r>
      <w:r w:rsidR="005D4AB2" w:rsidRPr="00C66A7B">
        <w:rPr>
          <w:rFonts w:cs="Arial"/>
        </w:rPr>
        <w:t>offer</w:t>
      </w:r>
      <w:r w:rsidR="00904145">
        <w:rPr>
          <w:rFonts w:cs="Arial"/>
        </w:rPr>
        <w:t>s</w:t>
      </w:r>
      <w:r w:rsidR="00935458">
        <w:rPr>
          <w:rFonts w:cs="Arial"/>
        </w:rPr>
        <w:t xml:space="preserve"> a</w:t>
      </w:r>
      <w:r w:rsidR="005D4AB2" w:rsidRPr="00C66A7B">
        <w:rPr>
          <w:rFonts w:cs="Arial"/>
        </w:rPr>
        <w:t xml:space="preserve"> rare area</w:t>
      </w:r>
      <w:r w:rsidR="00935458">
        <w:rPr>
          <w:rFonts w:cs="Arial"/>
        </w:rPr>
        <w:t xml:space="preserve"> </w:t>
      </w:r>
      <w:r w:rsidR="005D4AB2" w:rsidRPr="00C66A7B">
        <w:rPr>
          <w:rFonts w:cs="Arial"/>
        </w:rPr>
        <w:t xml:space="preserve">of productivity </w:t>
      </w:r>
      <w:r w:rsidR="00314EA1">
        <w:rPr>
          <w:rFonts w:cs="Arial"/>
        </w:rPr>
        <w:t>gain,</w:t>
      </w:r>
      <w:r w:rsidR="005D4AB2" w:rsidRPr="00C66A7B">
        <w:rPr>
          <w:rFonts w:cs="Arial"/>
        </w:rPr>
        <w:t xml:space="preserve"> particularly for volumetric freight according to some Australian trailer-makers. </w:t>
      </w:r>
      <w:r w:rsidR="005D4AB2">
        <w:rPr>
          <w:rFonts w:cs="Arial"/>
        </w:rPr>
        <w:t>Some</w:t>
      </w:r>
      <w:r w:rsidR="005D4AB2" w:rsidRPr="00C66A7B">
        <w:rPr>
          <w:rFonts w:cs="Arial"/>
        </w:rPr>
        <w:t xml:space="preserve"> </w:t>
      </w:r>
      <w:r w:rsidR="00935458">
        <w:rPr>
          <w:rFonts w:cs="Arial"/>
        </w:rPr>
        <w:t>claim</w:t>
      </w:r>
      <w:r w:rsidR="005D4AB2" w:rsidRPr="00C66A7B">
        <w:rPr>
          <w:rFonts w:cs="Arial"/>
        </w:rPr>
        <w:t xml:space="preserve"> these vehicles are </w:t>
      </w:r>
      <w:r w:rsidR="00935458">
        <w:rPr>
          <w:rFonts w:cs="Arial"/>
        </w:rPr>
        <w:t xml:space="preserve">now </w:t>
      </w:r>
      <w:r w:rsidR="005D4AB2" w:rsidRPr="00C66A7B">
        <w:rPr>
          <w:rFonts w:cs="Arial"/>
        </w:rPr>
        <w:t xml:space="preserve">a ‘game-changer’ </w:t>
      </w:r>
      <w:r w:rsidR="005D4AB2">
        <w:rPr>
          <w:rFonts w:cs="Arial"/>
        </w:rPr>
        <w:t>because</w:t>
      </w:r>
      <w:r w:rsidR="005D4AB2" w:rsidRPr="00C66A7B">
        <w:rPr>
          <w:rFonts w:cs="Arial"/>
        </w:rPr>
        <w:t xml:space="preserve"> they offer considerabl</w:t>
      </w:r>
      <w:r w:rsidR="00904145">
        <w:rPr>
          <w:rFonts w:cs="Arial"/>
        </w:rPr>
        <w:t>y more</w:t>
      </w:r>
      <w:r w:rsidR="005D4AB2" w:rsidRPr="00C66A7B">
        <w:rPr>
          <w:rFonts w:cs="Arial"/>
        </w:rPr>
        <w:t xml:space="preserve"> </w:t>
      </w:r>
      <w:r w:rsidR="005D4AB2">
        <w:rPr>
          <w:rFonts w:cs="Arial"/>
        </w:rPr>
        <w:t xml:space="preserve">productivity </w:t>
      </w:r>
      <w:r w:rsidR="00904145">
        <w:rPr>
          <w:rFonts w:cs="Arial"/>
        </w:rPr>
        <w:t xml:space="preserve">in </w:t>
      </w:r>
      <w:r>
        <w:rPr>
          <w:rFonts w:cs="Arial"/>
        </w:rPr>
        <w:t xml:space="preserve">the </w:t>
      </w:r>
      <w:r w:rsidR="005D4AB2">
        <w:rPr>
          <w:rFonts w:cs="Arial"/>
        </w:rPr>
        <w:t>transport of f</w:t>
      </w:r>
      <w:r w:rsidR="005D4AB2" w:rsidRPr="00C66A7B">
        <w:rPr>
          <w:rFonts w:cs="Arial"/>
        </w:rPr>
        <w:t>resh produce</w:t>
      </w:r>
      <w:r>
        <w:rPr>
          <w:rFonts w:cs="Arial"/>
        </w:rPr>
        <w:t xml:space="preserve">, </w:t>
      </w:r>
      <w:r w:rsidR="005D4AB2" w:rsidRPr="00C66A7B">
        <w:rPr>
          <w:rFonts w:cs="Arial"/>
        </w:rPr>
        <w:t>40 foot shipp</w:t>
      </w:r>
      <w:r w:rsidR="007619BD">
        <w:rPr>
          <w:rFonts w:cs="Arial"/>
        </w:rPr>
        <w:t>ing containers</w:t>
      </w:r>
      <w:r>
        <w:rPr>
          <w:rFonts w:cs="Arial"/>
        </w:rPr>
        <w:t xml:space="preserve"> and bulk freight</w:t>
      </w:r>
      <w:r w:rsidR="007619BD">
        <w:rPr>
          <w:rFonts w:cs="Arial"/>
        </w:rPr>
        <w:t xml:space="preserve"> </w:t>
      </w:r>
      <w:r w:rsidR="005D4AB2">
        <w:rPr>
          <w:rFonts w:cs="Arial"/>
        </w:rPr>
        <w:t xml:space="preserve">yet </w:t>
      </w:r>
      <w:r w:rsidR="00904145">
        <w:rPr>
          <w:rFonts w:cs="Arial"/>
        </w:rPr>
        <w:t>also</w:t>
      </w:r>
      <w:r>
        <w:rPr>
          <w:rFonts w:cs="Arial"/>
        </w:rPr>
        <w:t xml:space="preserve"> produce</w:t>
      </w:r>
      <w:r w:rsidR="00904145">
        <w:rPr>
          <w:rFonts w:cs="Arial"/>
        </w:rPr>
        <w:t xml:space="preserve"> </w:t>
      </w:r>
      <w:r w:rsidR="005D4AB2">
        <w:rPr>
          <w:rFonts w:cs="Arial"/>
        </w:rPr>
        <w:t xml:space="preserve">lower </w:t>
      </w:r>
      <w:r w:rsidR="005D4AB2" w:rsidRPr="00C66A7B">
        <w:rPr>
          <w:rFonts w:cs="Arial"/>
        </w:rPr>
        <w:t xml:space="preserve">emissions, </w:t>
      </w:r>
      <w:r w:rsidR="005D4AB2">
        <w:rPr>
          <w:rFonts w:cs="Arial"/>
        </w:rPr>
        <w:t xml:space="preserve">less </w:t>
      </w:r>
      <w:r>
        <w:rPr>
          <w:rFonts w:cs="Arial"/>
        </w:rPr>
        <w:t xml:space="preserve">traffic </w:t>
      </w:r>
      <w:r w:rsidR="005D4AB2" w:rsidRPr="00C66A7B">
        <w:rPr>
          <w:rFonts w:cs="Arial"/>
        </w:rPr>
        <w:t xml:space="preserve">congestion and </w:t>
      </w:r>
      <w:r w:rsidR="005D4AB2">
        <w:rPr>
          <w:rFonts w:cs="Arial"/>
        </w:rPr>
        <w:t xml:space="preserve">high levels of </w:t>
      </w:r>
      <w:r w:rsidR="005D4AB2" w:rsidRPr="00C66A7B">
        <w:rPr>
          <w:rFonts w:cs="Arial"/>
        </w:rPr>
        <w:t xml:space="preserve">safety. </w:t>
      </w:r>
      <w:r w:rsidR="00314EA1">
        <w:rPr>
          <w:rFonts w:cs="Arial"/>
        </w:rPr>
        <w:t>T</w:t>
      </w:r>
      <w:r w:rsidR="005D4AB2" w:rsidRPr="00C66A7B">
        <w:rPr>
          <w:rFonts w:cs="Arial"/>
        </w:rPr>
        <w:t xml:space="preserve">wenty five years after the B-double was introduced to </w:t>
      </w:r>
      <w:r w:rsidR="00904145">
        <w:rPr>
          <w:rFonts w:cs="Arial"/>
        </w:rPr>
        <w:t>our</w:t>
      </w:r>
      <w:r w:rsidR="005D4AB2" w:rsidRPr="00C66A7B">
        <w:rPr>
          <w:rFonts w:cs="Arial"/>
        </w:rPr>
        <w:t xml:space="preserve"> </w:t>
      </w:r>
      <w:r w:rsidR="00904145">
        <w:rPr>
          <w:rFonts w:cs="Arial"/>
        </w:rPr>
        <w:t>h</w:t>
      </w:r>
      <w:r w:rsidR="005D4AB2" w:rsidRPr="00C66A7B">
        <w:rPr>
          <w:rFonts w:cs="Arial"/>
        </w:rPr>
        <w:t>ighway</w:t>
      </w:r>
      <w:r w:rsidR="00904145">
        <w:rPr>
          <w:rFonts w:cs="Arial"/>
        </w:rPr>
        <w:t>s</w:t>
      </w:r>
      <w:r w:rsidR="005D4AB2" w:rsidRPr="00C66A7B">
        <w:rPr>
          <w:rFonts w:cs="Arial"/>
        </w:rPr>
        <w:t>, it is ti</w:t>
      </w:r>
      <w:r w:rsidR="00904145">
        <w:rPr>
          <w:rFonts w:cs="Arial"/>
        </w:rPr>
        <w:t xml:space="preserve">me to introduce the A-double to interstate </w:t>
      </w:r>
      <w:r w:rsidR="005D4AB2" w:rsidRPr="00C66A7B">
        <w:rPr>
          <w:rFonts w:cs="Arial"/>
        </w:rPr>
        <w:t>highway</w:t>
      </w:r>
      <w:r w:rsidR="00904145">
        <w:rPr>
          <w:rFonts w:cs="Arial"/>
        </w:rPr>
        <w:t>s</w:t>
      </w:r>
      <w:r w:rsidR="005D4AB2" w:rsidRPr="00C66A7B">
        <w:rPr>
          <w:rFonts w:cs="Arial"/>
        </w:rPr>
        <w:t xml:space="preserve"> and advance </w:t>
      </w:r>
      <w:r w:rsidR="00D653AD">
        <w:rPr>
          <w:rFonts w:cs="Arial"/>
        </w:rPr>
        <w:t xml:space="preserve">national </w:t>
      </w:r>
      <w:r w:rsidR="005D4AB2" w:rsidRPr="00C66A7B">
        <w:rPr>
          <w:rFonts w:cs="Arial"/>
        </w:rPr>
        <w:t xml:space="preserve">network productivity again. </w:t>
      </w:r>
    </w:p>
    <w:p w:rsidR="00C86F60" w:rsidRDefault="00C86F60" w:rsidP="00862F8B">
      <w:pPr>
        <w:rPr>
          <w:rFonts w:cs="Arial"/>
        </w:rPr>
      </w:pPr>
    </w:p>
    <w:p w:rsidR="00862F8B" w:rsidRDefault="00862F8B" w:rsidP="00A243B2">
      <w:r w:rsidRPr="00C66A7B">
        <w:rPr>
          <w:rFonts w:cs="Arial"/>
        </w:rPr>
        <w:t xml:space="preserve">In 2010, there were </w:t>
      </w:r>
      <w:r w:rsidR="00B9273A">
        <w:rPr>
          <w:rFonts w:cs="Arial"/>
        </w:rPr>
        <w:t xml:space="preserve">approximately </w:t>
      </w:r>
      <w:r w:rsidRPr="00C66A7B">
        <w:rPr>
          <w:rFonts w:cs="Arial"/>
        </w:rPr>
        <w:t>60,000 semi</w:t>
      </w:r>
      <w:r w:rsidR="00B9273A">
        <w:rPr>
          <w:rFonts w:cs="Arial"/>
        </w:rPr>
        <w:t>-trailers</w:t>
      </w:r>
      <w:r w:rsidRPr="00C66A7B">
        <w:rPr>
          <w:rFonts w:cs="Arial"/>
        </w:rPr>
        <w:t>, 10,000 B-doubles and 5,000 road trains operating</w:t>
      </w:r>
      <w:r w:rsidR="00B9273A">
        <w:rPr>
          <w:rFonts w:cs="Arial"/>
        </w:rPr>
        <w:t xml:space="preserve"> on the road</w:t>
      </w:r>
      <w:r w:rsidRPr="00C66A7B">
        <w:rPr>
          <w:rFonts w:cs="Arial"/>
        </w:rPr>
        <w:t xml:space="preserve">. Bureau of Infrastructure, Transport and Regional Economics (BITRE) figures in 2014 predict a 50 per cent rise in the number of trucks on the road in the next 15 years. To meet the growing </w:t>
      </w:r>
      <w:r w:rsidR="00282263">
        <w:rPr>
          <w:rFonts w:cs="Arial"/>
        </w:rPr>
        <w:t xml:space="preserve">national freight </w:t>
      </w:r>
      <w:r w:rsidRPr="00C66A7B">
        <w:rPr>
          <w:rFonts w:cs="Arial"/>
        </w:rPr>
        <w:t xml:space="preserve">task but to avoid an explosion in truck numbers, each truck trip </w:t>
      </w:r>
      <w:r w:rsidR="00D86004">
        <w:rPr>
          <w:rFonts w:cs="Arial"/>
        </w:rPr>
        <w:t>has to</w:t>
      </w:r>
      <w:r w:rsidRPr="00C66A7B">
        <w:rPr>
          <w:rFonts w:cs="Arial"/>
        </w:rPr>
        <w:t xml:space="preserve"> become safely more productive and once again</w:t>
      </w:r>
      <w:r w:rsidR="00BF4664">
        <w:rPr>
          <w:rFonts w:cs="Arial"/>
        </w:rPr>
        <w:t>,</w:t>
      </w:r>
      <w:r w:rsidRPr="00C66A7B">
        <w:rPr>
          <w:rFonts w:cs="Arial"/>
        </w:rPr>
        <w:t xml:space="preserve"> this mean</w:t>
      </w:r>
      <w:r w:rsidR="00D86004">
        <w:rPr>
          <w:rFonts w:cs="Arial"/>
        </w:rPr>
        <w:t>s</w:t>
      </w:r>
      <w:r w:rsidRPr="00C66A7B">
        <w:rPr>
          <w:rFonts w:cs="Arial"/>
        </w:rPr>
        <w:t xml:space="preserve"> </w:t>
      </w:r>
      <w:r w:rsidR="00BF4664">
        <w:rPr>
          <w:rFonts w:cs="Arial"/>
        </w:rPr>
        <w:t xml:space="preserve">the </w:t>
      </w:r>
      <w:r w:rsidRPr="00C66A7B">
        <w:rPr>
          <w:rFonts w:cs="Arial"/>
        </w:rPr>
        <w:t>adoption of the latest high productivity vehicles.</w:t>
      </w:r>
      <w:r w:rsidR="00282263">
        <w:rPr>
          <w:rFonts w:cs="Arial"/>
        </w:rPr>
        <w:t xml:space="preserve"> Increasing volumetric load capacity in strategic geographic areas </w:t>
      </w:r>
      <w:r w:rsidR="00BF4664">
        <w:rPr>
          <w:rFonts w:cs="Arial"/>
        </w:rPr>
        <w:t>and</w:t>
      </w:r>
      <w:r w:rsidR="00282263">
        <w:rPr>
          <w:rFonts w:cs="Arial"/>
        </w:rPr>
        <w:t xml:space="preserve"> for strategic types of freight </w:t>
      </w:r>
      <w:r w:rsidR="00631CAD">
        <w:rPr>
          <w:rFonts w:cs="Arial"/>
        </w:rPr>
        <w:t xml:space="preserve">as discussed above, </w:t>
      </w:r>
      <w:r w:rsidR="00282263">
        <w:rPr>
          <w:rFonts w:cs="Arial"/>
        </w:rPr>
        <w:t>offer</w:t>
      </w:r>
      <w:r w:rsidR="00631CAD">
        <w:rPr>
          <w:rFonts w:cs="Arial"/>
        </w:rPr>
        <w:t>s</w:t>
      </w:r>
      <w:r w:rsidR="00282263">
        <w:rPr>
          <w:rFonts w:cs="Arial"/>
        </w:rPr>
        <w:t xml:space="preserve"> one of the few remaining opportunities to improve </w:t>
      </w:r>
      <w:r w:rsidR="00710903">
        <w:rPr>
          <w:rFonts w:cs="Arial"/>
        </w:rPr>
        <w:t xml:space="preserve">national freight </w:t>
      </w:r>
      <w:r w:rsidR="00282263">
        <w:rPr>
          <w:rFonts w:cs="Arial"/>
        </w:rPr>
        <w:t>productivity significantly.</w:t>
      </w:r>
    </w:p>
    <w:sectPr w:rsidR="00862F8B" w:rsidSect="00A9141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6C" w:rsidRDefault="0009386C" w:rsidP="000F3D9F">
      <w:r>
        <w:separator/>
      </w:r>
    </w:p>
  </w:endnote>
  <w:endnote w:type="continuationSeparator" w:id="0">
    <w:p w:rsidR="0009386C" w:rsidRDefault="0009386C"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Default="0009386C" w:rsidP="0000435D">
    <w:pPr>
      <w:jc w:val="right"/>
      <w:rPr>
        <w:rFonts w:ascii="Arial" w:hAnsi="Arial" w:cs="Arial"/>
        <w:smallCaps/>
        <w:noProof/>
        <w:szCs w:val="23"/>
        <w:lang w:eastAsia="en-AU"/>
      </w:rPr>
    </w:pPr>
    <w:r>
      <w:rPr>
        <w:rFonts w:ascii="Arial" w:hAnsi="Arial" w:cs="Arial"/>
        <w:smallCaps/>
        <w:noProof/>
        <w:szCs w:val="23"/>
        <w:lang w:eastAsia="en-AU"/>
      </w:rPr>
      <w:drawing>
        <wp:inline distT="0" distB="0" distL="0" distR="0" wp14:anchorId="19CF4117" wp14:editId="3F00CF92">
          <wp:extent cx="1751501" cy="84645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501" cy="846455"/>
                  </a:xfrm>
                  <a:prstGeom prst="rect">
                    <a:avLst/>
                  </a:prstGeom>
                  <a:noFill/>
                  <a:ln w="9525">
                    <a:noFill/>
                    <a:miter lim="800000"/>
                    <a:headEnd/>
                    <a:tailEnd/>
                  </a:ln>
                </pic:spPr>
              </pic:pic>
            </a:graphicData>
          </a:graphic>
        </wp:inline>
      </w:drawing>
    </w:r>
  </w:p>
  <w:p w:rsidR="0009386C" w:rsidRPr="00E8056B" w:rsidRDefault="0009386C" w:rsidP="00E8056B">
    <w:pPr>
      <w:jc w:val="right"/>
      <w:rPr>
        <w:rFonts w:ascii="Arial" w:hAnsi="Arial" w:cs="Arial"/>
        <w:sz w:val="16"/>
        <w:szCs w:val="16"/>
      </w:rPr>
    </w:pPr>
  </w:p>
  <w:p w:rsidR="0009386C" w:rsidRPr="00E8056B" w:rsidRDefault="0009386C"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09386C" w:rsidRPr="00E8056B" w:rsidRDefault="0009386C"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Default="0009386C">
    <w:pPr>
      <w:pStyle w:val="Footer"/>
      <w:jc w:val="right"/>
    </w:pPr>
    <w:r>
      <w:fldChar w:fldCharType="begin"/>
    </w:r>
    <w:r>
      <w:instrText xml:space="preserve"> PAGE   \* MERGEFORMAT </w:instrText>
    </w:r>
    <w:r>
      <w:fldChar w:fldCharType="separate"/>
    </w:r>
    <w:r>
      <w:rPr>
        <w:noProof/>
      </w:rPr>
      <w:t>7</w:t>
    </w:r>
    <w:r>
      <w:rPr>
        <w:noProof/>
      </w:rPr>
      <w:fldChar w:fldCharType="end"/>
    </w:r>
  </w:p>
  <w:p w:rsidR="0009386C" w:rsidRDefault="00093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Default="000938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Default="0009386C"/>
  <w:tbl>
    <w:tblPr>
      <w:tblW w:w="0" w:type="auto"/>
      <w:tblBorders>
        <w:top w:val="single" w:sz="4" w:space="0" w:color="000000"/>
        <w:insideH w:val="single" w:sz="4" w:space="0" w:color="000000"/>
      </w:tblBorders>
      <w:tblLook w:val="04A0" w:firstRow="1" w:lastRow="0" w:firstColumn="1" w:lastColumn="0" w:noHBand="0" w:noVBand="1"/>
    </w:tblPr>
    <w:tblGrid>
      <w:gridCol w:w="7797"/>
      <w:gridCol w:w="1841"/>
    </w:tblGrid>
    <w:tr w:rsidR="0009386C" w:rsidRPr="00254532" w:rsidTr="00C87BB9">
      <w:trPr>
        <w:trHeight w:val="57"/>
      </w:trPr>
      <w:tc>
        <w:tcPr>
          <w:tcW w:w="7797" w:type="dxa"/>
          <w:vAlign w:val="center"/>
        </w:tcPr>
        <w:p w:rsidR="0009386C" w:rsidRPr="00254532" w:rsidRDefault="0009386C" w:rsidP="00B028B9">
          <w:pPr>
            <w:pStyle w:val="Footer"/>
            <w:rPr>
              <w:rFonts w:ascii="Arial" w:hAnsi="Arial" w:cs="Arial"/>
              <w:i/>
              <w:sz w:val="14"/>
              <w:szCs w:val="14"/>
            </w:rPr>
          </w:pPr>
          <w:r w:rsidRPr="00254532">
            <w:rPr>
              <w:rFonts w:ascii="Arial" w:hAnsi="Arial" w:cs="Arial"/>
              <w:i/>
              <w:sz w:val="14"/>
              <w:szCs w:val="14"/>
            </w:rPr>
            <w:t xml:space="preserve">ATA submission to NTC issues paper on </w:t>
          </w:r>
          <w:r>
            <w:rPr>
              <w:rFonts w:ascii="Arial" w:hAnsi="Arial" w:cs="Arial"/>
              <w:i/>
              <w:sz w:val="14"/>
              <w:szCs w:val="14"/>
            </w:rPr>
            <w:t>increasing volumetric load capacity</w:t>
          </w:r>
          <w:r w:rsidR="004C754C">
            <w:rPr>
              <w:rFonts w:ascii="Arial" w:hAnsi="Arial" w:cs="Arial"/>
              <w:i/>
              <w:sz w:val="14"/>
              <w:szCs w:val="14"/>
            </w:rPr>
            <w:t xml:space="preserve"> 26092016</w:t>
          </w:r>
        </w:p>
      </w:tc>
      <w:tc>
        <w:tcPr>
          <w:tcW w:w="1841" w:type="dxa"/>
          <w:vAlign w:val="center"/>
        </w:tcPr>
        <w:p w:rsidR="0009386C" w:rsidRPr="00254532" w:rsidRDefault="0009386C" w:rsidP="00D735FF">
          <w:pPr>
            <w:pStyle w:val="Footer"/>
            <w:jc w:val="right"/>
            <w:rPr>
              <w:rFonts w:ascii="Arial" w:hAnsi="Arial" w:cs="Arial"/>
              <w:i/>
              <w:sz w:val="14"/>
              <w:szCs w:val="14"/>
            </w:rPr>
          </w:pPr>
          <w:r w:rsidRPr="00254532">
            <w:rPr>
              <w:rFonts w:ascii="Arial" w:hAnsi="Arial" w:cs="Arial"/>
              <w:i/>
              <w:sz w:val="14"/>
              <w:szCs w:val="14"/>
            </w:rPr>
            <w:t xml:space="preserve">Page </w:t>
          </w:r>
          <w:r w:rsidRPr="00254532">
            <w:rPr>
              <w:rFonts w:ascii="Arial" w:hAnsi="Arial" w:cs="Arial"/>
              <w:i/>
              <w:sz w:val="14"/>
              <w:szCs w:val="14"/>
            </w:rPr>
            <w:fldChar w:fldCharType="begin"/>
          </w:r>
          <w:r w:rsidRPr="00254532">
            <w:rPr>
              <w:rFonts w:ascii="Arial" w:hAnsi="Arial" w:cs="Arial"/>
              <w:i/>
              <w:sz w:val="14"/>
              <w:szCs w:val="14"/>
            </w:rPr>
            <w:instrText xml:space="preserve"> PAGE   \* MERGEFORMAT </w:instrText>
          </w:r>
          <w:r w:rsidRPr="00254532">
            <w:rPr>
              <w:rFonts w:ascii="Arial" w:hAnsi="Arial" w:cs="Arial"/>
              <w:i/>
              <w:sz w:val="14"/>
              <w:szCs w:val="14"/>
            </w:rPr>
            <w:fldChar w:fldCharType="separate"/>
          </w:r>
          <w:r w:rsidR="00115314">
            <w:rPr>
              <w:rFonts w:ascii="Arial" w:hAnsi="Arial" w:cs="Arial"/>
              <w:i/>
              <w:noProof/>
              <w:sz w:val="14"/>
              <w:szCs w:val="14"/>
            </w:rPr>
            <w:t>3</w:t>
          </w:r>
          <w:r w:rsidRPr="00254532">
            <w:rPr>
              <w:rFonts w:ascii="Arial" w:hAnsi="Arial" w:cs="Arial"/>
              <w:i/>
              <w:sz w:val="14"/>
              <w:szCs w:val="14"/>
            </w:rPr>
            <w:fldChar w:fldCharType="end"/>
          </w:r>
        </w:p>
      </w:tc>
    </w:tr>
  </w:tbl>
  <w:p w:rsidR="0009386C" w:rsidRPr="00A91411" w:rsidRDefault="0009386C">
    <w:pP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Default="00093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6C" w:rsidRDefault="0009386C" w:rsidP="000F3D9F">
      <w:r>
        <w:separator/>
      </w:r>
    </w:p>
  </w:footnote>
  <w:footnote w:type="continuationSeparator" w:id="0">
    <w:p w:rsidR="0009386C" w:rsidRDefault="0009386C" w:rsidP="000F3D9F">
      <w:r>
        <w:continuationSeparator/>
      </w:r>
    </w:p>
  </w:footnote>
  <w:footnote w:id="1">
    <w:p w:rsidR="0009386C" w:rsidRDefault="0009386C" w:rsidP="0009386C">
      <w:pPr>
        <w:pStyle w:val="FootnoteText"/>
      </w:pPr>
      <w:r>
        <w:rPr>
          <w:rStyle w:val="FootnoteReference"/>
        </w:rPr>
        <w:footnoteRef/>
      </w:r>
      <w:r>
        <w:t xml:space="preserve"> </w:t>
      </w:r>
      <w:r w:rsidRPr="00071272">
        <w:rPr>
          <w:i/>
          <w:sz w:val="18"/>
          <w:szCs w:val="18"/>
        </w:rPr>
        <w:t>Study reveals major growth potential for refrigerated trailer market</w:t>
      </w:r>
      <w:r w:rsidRPr="00071272">
        <w:rPr>
          <w:sz w:val="18"/>
          <w:szCs w:val="18"/>
        </w:rPr>
        <w:t>. Trailer Magazine. April 2016. “The Asia-Pacific region could play a key role in the growth of the refrigerated trailer market, according to a new report by Persistence Market Research.”</w:t>
      </w:r>
      <w:r w:rsidR="00071272">
        <w:t xml:space="preserve"> </w:t>
      </w:r>
      <w:r w:rsidR="00071272" w:rsidRPr="000A21FE">
        <w:rPr>
          <w:sz w:val="18"/>
          <w:szCs w:val="18"/>
        </w:rPr>
        <w:t xml:space="preserve">URL: </w:t>
      </w:r>
      <w:hyperlink r:id="rId1" w:history="1">
        <w:r w:rsidR="00071272" w:rsidRPr="000A21FE">
          <w:rPr>
            <w:rStyle w:val="Hyperlink"/>
            <w:sz w:val="18"/>
            <w:szCs w:val="18"/>
          </w:rPr>
          <w:t>http://www.trailermag.com.au/news/article/study-reveals-major-growth-potential-for-refrigerated-trailer-market</w:t>
        </w:r>
      </w:hyperlink>
    </w:p>
  </w:footnote>
  <w:footnote w:id="2">
    <w:p w:rsidR="0083341C" w:rsidRDefault="0083341C" w:rsidP="0083341C">
      <w:pPr>
        <w:pStyle w:val="FootnoteText"/>
      </w:pPr>
      <w:r>
        <w:rPr>
          <w:rStyle w:val="FootnoteReference"/>
        </w:rPr>
        <w:footnoteRef/>
      </w:r>
      <w:r>
        <w:t xml:space="preserve"> </w:t>
      </w:r>
      <w:r w:rsidRPr="000A21FE">
        <w:rPr>
          <w:i/>
          <w:sz w:val="18"/>
          <w:szCs w:val="18"/>
        </w:rPr>
        <w:t xml:space="preserve">Finemore Gets The Ok To Run PBS-Approved Trucks. </w:t>
      </w:r>
      <w:r w:rsidRPr="000A21FE">
        <w:rPr>
          <w:sz w:val="18"/>
          <w:szCs w:val="18"/>
        </w:rPr>
        <w:t xml:space="preserve">ATN </w:t>
      </w:r>
      <w:r w:rsidR="00554DEA">
        <w:rPr>
          <w:sz w:val="18"/>
          <w:szCs w:val="18"/>
        </w:rPr>
        <w:t xml:space="preserve">June, </w:t>
      </w:r>
      <w:r w:rsidRPr="000A21FE">
        <w:rPr>
          <w:sz w:val="18"/>
          <w:szCs w:val="18"/>
        </w:rPr>
        <w:t xml:space="preserve">2014. URL: </w:t>
      </w:r>
      <w:hyperlink r:id="rId2" w:history="1">
        <w:r w:rsidRPr="000A21FE">
          <w:rPr>
            <w:rStyle w:val="Hyperlink"/>
            <w:sz w:val="18"/>
            <w:szCs w:val="18"/>
          </w:rPr>
          <w:t>https://www.fullyloaded.com.au/industry-news/1406/finemore-gets-the-ok-to-run-pbs-approved-trucks</w:t>
        </w:r>
      </w:hyperlink>
      <w:r>
        <w:t xml:space="preserve"> </w:t>
      </w:r>
    </w:p>
  </w:footnote>
  <w:footnote w:id="3">
    <w:p w:rsidR="0009386C" w:rsidRDefault="0009386C">
      <w:pPr>
        <w:pStyle w:val="FootnoteText"/>
      </w:pPr>
      <w:r>
        <w:rPr>
          <w:rStyle w:val="FootnoteReference"/>
        </w:rPr>
        <w:footnoteRef/>
      </w:r>
      <w:r>
        <w:t xml:space="preserve"> </w:t>
      </w:r>
      <w:r w:rsidR="007656ED" w:rsidRPr="007656ED">
        <w:rPr>
          <w:i/>
          <w:sz w:val="18"/>
          <w:szCs w:val="18"/>
        </w:rPr>
        <w:t>PBS: A Game of Regulation</w:t>
      </w:r>
      <w:r w:rsidR="007656ED" w:rsidRPr="007656ED">
        <w:rPr>
          <w:sz w:val="18"/>
          <w:szCs w:val="18"/>
        </w:rPr>
        <w:t xml:space="preserve">, </w:t>
      </w:r>
      <w:r w:rsidR="009640F4">
        <w:rPr>
          <w:sz w:val="18"/>
          <w:szCs w:val="18"/>
        </w:rPr>
        <w:t xml:space="preserve">published </w:t>
      </w:r>
      <w:r w:rsidR="007656ED" w:rsidRPr="007656ED">
        <w:rPr>
          <w:sz w:val="18"/>
          <w:szCs w:val="18"/>
        </w:rPr>
        <w:t>December</w:t>
      </w:r>
      <w:r w:rsidR="009640F4">
        <w:rPr>
          <w:sz w:val="18"/>
          <w:szCs w:val="18"/>
        </w:rPr>
        <w:t>,</w:t>
      </w:r>
      <w:r w:rsidR="007656ED" w:rsidRPr="007656ED">
        <w:rPr>
          <w:sz w:val="18"/>
          <w:szCs w:val="18"/>
        </w:rPr>
        <w:t xml:space="preserve"> 2015</w:t>
      </w:r>
      <w:r w:rsidR="009640F4">
        <w:rPr>
          <w:sz w:val="18"/>
          <w:szCs w:val="18"/>
        </w:rPr>
        <w:t>.</w:t>
      </w:r>
      <w:r w:rsidR="007656ED" w:rsidRPr="007656ED">
        <w:rPr>
          <w:sz w:val="18"/>
          <w:szCs w:val="18"/>
        </w:rPr>
        <w:t xml:space="preserve"> Global Trailer Magazine,</w:t>
      </w:r>
      <w:r w:rsidR="007656ED">
        <w:rPr>
          <w:sz w:val="18"/>
          <w:szCs w:val="18"/>
        </w:rPr>
        <w:t xml:space="preserve"> </w:t>
      </w:r>
      <w:r w:rsidR="007656ED" w:rsidRPr="007656ED">
        <w:rPr>
          <w:sz w:val="18"/>
          <w:szCs w:val="18"/>
        </w:rPr>
        <w:t xml:space="preserve">republished as </w:t>
      </w:r>
      <w:r w:rsidR="007656ED" w:rsidRPr="007656ED">
        <w:rPr>
          <w:i/>
          <w:sz w:val="18"/>
          <w:szCs w:val="18"/>
        </w:rPr>
        <w:t>The end of regulation</w:t>
      </w:r>
      <w:r w:rsidR="008478FF">
        <w:rPr>
          <w:i/>
          <w:sz w:val="18"/>
          <w:szCs w:val="18"/>
        </w:rPr>
        <w:t>,</w:t>
      </w:r>
      <w:r w:rsidR="007656ED" w:rsidRPr="007656ED">
        <w:rPr>
          <w:i/>
          <w:sz w:val="18"/>
          <w:szCs w:val="18"/>
        </w:rPr>
        <w:t xml:space="preserve"> </w:t>
      </w:r>
      <w:r w:rsidR="008478FF" w:rsidRPr="007656ED">
        <w:rPr>
          <w:sz w:val="18"/>
          <w:szCs w:val="18"/>
        </w:rPr>
        <w:t>Global Trailer Magazine</w:t>
      </w:r>
      <w:r w:rsidR="008478FF">
        <w:rPr>
          <w:sz w:val="18"/>
          <w:szCs w:val="18"/>
        </w:rPr>
        <w:t>,</w:t>
      </w:r>
      <w:r w:rsidR="008478FF" w:rsidRPr="007656ED">
        <w:rPr>
          <w:sz w:val="18"/>
          <w:szCs w:val="18"/>
        </w:rPr>
        <w:t xml:space="preserve"> </w:t>
      </w:r>
      <w:r w:rsidRPr="007656ED">
        <w:rPr>
          <w:sz w:val="18"/>
          <w:szCs w:val="18"/>
        </w:rPr>
        <w:t xml:space="preserve">2016. </w:t>
      </w:r>
      <w:r w:rsidR="00345467" w:rsidRPr="007656ED">
        <w:rPr>
          <w:sz w:val="18"/>
          <w:szCs w:val="18"/>
        </w:rPr>
        <w:t xml:space="preserve">URL: </w:t>
      </w:r>
      <w:hyperlink r:id="rId3" w:history="1">
        <w:r w:rsidR="007656ED" w:rsidRPr="007656ED">
          <w:rPr>
            <w:rStyle w:val="Hyperlink"/>
            <w:sz w:val="18"/>
            <w:szCs w:val="18"/>
          </w:rPr>
          <w:t>http://www.primemovermag.com.au/featured/article/pbs-a-game-of-regulation</w:t>
        </w:r>
      </w:hyperlink>
      <w:r w:rsidR="007656ED">
        <w:t xml:space="preserve"> </w:t>
      </w:r>
    </w:p>
  </w:footnote>
  <w:footnote w:id="4">
    <w:p w:rsidR="00B200F2" w:rsidRDefault="0079286C">
      <w:pPr>
        <w:pStyle w:val="FootnoteText"/>
        <w:rPr>
          <w:sz w:val="18"/>
          <w:szCs w:val="18"/>
        </w:rPr>
      </w:pPr>
      <w:r>
        <w:rPr>
          <w:rStyle w:val="FootnoteReference"/>
        </w:rPr>
        <w:footnoteRef/>
      </w:r>
      <w:r>
        <w:t xml:space="preserve"> </w:t>
      </w:r>
      <w:r w:rsidRPr="00B200F2">
        <w:rPr>
          <w:i/>
          <w:sz w:val="18"/>
          <w:szCs w:val="18"/>
        </w:rPr>
        <w:t>Can the A-double change the trucking industry?</w:t>
      </w:r>
      <w:r w:rsidRPr="00B200F2">
        <w:rPr>
          <w:sz w:val="18"/>
          <w:szCs w:val="18"/>
        </w:rPr>
        <w:t xml:space="preserve"> Prime Mover magazine. April</w:t>
      </w:r>
      <w:r w:rsidR="009640F4">
        <w:rPr>
          <w:sz w:val="18"/>
          <w:szCs w:val="18"/>
        </w:rPr>
        <w:t>,</w:t>
      </w:r>
      <w:r w:rsidRPr="00B200F2">
        <w:rPr>
          <w:sz w:val="18"/>
          <w:szCs w:val="18"/>
        </w:rPr>
        <w:t xml:space="preserve"> 2011. </w:t>
      </w:r>
    </w:p>
    <w:p w:rsidR="0079286C" w:rsidRDefault="00B200F2">
      <w:pPr>
        <w:pStyle w:val="FootnoteText"/>
      </w:pPr>
      <w:r>
        <w:rPr>
          <w:sz w:val="18"/>
          <w:szCs w:val="18"/>
        </w:rPr>
        <w:t xml:space="preserve">   </w:t>
      </w:r>
      <w:r w:rsidR="0079286C" w:rsidRPr="00B200F2">
        <w:rPr>
          <w:sz w:val="18"/>
          <w:szCs w:val="18"/>
        </w:rPr>
        <w:t xml:space="preserve">URL: </w:t>
      </w:r>
      <w:hyperlink r:id="rId4" w:history="1">
        <w:r w:rsidRPr="00B200F2">
          <w:rPr>
            <w:rStyle w:val="Hyperlink"/>
            <w:sz w:val="18"/>
            <w:szCs w:val="18"/>
          </w:rPr>
          <w:t>http://www.primemovermag.com.au/featured/article/can-the-a-double-change-the-trucking-industry</w:t>
        </w:r>
      </w:hyperlink>
      <w:r>
        <w:t xml:space="preserve"> </w:t>
      </w:r>
    </w:p>
  </w:footnote>
  <w:footnote w:id="5">
    <w:p w:rsidR="00B700C3" w:rsidRDefault="00B700C3">
      <w:pPr>
        <w:pStyle w:val="FootnoteText"/>
      </w:pPr>
      <w:r>
        <w:rPr>
          <w:rStyle w:val="FootnoteReference"/>
        </w:rPr>
        <w:footnoteRef/>
      </w:r>
      <w:r w:rsidR="00B241DF">
        <w:t xml:space="preserve"> </w:t>
      </w:r>
      <w:r w:rsidR="00B241DF" w:rsidRPr="00B241DF">
        <w:rPr>
          <w:i/>
          <w:sz w:val="18"/>
          <w:szCs w:val="18"/>
        </w:rPr>
        <w:t>PBS: A Game of Regulation</w:t>
      </w:r>
      <w:r w:rsidR="00B241DF" w:rsidRPr="00B241DF">
        <w:rPr>
          <w:sz w:val="18"/>
          <w:szCs w:val="18"/>
        </w:rPr>
        <w:t xml:space="preserve">, published December, 2015. Global Trailer Magazine, republished as </w:t>
      </w:r>
      <w:r w:rsidR="00B241DF" w:rsidRPr="00B241DF">
        <w:rPr>
          <w:i/>
          <w:sz w:val="18"/>
          <w:szCs w:val="18"/>
        </w:rPr>
        <w:t xml:space="preserve">The end of regulation, </w:t>
      </w:r>
      <w:r w:rsidR="00B241DF" w:rsidRPr="00B241DF">
        <w:rPr>
          <w:sz w:val="18"/>
          <w:szCs w:val="18"/>
        </w:rPr>
        <w:t xml:space="preserve">Global Trailer Magazine, 2016. </w:t>
      </w:r>
      <w:r w:rsidRPr="00B241DF">
        <w:rPr>
          <w:sz w:val="18"/>
          <w:szCs w:val="18"/>
        </w:rPr>
        <w:t xml:space="preserve"> URL: </w:t>
      </w:r>
      <w:hyperlink r:id="rId5" w:history="1">
        <w:r w:rsidR="00B241DF" w:rsidRPr="00B241DF">
          <w:rPr>
            <w:rStyle w:val="Hyperlink"/>
            <w:sz w:val="18"/>
            <w:szCs w:val="18"/>
          </w:rPr>
          <w:t>http://www.trailermag.com.au/featured/article/pbs-a-game-of-regulation</w:t>
        </w:r>
      </w:hyperlink>
      <w:r w:rsidR="00B241DF">
        <w:t xml:space="preserve"> </w:t>
      </w:r>
    </w:p>
  </w:footnote>
  <w:footnote w:id="6">
    <w:p w:rsidR="007619BD" w:rsidRPr="00D653AD" w:rsidRDefault="007619BD" w:rsidP="007619BD">
      <w:pPr>
        <w:pStyle w:val="FootnoteText"/>
        <w:rPr>
          <w:sz w:val="16"/>
          <w:szCs w:val="16"/>
        </w:rPr>
      </w:pPr>
      <w:r>
        <w:rPr>
          <w:rStyle w:val="FootnoteReference"/>
        </w:rPr>
        <w:footnoteRef/>
      </w:r>
      <w:r w:rsidRPr="00175A33">
        <w:rPr>
          <w:sz w:val="18"/>
          <w:szCs w:val="18"/>
        </w:rPr>
        <w:t xml:space="preserve"> </w:t>
      </w:r>
      <w:r w:rsidRPr="00D653AD">
        <w:rPr>
          <w:sz w:val="16"/>
          <w:szCs w:val="16"/>
        </w:rPr>
        <w:t>A-doubles are also called type 1 road trains, A123T23 or A123T33 etc. Before the 1980s (and introduction of B-doubles) these configurations were also commonly referred to as a double road train (or road train double) but they are all the same vehicle configuration.  ‘A-double’, ‘type 1 road train’ and ‘double road train’ are generic terms, each referring to a single articulated vehicle towing a dolly which supports a semi-trailer.  The fourth term, A123T23 or A123T33,  is also the same but refer to the particular axle configurations of an A-double (or double road train etc.), which can be described as an 11 axle A-double and a 12 axle A-double. In theory, an A-double could have single axles, and hence it would be called a 5 axle A-Double or an A111T11.  In essence these HPV are an articulated vehicle towing a trailer with two axle groups which may consist of a dolly supporting a semi-trailer.</w:t>
      </w:r>
      <w:r w:rsidR="00F15F22">
        <w:rPr>
          <w:sz w:val="16"/>
          <w:szCs w:val="16"/>
        </w:rPr>
        <w:t xml:space="preserve"> Today, the</w:t>
      </w:r>
      <w:r w:rsidRPr="00D653AD">
        <w:rPr>
          <w:sz w:val="16"/>
          <w:szCs w:val="16"/>
        </w:rPr>
        <w:t xml:space="preserve"> modern A-double</w:t>
      </w:r>
      <w:r w:rsidR="00D22FC3" w:rsidRPr="00D653AD">
        <w:rPr>
          <w:sz w:val="16"/>
          <w:szCs w:val="16"/>
        </w:rPr>
        <w:t xml:space="preserve"> combination</w:t>
      </w:r>
      <w:r w:rsidRPr="00D653AD">
        <w:rPr>
          <w:sz w:val="16"/>
          <w:szCs w:val="16"/>
        </w:rPr>
        <w:t xml:space="preserve"> is popular, productive and safe but </w:t>
      </w:r>
      <w:r w:rsidR="00F15F22">
        <w:rPr>
          <w:sz w:val="16"/>
          <w:szCs w:val="16"/>
        </w:rPr>
        <w:t xml:space="preserve">also </w:t>
      </w:r>
      <w:r w:rsidR="00D22FC3" w:rsidRPr="00D653AD">
        <w:rPr>
          <w:sz w:val="16"/>
          <w:szCs w:val="16"/>
        </w:rPr>
        <w:t xml:space="preserve">greatly </w:t>
      </w:r>
      <w:r w:rsidRPr="00D653AD">
        <w:rPr>
          <w:sz w:val="16"/>
          <w:szCs w:val="16"/>
        </w:rPr>
        <w:t xml:space="preserve">underutilised </w:t>
      </w:r>
      <w:r w:rsidR="00D22FC3" w:rsidRPr="00D653AD">
        <w:rPr>
          <w:sz w:val="16"/>
          <w:szCs w:val="16"/>
        </w:rPr>
        <w:t xml:space="preserve">so </w:t>
      </w:r>
      <w:r w:rsidRPr="00D653AD">
        <w:rPr>
          <w:sz w:val="16"/>
          <w:szCs w:val="16"/>
        </w:rPr>
        <w:t>it is interesting to note the alphabetical Glossary on page 36 of the Issues paper begins at ‘B-double’</w:t>
      </w:r>
      <w:r w:rsidR="00F15F22">
        <w:rPr>
          <w:sz w:val="16"/>
          <w:szCs w:val="16"/>
        </w:rPr>
        <w:t>, thus</w:t>
      </w:r>
      <w:r w:rsidRPr="00D653AD">
        <w:rPr>
          <w:sz w:val="16"/>
          <w:szCs w:val="16"/>
        </w:rPr>
        <w:t xml:space="preserve"> ignoring </w:t>
      </w:r>
      <w:r w:rsidR="00F15F22">
        <w:rPr>
          <w:sz w:val="16"/>
          <w:szCs w:val="16"/>
        </w:rPr>
        <w:t>this</w:t>
      </w:r>
      <w:r w:rsidRPr="00D653AD">
        <w:rPr>
          <w:sz w:val="16"/>
          <w:szCs w:val="16"/>
        </w:rPr>
        <w:t xml:space="preserve"> HPV with a </w:t>
      </w:r>
      <w:hyperlink r:id="rId6" w:history="1">
        <w:r w:rsidRPr="00D653AD">
          <w:rPr>
            <w:rStyle w:val="Hyperlink"/>
            <w:sz w:val="16"/>
            <w:szCs w:val="16"/>
          </w:rPr>
          <w:t>bright freight future</w:t>
        </w:r>
      </w:hyperlink>
      <w:r w:rsidRPr="00D653AD">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Default="00093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Default="00093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Pr="00E8056B" w:rsidRDefault="0009386C"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09386C" w:rsidRDefault="000938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Default="000938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Pr="0019542E" w:rsidRDefault="0009386C"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6C" w:rsidRDefault="00093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6E2"/>
    <w:multiLevelType w:val="hybridMultilevel"/>
    <w:tmpl w:val="14404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D4384"/>
    <w:multiLevelType w:val="hybridMultilevel"/>
    <w:tmpl w:val="A8C4F3FC"/>
    <w:lvl w:ilvl="0" w:tplc="0F60512E">
      <w:numFmt w:val="bullet"/>
      <w:lvlText w:val="•"/>
      <w:lvlJc w:val="left"/>
      <w:pPr>
        <w:ind w:left="720" w:hanging="72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130707"/>
    <w:multiLevelType w:val="hybridMultilevel"/>
    <w:tmpl w:val="90046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CF0806"/>
    <w:multiLevelType w:val="hybridMultilevel"/>
    <w:tmpl w:val="E63AE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A48E1"/>
    <w:multiLevelType w:val="hybridMultilevel"/>
    <w:tmpl w:val="8546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60874"/>
    <w:multiLevelType w:val="hybridMultilevel"/>
    <w:tmpl w:val="EB7EF76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9673B82"/>
    <w:multiLevelType w:val="hybridMultilevel"/>
    <w:tmpl w:val="6DE8D166"/>
    <w:lvl w:ilvl="0" w:tplc="0F60512E">
      <w:numFmt w:val="bullet"/>
      <w:lvlText w:val="•"/>
      <w:lvlJc w:val="left"/>
      <w:pPr>
        <w:ind w:left="72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731044"/>
    <w:multiLevelType w:val="hybridMultilevel"/>
    <w:tmpl w:val="513AA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CF60E2"/>
    <w:multiLevelType w:val="hybridMultilevel"/>
    <w:tmpl w:val="F170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F0147"/>
    <w:multiLevelType w:val="hybridMultilevel"/>
    <w:tmpl w:val="7274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DE4F98"/>
    <w:multiLevelType w:val="hybridMultilevel"/>
    <w:tmpl w:val="812AA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213EB1"/>
    <w:multiLevelType w:val="hybridMultilevel"/>
    <w:tmpl w:val="828E2450"/>
    <w:lvl w:ilvl="0" w:tplc="A2EA7E44">
      <w:numFmt w:val="bullet"/>
      <w:lvlText w:val="•"/>
      <w:lvlJc w:val="left"/>
      <w:pPr>
        <w:ind w:left="510" w:hanging="51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F3265C"/>
    <w:multiLevelType w:val="hybridMultilevel"/>
    <w:tmpl w:val="B9A2E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C3126"/>
    <w:multiLevelType w:val="multilevel"/>
    <w:tmpl w:val="872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83B2E"/>
    <w:multiLevelType w:val="hybridMultilevel"/>
    <w:tmpl w:val="3FB6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17" w15:restartNumberingAfterBreak="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E6325F"/>
    <w:multiLevelType w:val="hybridMultilevel"/>
    <w:tmpl w:val="5A7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E932D1"/>
    <w:multiLevelType w:val="hybridMultilevel"/>
    <w:tmpl w:val="95742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AC2CF7"/>
    <w:multiLevelType w:val="hybridMultilevel"/>
    <w:tmpl w:val="7C1CC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100DC5"/>
    <w:multiLevelType w:val="hybridMultilevel"/>
    <w:tmpl w:val="FC448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7636987"/>
    <w:multiLevelType w:val="hybridMultilevel"/>
    <w:tmpl w:val="5BCC2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8802C92"/>
    <w:multiLevelType w:val="hybridMultilevel"/>
    <w:tmpl w:val="1C0E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761BF2"/>
    <w:multiLevelType w:val="hybridMultilevel"/>
    <w:tmpl w:val="8236E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BB4C3A"/>
    <w:multiLevelType w:val="multilevel"/>
    <w:tmpl w:val="0FEA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1B60ED"/>
    <w:multiLevelType w:val="hybridMultilevel"/>
    <w:tmpl w:val="5B9E2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BB75572"/>
    <w:multiLevelType w:val="hybridMultilevel"/>
    <w:tmpl w:val="594E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EB76990"/>
    <w:multiLevelType w:val="hybridMultilevel"/>
    <w:tmpl w:val="39F242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045E6F"/>
    <w:multiLevelType w:val="hybridMultilevel"/>
    <w:tmpl w:val="17D24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C84D13"/>
    <w:multiLevelType w:val="hybridMultilevel"/>
    <w:tmpl w:val="12D49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4F3BF5"/>
    <w:multiLevelType w:val="hybridMultilevel"/>
    <w:tmpl w:val="CC1C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7223D7"/>
    <w:multiLevelType w:val="hybridMultilevel"/>
    <w:tmpl w:val="54666020"/>
    <w:lvl w:ilvl="0" w:tplc="0F60512E">
      <w:numFmt w:val="bullet"/>
      <w:lvlText w:val="•"/>
      <w:lvlJc w:val="left"/>
      <w:pPr>
        <w:ind w:left="72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FB02BD"/>
    <w:multiLevelType w:val="hybridMultilevel"/>
    <w:tmpl w:val="96FCF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8E4214"/>
    <w:multiLevelType w:val="hybridMultilevel"/>
    <w:tmpl w:val="C1BE1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1C6C05C">
      <w:numFmt w:val="bullet"/>
      <w:lvlText w:val="•"/>
      <w:lvlJc w:val="left"/>
      <w:pPr>
        <w:ind w:left="2160" w:hanging="36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31"/>
  </w:num>
  <w:num w:numId="4">
    <w:abstractNumId w:val="1"/>
  </w:num>
  <w:num w:numId="5">
    <w:abstractNumId w:val="16"/>
  </w:num>
  <w:num w:numId="6">
    <w:abstractNumId w:val="26"/>
  </w:num>
  <w:num w:numId="7">
    <w:abstractNumId w:val="21"/>
  </w:num>
  <w:num w:numId="8">
    <w:abstractNumId w:val="22"/>
  </w:num>
  <w:num w:numId="9">
    <w:abstractNumId w:val="13"/>
  </w:num>
  <w:num w:numId="10">
    <w:abstractNumId w:val="10"/>
  </w:num>
  <w:num w:numId="11">
    <w:abstractNumId w:val="28"/>
  </w:num>
  <w:num w:numId="12">
    <w:abstractNumId w:val="25"/>
  </w:num>
  <w:num w:numId="13">
    <w:abstractNumId w:val="14"/>
  </w:num>
  <w:num w:numId="14">
    <w:abstractNumId w:val="28"/>
  </w:num>
  <w:num w:numId="15">
    <w:abstractNumId w:val="6"/>
  </w:num>
  <w:num w:numId="16">
    <w:abstractNumId w:val="3"/>
  </w:num>
  <w:num w:numId="17">
    <w:abstractNumId w:val="5"/>
  </w:num>
  <w:num w:numId="18">
    <w:abstractNumId w:val="8"/>
  </w:num>
  <w:num w:numId="19">
    <w:abstractNumId w:val="32"/>
  </w:num>
  <w:num w:numId="20">
    <w:abstractNumId w:val="15"/>
  </w:num>
  <w:num w:numId="21">
    <w:abstractNumId w:val="34"/>
  </w:num>
  <w:num w:numId="22">
    <w:abstractNumId w:val="23"/>
  </w:num>
  <w:num w:numId="23">
    <w:abstractNumId w:val="4"/>
  </w:num>
  <w:num w:numId="24">
    <w:abstractNumId w:val="35"/>
  </w:num>
  <w:num w:numId="25">
    <w:abstractNumId w:val="11"/>
  </w:num>
  <w:num w:numId="26">
    <w:abstractNumId w:val="18"/>
  </w:num>
  <w:num w:numId="27">
    <w:abstractNumId w:val="9"/>
  </w:num>
  <w:num w:numId="28">
    <w:abstractNumId w:val="2"/>
  </w:num>
  <w:num w:numId="29">
    <w:abstractNumId w:val="7"/>
  </w:num>
  <w:num w:numId="30">
    <w:abstractNumId w:val="33"/>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30"/>
  </w:num>
  <w:num w:numId="38">
    <w:abstractNumId w:val="24"/>
  </w:num>
  <w:num w:numId="39">
    <w:abstractNumId w:val="27"/>
  </w:num>
  <w:num w:numId="40">
    <w:abstractNumId w:val="28"/>
  </w:num>
  <w:num w:numId="41">
    <w:abstractNumId w:val="12"/>
  </w:num>
  <w:num w:numId="42">
    <w:abstractNumId w:val="28"/>
  </w:num>
  <w:num w:numId="43">
    <w:abstractNumId w:val="20"/>
  </w:num>
  <w:num w:numId="44">
    <w:abstractNumId w:val="19"/>
  </w:num>
  <w:num w:numId="45">
    <w:abstractNumId w:val="0"/>
  </w:num>
  <w:num w:numId="46">
    <w:abstractNumId w:val="29"/>
  </w:num>
  <w:num w:numId="47">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drawingGridHorizontalSpacing w:val="110"/>
  <w:displayHorizontalDrawingGridEvery w:val="2"/>
  <w:characterSpacingControl w:val="doNotCompress"/>
  <w:hdrShapeDefaults>
    <o:shapedefaults v:ext="edit" spidmax="604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2A51"/>
    <w:rsid w:val="0000435D"/>
    <w:rsid w:val="00005A35"/>
    <w:rsid w:val="00005E0D"/>
    <w:rsid w:val="00006079"/>
    <w:rsid w:val="00006297"/>
    <w:rsid w:val="00006C53"/>
    <w:rsid w:val="00007723"/>
    <w:rsid w:val="00007CA7"/>
    <w:rsid w:val="00011661"/>
    <w:rsid w:val="00012205"/>
    <w:rsid w:val="00012DC3"/>
    <w:rsid w:val="00013F22"/>
    <w:rsid w:val="00014ACF"/>
    <w:rsid w:val="000156D1"/>
    <w:rsid w:val="000169A5"/>
    <w:rsid w:val="00020B9C"/>
    <w:rsid w:val="00021886"/>
    <w:rsid w:val="00021D7D"/>
    <w:rsid w:val="0002564A"/>
    <w:rsid w:val="00027E86"/>
    <w:rsid w:val="00030025"/>
    <w:rsid w:val="0003251D"/>
    <w:rsid w:val="000349FA"/>
    <w:rsid w:val="00034E87"/>
    <w:rsid w:val="000350A8"/>
    <w:rsid w:val="00035304"/>
    <w:rsid w:val="00035CFC"/>
    <w:rsid w:val="000363E4"/>
    <w:rsid w:val="0003681B"/>
    <w:rsid w:val="0003685B"/>
    <w:rsid w:val="00037DF7"/>
    <w:rsid w:val="0004081E"/>
    <w:rsid w:val="00040876"/>
    <w:rsid w:val="00040B35"/>
    <w:rsid w:val="000416A0"/>
    <w:rsid w:val="000447B1"/>
    <w:rsid w:val="000447DA"/>
    <w:rsid w:val="00044FFF"/>
    <w:rsid w:val="000456D8"/>
    <w:rsid w:val="00046251"/>
    <w:rsid w:val="00047723"/>
    <w:rsid w:val="00047B01"/>
    <w:rsid w:val="00050538"/>
    <w:rsid w:val="00050AC8"/>
    <w:rsid w:val="00050CE6"/>
    <w:rsid w:val="00052E54"/>
    <w:rsid w:val="00052E9C"/>
    <w:rsid w:val="00053C20"/>
    <w:rsid w:val="00053DCB"/>
    <w:rsid w:val="0005427F"/>
    <w:rsid w:val="00054F0E"/>
    <w:rsid w:val="000558FB"/>
    <w:rsid w:val="00056113"/>
    <w:rsid w:val="00056A74"/>
    <w:rsid w:val="00060365"/>
    <w:rsid w:val="00060651"/>
    <w:rsid w:val="000619B0"/>
    <w:rsid w:val="00061E3C"/>
    <w:rsid w:val="0006283B"/>
    <w:rsid w:val="00063D15"/>
    <w:rsid w:val="000647A7"/>
    <w:rsid w:val="00067698"/>
    <w:rsid w:val="00070737"/>
    <w:rsid w:val="0007104C"/>
    <w:rsid w:val="00071272"/>
    <w:rsid w:val="00071A71"/>
    <w:rsid w:val="00072CCE"/>
    <w:rsid w:val="00073E8C"/>
    <w:rsid w:val="0007542B"/>
    <w:rsid w:val="00075811"/>
    <w:rsid w:val="00075C01"/>
    <w:rsid w:val="00075E7B"/>
    <w:rsid w:val="00077364"/>
    <w:rsid w:val="00081098"/>
    <w:rsid w:val="00082EA9"/>
    <w:rsid w:val="00083959"/>
    <w:rsid w:val="00083C15"/>
    <w:rsid w:val="000841E5"/>
    <w:rsid w:val="000848A1"/>
    <w:rsid w:val="00086A56"/>
    <w:rsid w:val="00087208"/>
    <w:rsid w:val="000874AC"/>
    <w:rsid w:val="00087B84"/>
    <w:rsid w:val="0009056B"/>
    <w:rsid w:val="000916AB"/>
    <w:rsid w:val="00091EB9"/>
    <w:rsid w:val="00093679"/>
    <w:rsid w:val="000937A9"/>
    <w:rsid w:val="0009386C"/>
    <w:rsid w:val="00094FE3"/>
    <w:rsid w:val="00095C3B"/>
    <w:rsid w:val="00096B02"/>
    <w:rsid w:val="0009718D"/>
    <w:rsid w:val="00097329"/>
    <w:rsid w:val="000976B9"/>
    <w:rsid w:val="0009785A"/>
    <w:rsid w:val="000A01D0"/>
    <w:rsid w:val="000A2163"/>
    <w:rsid w:val="000A21FE"/>
    <w:rsid w:val="000A2996"/>
    <w:rsid w:val="000A2BCF"/>
    <w:rsid w:val="000A2C1A"/>
    <w:rsid w:val="000A4EB0"/>
    <w:rsid w:val="000A5734"/>
    <w:rsid w:val="000A6499"/>
    <w:rsid w:val="000A7570"/>
    <w:rsid w:val="000B0410"/>
    <w:rsid w:val="000B069A"/>
    <w:rsid w:val="000B1819"/>
    <w:rsid w:val="000B2A56"/>
    <w:rsid w:val="000B496C"/>
    <w:rsid w:val="000B5ED2"/>
    <w:rsid w:val="000C049C"/>
    <w:rsid w:val="000C0C35"/>
    <w:rsid w:val="000C0F58"/>
    <w:rsid w:val="000C35F6"/>
    <w:rsid w:val="000C4A62"/>
    <w:rsid w:val="000C7BBC"/>
    <w:rsid w:val="000D033C"/>
    <w:rsid w:val="000D48DD"/>
    <w:rsid w:val="000D5E4E"/>
    <w:rsid w:val="000D633B"/>
    <w:rsid w:val="000D6EF5"/>
    <w:rsid w:val="000D7B94"/>
    <w:rsid w:val="000D7CD4"/>
    <w:rsid w:val="000E00E4"/>
    <w:rsid w:val="000E7B14"/>
    <w:rsid w:val="000F0F7B"/>
    <w:rsid w:val="000F314E"/>
    <w:rsid w:val="000F34E0"/>
    <w:rsid w:val="000F3ACC"/>
    <w:rsid w:val="000F3ADB"/>
    <w:rsid w:val="000F3D9F"/>
    <w:rsid w:val="000F49AC"/>
    <w:rsid w:val="000F53C2"/>
    <w:rsid w:val="000F566E"/>
    <w:rsid w:val="000F5BB5"/>
    <w:rsid w:val="000F7F6F"/>
    <w:rsid w:val="00100A35"/>
    <w:rsid w:val="00103E24"/>
    <w:rsid w:val="00103E63"/>
    <w:rsid w:val="001051CB"/>
    <w:rsid w:val="00106D24"/>
    <w:rsid w:val="00106FC6"/>
    <w:rsid w:val="00110610"/>
    <w:rsid w:val="00110711"/>
    <w:rsid w:val="00110A53"/>
    <w:rsid w:val="001121A8"/>
    <w:rsid w:val="0011347C"/>
    <w:rsid w:val="00114941"/>
    <w:rsid w:val="00114FC5"/>
    <w:rsid w:val="00115314"/>
    <w:rsid w:val="00116567"/>
    <w:rsid w:val="001176CB"/>
    <w:rsid w:val="00121A4F"/>
    <w:rsid w:val="00121A53"/>
    <w:rsid w:val="00122285"/>
    <w:rsid w:val="00124231"/>
    <w:rsid w:val="00124E0A"/>
    <w:rsid w:val="00125009"/>
    <w:rsid w:val="00125023"/>
    <w:rsid w:val="00126A32"/>
    <w:rsid w:val="0013041A"/>
    <w:rsid w:val="001320D2"/>
    <w:rsid w:val="00132E36"/>
    <w:rsid w:val="00133207"/>
    <w:rsid w:val="00134E0D"/>
    <w:rsid w:val="001356F2"/>
    <w:rsid w:val="001368EB"/>
    <w:rsid w:val="00140AC8"/>
    <w:rsid w:val="00141274"/>
    <w:rsid w:val="00141395"/>
    <w:rsid w:val="0014179F"/>
    <w:rsid w:val="00142A90"/>
    <w:rsid w:val="0014300C"/>
    <w:rsid w:val="001431E4"/>
    <w:rsid w:val="001434D3"/>
    <w:rsid w:val="00145B71"/>
    <w:rsid w:val="0014683D"/>
    <w:rsid w:val="00150065"/>
    <w:rsid w:val="0015008C"/>
    <w:rsid w:val="00150435"/>
    <w:rsid w:val="0015062F"/>
    <w:rsid w:val="0015211C"/>
    <w:rsid w:val="00152A71"/>
    <w:rsid w:val="001531B2"/>
    <w:rsid w:val="001533F1"/>
    <w:rsid w:val="0015359E"/>
    <w:rsid w:val="0015386B"/>
    <w:rsid w:val="00154AD7"/>
    <w:rsid w:val="001552BC"/>
    <w:rsid w:val="00160FE3"/>
    <w:rsid w:val="001611AB"/>
    <w:rsid w:val="001623CC"/>
    <w:rsid w:val="00162AFB"/>
    <w:rsid w:val="00163879"/>
    <w:rsid w:val="00163979"/>
    <w:rsid w:val="00165127"/>
    <w:rsid w:val="00166CBD"/>
    <w:rsid w:val="00167142"/>
    <w:rsid w:val="00167289"/>
    <w:rsid w:val="00170BFC"/>
    <w:rsid w:val="00172801"/>
    <w:rsid w:val="00172FC4"/>
    <w:rsid w:val="00174273"/>
    <w:rsid w:val="00175A33"/>
    <w:rsid w:val="00176C09"/>
    <w:rsid w:val="0017728E"/>
    <w:rsid w:val="00177BE9"/>
    <w:rsid w:val="001807A8"/>
    <w:rsid w:val="001811B8"/>
    <w:rsid w:val="001822CF"/>
    <w:rsid w:val="00182D31"/>
    <w:rsid w:val="0018381C"/>
    <w:rsid w:val="001855CD"/>
    <w:rsid w:val="00185B28"/>
    <w:rsid w:val="0018607D"/>
    <w:rsid w:val="0019200A"/>
    <w:rsid w:val="00193930"/>
    <w:rsid w:val="0019542E"/>
    <w:rsid w:val="00195A7F"/>
    <w:rsid w:val="00195C1B"/>
    <w:rsid w:val="0019774B"/>
    <w:rsid w:val="00197A36"/>
    <w:rsid w:val="00197B9E"/>
    <w:rsid w:val="001A05D5"/>
    <w:rsid w:val="001A0DC3"/>
    <w:rsid w:val="001A0DEF"/>
    <w:rsid w:val="001A24BE"/>
    <w:rsid w:val="001A3A47"/>
    <w:rsid w:val="001A57AA"/>
    <w:rsid w:val="001A6510"/>
    <w:rsid w:val="001A6D98"/>
    <w:rsid w:val="001A7687"/>
    <w:rsid w:val="001B0529"/>
    <w:rsid w:val="001B0E57"/>
    <w:rsid w:val="001B2CD7"/>
    <w:rsid w:val="001B3675"/>
    <w:rsid w:val="001B36AC"/>
    <w:rsid w:val="001B3E52"/>
    <w:rsid w:val="001B4180"/>
    <w:rsid w:val="001B49D4"/>
    <w:rsid w:val="001B5390"/>
    <w:rsid w:val="001B738A"/>
    <w:rsid w:val="001C05C2"/>
    <w:rsid w:val="001C0C68"/>
    <w:rsid w:val="001C125D"/>
    <w:rsid w:val="001C33DE"/>
    <w:rsid w:val="001C3659"/>
    <w:rsid w:val="001C4C8D"/>
    <w:rsid w:val="001C5B41"/>
    <w:rsid w:val="001D2D61"/>
    <w:rsid w:val="001D4917"/>
    <w:rsid w:val="001D50C7"/>
    <w:rsid w:val="001D64FE"/>
    <w:rsid w:val="001D77A8"/>
    <w:rsid w:val="001D7817"/>
    <w:rsid w:val="001E023F"/>
    <w:rsid w:val="001E0A75"/>
    <w:rsid w:val="001E1BA9"/>
    <w:rsid w:val="001E3AC7"/>
    <w:rsid w:val="001E474C"/>
    <w:rsid w:val="001E4E95"/>
    <w:rsid w:val="001E5BE0"/>
    <w:rsid w:val="001E5C29"/>
    <w:rsid w:val="001E70A3"/>
    <w:rsid w:val="001F0C6E"/>
    <w:rsid w:val="001F1455"/>
    <w:rsid w:val="001F187C"/>
    <w:rsid w:val="001F3D36"/>
    <w:rsid w:val="001F6548"/>
    <w:rsid w:val="001F7268"/>
    <w:rsid w:val="001F7F3C"/>
    <w:rsid w:val="00200A50"/>
    <w:rsid w:val="00202910"/>
    <w:rsid w:val="0020303C"/>
    <w:rsid w:val="00203BE8"/>
    <w:rsid w:val="002041FF"/>
    <w:rsid w:val="002067C0"/>
    <w:rsid w:val="00207DE8"/>
    <w:rsid w:val="00210088"/>
    <w:rsid w:val="0021270C"/>
    <w:rsid w:val="0021283E"/>
    <w:rsid w:val="002137D3"/>
    <w:rsid w:val="00214282"/>
    <w:rsid w:val="00215F0D"/>
    <w:rsid w:val="00216CE6"/>
    <w:rsid w:val="0022205C"/>
    <w:rsid w:val="00222A5F"/>
    <w:rsid w:val="00225B24"/>
    <w:rsid w:val="00227090"/>
    <w:rsid w:val="002278E9"/>
    <w:rsid w:val="0023094F"/>
    <w:rsid w:val="00230C4F"/>
    <w:rsid w:val="00230DFC"/>
    <w:rsid w:val="002333DB"/>
    <w:rsid w:val="00234C59"/>
    <w:rsid w:val="00236779"/>
    <w:rsid w:val="00237081"/>
    <w:rsid w:val="00241C15"/>
    <w:rsid w:val="0024248F"/>
    <w:rsid w:val="00242D21"/>
    <w:rsid w:val="0024360C"/>
    <w:rsid w:val="00243731"/>
    <w:rsid w:val="00250025"/>
    <w:rsid w:val="00250DCA"/>
    <w:rsid w:val="0025225E"/>
    <w:rsid w:val="002527BE"/>
    <w:rsid w:val="00252AA9"/>
    <w:rsid w:val="0025360A"/>
    <w:rsid w:val="002537F7"/>
    <w:rsid w:val="002542D1"/>
    <w:rsid w:val="00254301"/>
    <w:rsid w:val="002543DF"/>
    <w:rsid w:val="00254532"/>
    <w:rsid w:val="00255617"/>
    <w:rsid w:val="00255FC6"/>
    <w:rsid w:val="00257D05"/>
    <w:rsid w:val="00260827"/>
    <w:rsid w:val="00262C0A"/>
    <w:rsid w:val="00263A7C"/>
    <w:rsid w:val="0026435C"/>
    <w:rsid w:val="002647C3"/>
    <w:rsid w:val="002656F8"/>
    <w:rsid w:val="00265EB9"/>
    <w:rsid w:val="00266325"/>
    <w:rsid w:val="00266881"/>
    <w:rsid w:val="00266915"/>
    <w:rsid w:val="00267A74"/>
    <w:rsid w:val="00267CAF"/>
    <w:rsid w:val="00267EA4"/>
    <w:rsid w:val="00270995"/>
    <w:rsid w:val="00271561"/>
    <w:rsid w:val="002729E5"/>
    <w:rsid w:val="002729F4"/>
    <w:rsid w:val="002741C1"/>
    <w:rsid w:val="00277981"/>
    <w:rsid w:val="00277D24"/>
    <w:rsid w:val="00282263"/>
    <w:rsid w:val="00282EF9"/>
    <w:rsid w:val="0028399D"/>
    <w:rsid w:val="00291C6F"/>
    <w:rsid w:val="0029355B"/>
    <w:rsid w:val="002938B5"/>
    <w:rsid w:val="00295501"/>
    <w:rsid w:val="00296633"/>
    <w:rsid w:val="00296A47"/>
    <w:rsid w:val="002A061F"/>
    <w:rsid w:val="002A243F"/>
    <w:rsid w:val="002A2540"/>
    <w:rsid w:val="002A27B4"/>
    <w:rsid w:val="002A2B1D"/>
    <w:rsid w:val="002A3F63"/>
    <w:rsid w:val="002A4201"/>
    <w:rsid w:val="002A4859"/>
    <w:rsid w:val="002A4F45"/>
    <w:rsid w:val="002A5C2E"/>
    <w:rsid w:val="002A6258"/>
    <w:rsid w:val="002A7CB7"/>
    <w:rsid w:val="002A7D7F"/>
    <w:rsid w:val="002B0559"/>
    <w:rsid w:val="002B0F48"/>
    <w:rsid w:val="002B172B"/>
    <w:rsid w:val="002B1FFC"/>
    <w:rsid w:val="002B31AF"/>
    <w:rsid w:val="002B3668"/>
    <w:rsid w:val="002B381D"/>
    <w:rsid w:val="002B3C02"/>
    <w:rsid w:val="002B44CF"/>
    <w:rsid w:val="002B54EF"/>
    <w:rsid w:val="002B7A60"/>
    <w:rsid w:val="002B7C87"/>
    <w:rsid w:val="002C015C"/>
    <w:rsid w:val="002C0499"/>
    <w:rsid w:val="002C1799"/>
    <w:rsid w:val="002C2485"/>
    <w:rsid w:val="002C5598"/>
    <w:rsid w:val="002D1187"/>
    <w:rsid w:val="002D14C0"/>
    <w:rsid w:val="002D2386"/>
    <w:rsid w:val="002D4E99"/>
    <w:rsid w:val="002D592D"/>
    <w:rsid w:val="002E06F2"/>
    <w:rsid w:val="002E10D1"/>
    <w:rsid w:val="002E224A"/>
    <w:rsid w:val="002E226D"/>
    <w:rsid w:val="002E453E"/>
    <w:rsid w:val="002E4551"/>
    <w:rsid w:val="002E5D82"/>
    <w:rsid w:val="002E5F39"/>
    <w:rsid w:val="002E6075"/>
    <w:rsid w:val="002E7897"/>
    <w:rsid w:val="002E7F28"/>
    <w:rsid w:val="002F1EC1"/>
    <w:rsid w:val="002F2F65"/>
    <w:rsid w:val="002F3241"/>
    <w:rsid w:val="002F438C"/>
    <w:rsid w:val="002F50FD"/>
    <w:rsid w:val="002F5370"/>
    <w:rsid w:val="002F5A71"/>
    <w:rsid w:val="002F632C"/>
    <w:rsid w:val="0030255E"/>
    <w:rsid w:val="00302E87"/>
    <w:rsid w:val="00302F92"/>
    <w:rsid w:val="003045DA"/>
    <w:rsid w:val="00304845"/>
    <w:rsid w:val="00304B46"/>
    <w:rsid w:val="00304E75"/>
    <w:rsid w:val="00304FB2"/>
    <w:rsid w:val="0030520C"/>
    <w:rsid w:val="003054ED"/>
    <w:rsid w:val="003068D5"/>
    <w:rsid w:val="00306FBF"/>
    <w:rsid w:val="00307FF7"/>
    <w:rsid w:val="003112DE"/>
    <w:rsid w:val="00312765"/>
    <w:rsid w:val="00313FF4"/>
    <w:rsid w:val="00314EA1"/>
    <w:rsid w:val="00315333"/>
    <w:rsid w:val="00316276"/>
    <w:rsid w:val="0032008B"/>
    <w:rsid w:val="00320150"/>
    <w:rsid w:val="003203EF"/>
    <w:rsid w:val="00320AC6"/>
    <w:rsid w:val="00320AFE"/>
    <w:rsid w:val="00321990"/>
    <w:rsid w:val="00321A43"/>
    <w:rsid w:val="0032280E"/>
    <w:rsid w:val="0032308F"/>
    <w:rsid w:val="00323316"/>
    <w:rsid w:val="00324142"/>
    <w:rsid w:val="00325A6C"/>
    <w:rsid w:val="003265BF"/>
    <w:rsid w:val="003268FC"/>
    <w:rsid w:val="003301E4"/>
    <w:rsid w:val="00330F29"/>
    <w:rsid w:val="00336512"/>
    <w:rsid w:val="00336760"/>
    <w:rsid w:val="00336EBD"/>
    <w:rsid w:val="00336FF7"/>
    <w:rsid w:val="0033795B"/>
    <w:rsid w:val="003404BF"/>
    <w:rsid w:val="00341728"/>
    <w:rsid w:val="00341DBF"/>
    <w:rsid w:val="00342826"/>
    <w:rsid w:val="00343435"/>
    <w:rsid w:val="00345467"/>
    <w:rsid w:val="003467AB"/>
    <w:rsid w:val="00350300"/>
    <w:rsid w:val="00351556"/>
    <w:rsid w:val="00351657"/>
    <w:rsid w:val="00351D4B"/>
    <w:rsid w:val="003533CA"/>
    <w:rsid w:val="00354394"/>
    <w:rsid w:val="0035493A"/>
    <w:rsid w:val="00354DA6"/>
    <w:rsid w:val="00355658"/>
    <w:rsid w:val="003557EC"/>
    <w:rsid w:val="00356D3A"/>
    <w:rsid w:val="00360759"/>
    <w:rsid w:val="00360AD1"/>
    <w:rsid w:val="00362918"/>
    <w:rsid w:val="00364BA5"/>
    <w:rsid w:val="0036535E"/>
    <w:rsid w:val="003659E8"/>
    <w:rsid w:val="003662DC"/>
    <w:rsid w:val="00367FA4"/>
    <w:rsid w:val="00372137"/>
    <w:rsid w:val="0037439E"/>
    <w:rsid w:val="00374990"/>
    <w:rsid w:val="00376E2F"/>
    <w:rsid w:val="00380998"/>
    <w:rsid w:val="003828AD"/>
    <w:rsid w:val="003833D2"/>
    <w:rsid w:val="00384772"/>
    <w:rsid w:val="00385F00"/>
    <w:rsid w:val="00385F9E"/>
    <w:rsid w:val="0039063B"/>
    <w:rsid w:val="00390696"/>
    <w:rsid w:val="003911E4"/>
    <w:rsid w:val="00391B9D"/>
    <w:rsid w:val="003939A2"/>
    <w:rsid w:val="0039442F"/>
    <w:rsid w:val="003A179E"/>
    <w:rsid w:val="003A17DE"/>
    <w:rsid w:val="003A223A"/>
    <w:rsid w:val="003A33D0"/>
    <w:rsid w:val="003A375B"/>
    <w:rsid w:val="003A4520"/>
    <w:rsid w:val="003B13D4"/>
    <w:rsid w:val="003B18EA"/>
    <w:rsid w:val="003B1937"/>
    <w:rsid w:val="003B2024"/>
    <w:rsid w:val="003B23CF"/>
    <w:rsid w:val="003B271E"/>
    <w:rsid w:val="003B56E7"/>
    <w:rsid w:val="003B6265"/>
    <w:rsid w:val="003B74E4"/>
    <w:rsid w:val="003B76E9"/>
    <w:rsid w:val="003B7C68"/>
    <w:rsid w:val="003C0F81"/>
    <w:rsid w:val="003C2311"/>
    <w:rsid w:val="003C2855"/>
    <w:rsid w:val="003C2DEE"/>
    <w:rsid w:val="003C42D2"/>
    <w:rsid w:val="003C4664"/>
    <w:rsid w:val="003C6E58"/>
    <w:rsid w:val="003D0990"/>
    <w:rsid w:val="003D0AC3"/>
    <w:rsid w:val="003D1163"/>
    <w:rsid w:val="003D27E1"/>
    <w:rsid w:val="003D3DC0"/>
    <w:rsid w:val="003D3E28"/>
    <w:rsid w:val="003D4281"/>
    <w:rsid w:val="003D4493"/>
    <w:rsid w:val="003D5C05"/>
    <w:rsid w:val="003D6CCE"/>
    <w:rsid w:val="003D6F49"/>
    <w:rsid w:val="003D75FC"/>
    <w:rsid w:val="003D7690"/>
    <w:rsid w:val="003E06E7"/>
    <w:rsid w:val="003E08B5"/>
    <w:rsid w:val="003E2B20"/>
    <w:rsid w:val="003E3B58"/>
    <w:rsid w:val="003E3D6A"/>
    <w:rsid w:val="003E4EFE"/>
    <w:rsid w:val="003E7053"/>
    <w:rsid w:val="003F0B5C"/>
    <w:rsid w:val="003F0F16"/>
    <w:rsid w:val="003F14C7"/>
    <w:rsid w:val="003F6CA9"/>
    <w:rsid w:val="003F77E6"/>
    <w:rsid w:val="00400142"/>
    <w:rsid w:val="004008C7"/>
    <w:rsid w:val="004008D8"/>
    <w:rsid w:val="00402138"/>
    <w:rsid w:val="00403823"/>
    <w:rsid w:val="00404392"/>
    <w:rsid w:val="00404731"/>
    <w:rsid w:val="00404820"/>
    <w:rsid w:val="004053D4"/>
    <w:rsid w:val="00406222"/>
    <w:rsid w:val="00407881"/>
    <w:rsid w:val="00407EF2"/>
    <w:rsid w:val="00410341"/>
    <w:rsid w:val="0041041B"/>
    <w:rsid w:val="00410901"/>
    <w:rsid w:val="004115B6"/>
    <w:rsid w:val="00411625"/>
    <w:rsid w:val="004116EA"/>
    <w:rsid w:val="00411877"/>
    <w:rsid w:val="004122EC"/>
    <w:rsid w:val="0041272C"/>
    <w:rsid w:val="004130C2"/>
    <w:rsid w:val="004137FE"/>
    <w:rsid w:val="00413868"/>
    <w:rsid w:val="00414BFC"/>
    <w:rsid w:val="00414E13"/>
    <w:rsid w:val="00415126"/>
    <w:rsid w:val="00420431"/>
    <w:rsid w:val="0042052C"/>
    <w:rsid w:val="004209B1"/>
    <w:rsid w:val="00420F75"/>
    <w:rsid w:val="00421306"/>
    <w:rsid w:val="00422BB7"/>
    <w:rsid w:val="00423CC7"/>
    <w:rsid w:val="00423CCC"/>
    <w:rsid w:val="00424D3E"/>
    <w:rsid w:val="0042557B"/>
    <w:rsid w:val="004263BE"/>
    <w:rsid w:val="004269FC"/>
    <w:rsid w:val="00430557"/>
    <w:rsid w:val="00432273"/>
    <w:rsid w:val="00432426"/>
    <w:rsid w:val="00432A56"/>
    <w:rsid w:val="00433FDB"/>
    <w:rsid w:val="004340EB"/>
    <w:rsid w:val="004353C2"/>
    <w:rsid w:val="00435BB4"/>
    <w:rsid w:val="004367EA"/>
    <w:rsid w:val="0043779B"/>
    <w:rsid w:val="00440231"/>
    <w:rsid w:val="00441166"/>
    <w:rsid w:val="00442B07"/>
    <w:rsid w:val="00443123"/>
    <w:rsid w:val="004436EB"/>
    <w:rsid w:val="00445CDC"/>
    <w:rsid w:val="00446F0B"/>
    <w:rsid w:val="00450FF8"/>
    <w:rsid w:val="0045153A"/>
    <w:rsid w:val="00451BB7"/>
    <w:rsid w:val="00451BD9"/>
    <w:rsid w:val="00454D08"/>
    <w:rsid w:val="00455514"/>
    <w:rsid w:val="004601A8"/>
    <w:rsid w:val="00462423"/>
    <w:rsid w:val="004628E9"/>
    <w:rsid w:val="00463025"/>
    <w:rsid w:val="0046353B"/>
    <w:rsid w:val="004640D1"/>
    <w:rsid w:val="00466E7F"/>
    <w:rsid w:val="00467369"/>
    <w:rsid w:val="00473A75"/>
    <w:rsid w:val="00474AAC"/>
    <w:rsid w:val="004756F3"/>
    <w:rsid w:val="004757B8"/>
    <w:rsid w:val="00475C39"/>
    <w:rsid w:val="004762BA"/>
    <w:rsid w:val="00477FC5"/>
    <w:rsid w:val="0048225B"/>
    <w:rsid w:val="00483BAA"/>
    <w:rsid w:val="00483F2E"/>
    <w:rsid w:val="00484068"/>
    <w:rsid w:val="004847D2"/>
    <w:rsid w:val="00484C78"/>
    <w:rsid w:val="004854A3"/>
    <w:rsid w:val="00486867"/>
    <w:rsid w:val="004878CF"/>
    <w:rsid w:val="00487F0F"/>
    <w:rsid w:val="00490970"/>
    <w:rsid w:val="00491DE0"/>
    <w:rsid w:val="004932AD"/>
    <w:rsid w:val="00494FF8"/>
    <w:rsid w:val="004952A7"/>
    <w:rsid w:val="0049636E"/>
    <w:rsid w:val="004966B8"/>
    <w:rsid w:val="00496A24"/>
    <w:rsid w:val="004977DE"/>
    <w:rsid w:val="00497CD2"/>
    <w:rsid w:val="004A1075"/>
    <w:rsid w:val="004A11D6"/>
    <w:rsid w:val="004A2F6F"/>
    <w:rsid w:val="004A325F"/>
    <w:rsid w:val="004A758E"/>
    <w:rsid w:val="004A7B44"/>
    <w:rsid w:val="004B0092"/>
    <w:rsid w:val="004B05EE"/>
    <w:rsid w:val="004B08E7"/>
    <w:rsid w:val="004B0BF5"/>
    <w:rsid w:val="004B26EB"/>
    <w:rsid w:val="004B2B19"/>
    <w:rsid w:val="004B2C36"/>
    <w:rsid w:val="004B3EF6"/>
    <w:rsid w:val="004B4B20"/>
    <w:rsid w:val="004B509F"/>
    <w:rsid w:val="004B5FA9"/>
    <w:rsid w:val="004B6187"/>
    <w:rsid w:val="004B64C9"/>
    <w:rsid w:val="004B6C90"/>
    <w:rsid w:val="004C1C6A"/>
    <w:rsid w:val="004C2120"/>
    <w:rsid w:val="004C2168"/>
    <w:rsid w:val="004C21BB"/>
    <w:rsid w:val="004C339B"/>
    <w:rsid w:val="004C3CC3"/>
    <w:rsid w:val="004C470E"/>
    <w:rsid w:val="004C51E3"/>
    <w:rsid w:val="004C55F0"/>
    <w:rsid w:val="004C754C"/>
    <w:rsid w:val="004C75CE"/>
    <w:rsid w:val="004C78A5"/>
    <w:rsid w:val="004C7AD5"/>
    <w:rsid w:val="004C7EE3"/>
    <w:rsid w:val="004D0C5A"/>
    <w:rsid w:val="004D109E"/>
    <w:rsid w:val="004D2DE4"/>
    <w:rsid w:val="004D3774"/>
    <w:rsid w:val="004D42D0"/>
    <w:rsid w:val="004D6BAD"/>
    <w:rsid w:val="004E1EBB"/>
    <w:rsid w:val="004E5885"/>
    <w:rsid w:val="004E5EA3"/>
    <w:rsid w:val="004E729D"/>
    <w:rsid w:val="004E7B1D"/>
    <w:rsid w:val="004F0A9B"/>
    <w:rsid w:val="004F0C9F"/>
    <w:rsid w:val="004F112A"/>
    <w:rsid w:val="004F2FED"/>
    <w:rsid w:val="004F38D2"/>
    <w:rsid w:val="004F3B07"/>
    <w:rsid w:val="004F500B"/>
    <w:rsid w:val="004F6D2F"/>
    <w:rsid w:val="004F73D5"/>
    <w:rsid w:val="004F79DA"/>
    <w:rsid w:val="00500BCF"/>
    <w:rsid w:val="00501270"/>
    <w:rsid w:val="005015F8"/>
    <w:rsid w:val="00502292"/>
    <w:rsid w:val="005022E4"/>
    <w:rsid w:val="005027B8"/>
    <w:rsid w:val="00503154"/>
    <w:rsid w:val="0050368F"/>
    <w:rsid w:val="005037E0"/>
    <w:rsid w:val="00503808"/>
    <w:rsid w:val="00503E01"/>
    <w:rsid w:val="00504573"/>
    <w:rsid w:val="00504707"/>
    <w:rsid w:val="00504A7C"/>
    <w:rsid w:val="00510952"/>
    <w:rsid w:val="00510A99"/>
    <w:rsid w:val="00511321"/>
    <w:rsid w:val="00512B6D"/>
    <w:rsid w:val="0052056E"/>
    <w:rsid w:val="005208A7"/>
    <w:rsid w:val="00520CFB"/>
    <w:rsid w:val="005211A5"/>
    <w:rsid w:val="00521988"/>
    <w:rsid w:val="005223FD"/>
    <w:rsid w:val="005224A2"/>
    <w:rsid w:val="0052323C"/>
    <w:rsid w:val="00523899"/>
    <w:rsid w:val="00525303"/>
    <w:rsid w:val="005267E4"/>
    <w:rsid w:val="00527C67"/>
    <w:rsid w:val="0053137B"/>
    <w:rsid w:val="00531481"/>
    <w:rsid w:val="0053194E"/>
    <w:rsid w:val="0053236A"/>
    <w:rsid w:val="005326EB"/>
    <w:rsid w:val="00532904"/>
    <w:rsid w:val="00532BFB"/>
    <w:rsid w:val="00532EDD"/>
    <w:rsid w:val="00532F0A"/>
    <w:rsid w:val="00533381"/>
    <w:rsid w:val="00533467"/>
    <w:rsid w:val="00533DD1"/>
    <w:rsid w:val="005343F6"/>
    <w:rsid w:val="0053492E"/>
    <w:rsid w:val="00534F8E"/>
    <w:rsid w:val="0053506F"/>
    <w:rsid w:val="005350B5"/>
    <w:rsid w:val="00535155"/>
    <w:rsid w:val="00535863"/>
    <w:rsid w:val="005359BF"/>
    <w:rsid w:val="005365E0"/>
    <w:rsid w:val="00540454"/>
    <w:rsid w:val="00540ABF"/>
    <w:rsid w:val="00542877"/>
    <w:rsid w:val="00543163"/>
    <w:rsid w:val="005434F6"/>
    <w:rsid w:val="0054477E"/>
    <w:rsid w:val="00544AD8"/>
    <w:rsid w:val="00545151"/>
    <w:rsid w:val="0054595D"/>
    <w:rsid w:val="00545CB8"/>
    <w:rsid w:val="00545E6C"/>
    <w:rsid w:val="00546459"/>
    <w:rsid w:val="00546664"/>
    <w:rsid w:val="00550256"/>
    <w:rsid w:val="005507D4"/>
    <w:rsid w:val="005520B3"/>
    <w:rsid w:val="00552289"/>
    <w:rsid w:val="005539F5"/>
    <w:rsid w:val="00554BF4"/>
    <w:rsid w:val="00554DEA"/>
    <w:rsid w:val="005551EA"/>
    <w:rsid w:val="00556B1E"/>
    <w:rsid w:val="005571CA"/>
    <w:rsid w:val="00557740"/>
    <w:rsid w:val="00561248"/>
    <w:rsid w:val="0056179B"/>
    <w:rsid w:val="0056479F"/>
    <w:rsid w:val="005648B3"/>
    <w:rsid w:val="00564DAA"/>
    <w:rsid w:val="00565F92"/>
    <w:rsid w:val="00566201"/>
    <w:rsid w:val="00566D20"/>
    <w:rsid w:val="00570127"/>
    <w:rsid w:val="0057019E"/>
    <w:rsid w:val="00570821"/>
    <w:rsid w:val="00570E9F"/>
    <w:rsid w:val="00571F8F"/>
    <w:rsid w:val="0057286E"/>
    <w:rsid w:val="00574A61"/>
    <w:rsid w:val="005751D7"/>
    <w:rsid w:val="0057591D"/>
    <w:rsid w:val="00575B6B"/>
    <w:rsid w:val="00576633"/>
    <w:rsid w:val="00576710"/>
    <w:rsid w:val="00576AB3"/>
    <w:rsid w:val="00576ED0"/>
    <w:rsid w:val="00576F0D"/>
    <w:rsid w:val="005773CF"/>
    <w:rsid w:val="0057783F"/>
    <w:rsid w:val="00577BEF"/>
    <w:rsid w:val="00577DFD"/>
    <w:rsid w:val="00580BDF"/>
    <w:rsid w:val="0058247C"/>
    <w:rsid w:val="00583369"/>
    <w:rsid w:val="00586A8B"/>
    <w:rsid w:val="00586A9B"/>
    <w:rsid w:val="00587C8F"/>
    <w:rsid w:val="00591A59"/>
    <w:rsid w:val="00593217"/>
    <w:rsid w:val="005935BA"/>
    <w:rsid w:val="00593980"/>
    <w:rsid w:val="0059482D"/>
    <w:rsid w:val="00595305"/>
    <w:rsid w:val="0059530D"/>
    <w:rsid w:val="00596872"/>
    <w:rsid w:val="00596DBF"/>
    <w:rsid w:val="00597162"/>
    <w:rsid w:val="00597854"/>
    <w:rsid w:val="005A2511"/>
    <w:rsid w:val="005A2A86"/>
    <w:rsid w:val="005A38CD"/>
    <w:rsid w:val="005A472C"/>
    <w:rsid w:val="005A49DD"/>
    <w:rsid w:val="005A60AA"/>
    <w:rsid w:val="005A67F9"/>
    <w:rsid w:val="005B0230"/>
    <w:rsid w:val="005B0CD7"/>
    <w:rsid w:val="005B1179"/>
    <w:rsid w:val="005B34B7"/>
    <w:rsid w:val="005B3729"/>
    <w:rsid w:val="005B4CA8"/>
    <w:rsid w:val="005B4F21"/>
    <w:rsid w:val="005B68E9"/>
    <w:rsid w:val="005B7FAD"/>
    <w:rsid w:val="005C0149"/>
    <w:rsid w:val="005C1B52"/>
    <w:rsid w:val="005C31A0"/>
    <w:rsid w:val="005C36D1"/>
    <w:rsid w:val="005C3C00"/>
    <w:rsid w:val="005C4492"/>
    <w:rsid w:val="005C473F"/>
    <w:rsid w:val="005C4952"/>
    <w:rsid w:val="005C61CC"/>
    <w:rsid w:val="005C63F7"/>
    <w:rsid w:val="005C6FFA"/>
    <w:rsid w:val="005C7729"/>
    <w:rsid w:val="005C77F4"/>
    <w:rsid w:val="005D00E8"/>
    <w:rsid w:val="005D2355"/>
    <w:rsid w:val="005D2445"/>
    <w:rsid w:val="005D2D75"/>
    <w:rsid w:val="005D30FF"/>
    <w:rsid w:val="005D3E69"/>
    <w:rsid w:val="005D4AB2"/>
    <w:rsid w:val="005D4BB0"/>
    <w:rsid w:val="005D5318"/>
    <w:rsid w:val="005D630B"/>
    <w:rsid w:val="005D6CD2"/>
    <w:rsid w:val="005D713D"/>
    <w:rsid w:val="005E117A"/>
    <w:rsid w:val="005E11FC"/>
    <w:rsid w:val="005E20ED"/>
    <w:rsid w:val="005E23F5"/>
    <w:rsid w:val="005E28FB"/>
    <w:rsid w:val="005E4356"/>
    <w:rsid w:val="005E57AC"/>
    <w:rsid w:val="005E6294"/>
    <w:rsid w:val="005E661C"/>
    <w:rsid w:val="005E6ABC"/>
    <w:rsid w:val="005E6D8B"/>
    <w:rsid w:val="005F01B0"/>
    <w:rsid w:val="005F06F7"/>
    <w:rsid w:val="005F1009"/>
    <w:rsid w:val="005F21D1"/>
    <w:rsid w:val="005F31DF"/>
    <w:rsid w:val="005F4FBC"/>
    <w:rsid w:val="005F528E"/>
    <w:rsid w:val="005F5ACC"/>
    <w:rsid w:val="005F69CC"/>
    <w:rsid w:val="00600132"/>
    <w:rsid w:val="006007D6"/>
    <w:rsid w:val="00600AC6"/>
    <w:rsid w:val="006014C4"/>
    <w:rsid w:val="00601B01"/>
    <w:rsid w:val="00602F81"/>
    <w:rsid w:val="00603655"/>
    <w:rsid w:val="00604795"/>
    <w:rsid w:val="00605C2F"/>
    <w:rsid w:val="00605F3F"/>
    <w:rsid w:val="00605FB9"/>
    <w:rsid w:val="00606FFD"/>
    <w:rsid w:val="006109E9"/>
    <w:rsid w:val="00610CFE"/>
    <w:rsid w:val="006110D1"/>
    <w:rsid w:val="006123DD"/>
    <w:rsid w:val="00614369"/>
    <w:rsid w:val="00616B48"/>
    <w:rsid w:val="00617C9D"/>
    <w:rsid w:val="00620940"/>
    <w:rsid w:val="00621B0A"/>
    <w:rsid w:val="006220FC"/>
    <w:rsid w:val="006233B3"/>
    <w:rsid w:val="006233FC"/>
    <w:rsid w:val="006244DA"/>
    <w:rsid w:val="00625BAD"/>
    <w:rsid w:val="00625E9E"/>
    <w:rsid w:val="006278F6"/>
    <w:rsid w:val="00627F56"/>
    <w:rsid w:val="006308E9"/>
    <w:rsid w:val="00630FE7"/>
    <w:rsid w:val="00631CAD"/>
    <w:rsid w:val="0063291A"/>
    <w:rsid w:val="00632AA0"/>
    <w:rsid w:val="00632D04"/>
    <w:rsid w:val="00632EB0"/>
    <w:rsid w:val="006331D5"/>
    <w:rsid w:val="0063472C"/>
    <w:rsid w:val="00634824"/>
    <w:rsid w:val="0063609C"/>
    <w:rsid w:val="0063713C"/>
    <w:rsid w:val="00640DAD"/>
    <w:rsid w:val="006410BD"/>
    <w:rsid w:val="006418C4"/>
    <w:rsid w:val="006458F3"/>
    <w:rsid w:val="0064632C"/>
    <w:rsid w:val="00646B21"/>
    <w:rsid w:val="006479F1"/>
    <w:rsid w:val="00647FBE"/>
    <w:rsid w:val="006500E6"/>
    <w:rsid w:val="00650566"/>
    <w:rsid w:val="006509D3"/>
    <w:rsid w:val="00650CB3"/>
    <w:rsid w:val="00651339"/>
    <w:rsid w:val="006518D9"/>
    <w:rsid w:val="0065569F"/>
    <w:rsid w:val="00657A3F"/>
    <w:rsid w:val="00657AF4"/>
    <w:rsid w:val="0066270D"/>
    <w:rsid w:val="00662A4B"/>
    <w:rsid w:val="00663AE8"/>
    <w:rsid w:val="00664D33"/>
    <w:rsid w:val="00664F8A"/>
    <w:rsid w:val="00665680"/>
    <w:rsid w:val="00666A1A"/>
    <w:rsid w:val="00667036"/>
    <w:rsid w:val="0066769B"/>
    <w:rsid w:val="006677C7"/>
    <w:rsid w:val="006708DE"/>
    <w:rsid w:val="00675A91"/>
    <w:rsid w:val="00682B89"/>
    <w:rsid w:val="006835D6"/>
    <w:rsid w:val="00683D7C"/>
    <w:rsid w:val="00685443"/>
    <w:rsid w:val="00685459"/>
    <w:rsid w:val="006856E9"/>
    <w:rsid w:val="006858FF"/>
    <w:rsid w:val="006859F7"/>
    <w:rsid w:val="00686470"/>
    <w:rsid w:val="0069019B"/>
    <w:rsid w:val="00692625"/>
    <w:rsid w:val="006927DB"/>
    <w:rsid w:val="006932F3"/>
    <w:rsid w:val="00693363"/>
    <w:rsid w:val="00693796"/>
    <w:rsid w:val="00693891"/>
    <w:rsid w:val="006939CC"/>
    <w:rsid w:val="00693E0E"/>
    <w:rsid w:val="0069483A"/>
    <w:rsid w:val="00694C83"/>
    <w:rsid w:val="00694D82"/>
    <w:rsid w:val="00694F97"/>
    <w:rsid w:val="0069582B"/>
    <w:rsid w:val="006974D1"/>
    <w:rsid w:val="00697CE7"/>
    <w:rsid w:val="006A0105"/>
    <w:rsid w:val="006A1612"/>
    <w:rsid w:val="006A208A"/>
    <w:rsid w:val="006A522F"/>
    <w:rsid w:val="006A52B8"/>
    <w:rsid w:val="006A52C4"/>
    <w:rsid w:val="006A63B2"/>
    <w:rsid w:val="006A6A27"/>
    <w:rsid w:val="006A7735"/>
    <w:rsid w:val="006A797E"/>
    <w:rsid w:val="006B1166"/>
    <w:rsid w:val="006B261C"/>
    <w:rsid w:val="006B36C8"/>
    <w:rsid w:val="006B4B45"/>
    <w:rsid w:val="006B558F"/>
    <w:rsid w:val="006B72CE"/>
    <w:rsid w:val="006B7D6C"/>
    <w:rsid w:val="006C2D2A"/>
    <w:rsid w:val="006C38AD"/>
    <w:rsid w:val="006C428F"/>
    <w:rsid w:val="006C7A05"/>
    <w:rsid w:val="006D4D41"/>
    <w:rsid w:val="006D7818"/>
    <w:rsid w:val="006E026F"/>
    <w:rsid w:val="006E05F0"/>
    <w:rsid w:val="006E0E88"/>
    <w:rsid w:val="006E1E75"/>
    <w:rsid w:val="006E26D5"/>
    <w:rsid w:val="006E6761"/>
    <w:rsid w:val="006F050F"/>
    <w:rsid w:val="006F0BC5"/>
    <w:rsid w:val="006F0C79"/>
    <w:rsid w:val="006F0EA4"/>
    <w:rsid w:val="006F19E0"/>
    <w:rsid w:val="006F26B9"/>
    <w:rsid w:val="006F2893"/>
    <w:rsid w:val="006F619A"/>
    <w:rsid w:val="006F6622"/>
    <w:rsid w:val="006F6C3C"/>
    <w:rsid w:val="00700742"/>
    <w:rsid w:val="00704823"/>
    <w:rsid w:val="00704E66"/>
    <w:rsid w:val="007060D1"/>
    <w:rsid w:val="007062D8"/>
    <w:rsid w:val="00706722"/>
    <w:rsid w:val="00710395"/>
    <w:rsid w:val="00710903"/>
    <w:rsid w:val="0071276D"/>
    <w:rsid w:val="00714204"/>
    <w:rsid w:val="007162A5"/>
    <w:rsid w:val="0071719F"/>
    <w:rsid w:val="0071762D"/>
    <w:rsid w:val="00717BAD"/>
    <w:rsid w:val="00720F08"/>
    <w:rsid w:val="00722464"/>
    <w:rsid w:val="007224BA"/>
    <w:rsid w:val="00725BC0"/>
    <w:rsid w:val="00726797"/>
    <w:rsid w:val="007270C9"/>
    <w:rsid w:val="0072742E"/>
    <w:rsid w:val="007278BB"/>
    <w:rsid w:val="00730015"/>
    <w:rsid w:val="007316FE"/>
    <w:rsid w:val="00731C16"/>
    <w:rsid w:val="00731DC4"/>
    <w:rsid w:val="00732C25"/>
    <w:rsid w:val="00737149"/>
    <w:rsid w:val="00740005"/>
    <w:rsid w:val="00740DF8"/>
    <w:rsid w:val="00741304"/>
    <w:rsid w:val="0074670F"/>
    <w:rsid w:val="007468FB"/>
    <w:rsid w:val="00746BF5"/>
    <w:rsid w:val="007470CF"/>
    <w:rsid w:val="00747E51"/>
    <w:rsid w:val="00751235"/>
    <w:rsid w:val="00751BF0"/>
    <w:rsid w:val="00752043"/>
    <w:rsid w:val="00753F95"/>
    <w:rsid w:val="0075427A"/>
    <w:rsid w:val="00754EBD"/>
    <w:rsid w:val="007551E1"/>
    <w:rsid w:val="00756F64"/>
    <w:rsid w:val="00757C3B"/>
    <w:rsid w:val="0076023A"/>
    <w:rsid w:val="00761455"/>
    <w:rsid w:val="007619BD"/>
    <w:rsid w:val="0076304F"/>
    <w:rsid w:val="007635E4"/>
    <w:rsid w:val="00763C32"/>
    <w:rsid w:val="00764253"/>
    <w:rsid w:val="007656ED"/>
    <w:rsid w:val="00773733"/>
    <w:rsid w:val="00774DCC"/>
    <w:rsid w:val="00774FE0"/>
    <w:rsid w:val="0077582D"/>
    <w:rsid w:val="00776E81"/>
    <w:rsid w:val="007802E1"/>
    <w:rsid w:val="00780B21"/>
    <w:rsid w:val="00780FAD"/>
    <w:rsid w:val="007813FB"/>
    <w:rsid w:val="00782256"/>
    <w:rsid w:val="0078585A"/>
    <w:rsid w:val="0079006C"/>
    <w:rsid w:val="00791216"/>
    <w:rsid w:val="00791617"/>
    <w:rsid w:val="00791F37"/>
    <w:rsid w:val="0079286C"/>
    <w:rsid w:val="007928B1"/>
    <w:rsid w:val="00792CEB"/>
    <w:rsid w:val="00793AD6"/>
    <w:rsid w:val="00793EA7"/>
    <w:rsid w:val="007940E8"/>
    <w:rsid w:val="00795047"/>
    <w:rsid w:val="00795962"/>
    <w:rsid w:val="00797CEC"/>
    <w:rsid w:val="007A4415"/>
    <w:rsid w:val="007A673A"/>
    <w:rsid w:val="007A69C1"/>
    <w:rsid w:val="007B03E4"/>
    <w:rsid w:val="007B3B54"/>
    <w:rsid w:val="007B3BE2"/>
    <w:rsid w:val="007B4B84"/>
    <w:rsid w:val="007B665E"/>
    <w:rsid w:val="007B711A"/>
    <w:rsid w:val="007B7D45"/>
    <w:rsid w:val="007C19F7"/>
    <w:rsid w:val="007C385B"/>
    <w:rsid w:val="007C3F49"/>
    <w:rsid w:val="007C4095"/>
    <w:rsid w:val="007C5879"/>
    <w:rsid w:val="007C5AD5"/>
    <w:rsid w:val="007C746E"/>
    <w:rsid w:val="007C78DD"/>
    <w:rsid w:val="007C7FD7"/>
    <w:rsid w:val="007D1C42"/>
    <w:rsid w:val="007D21E4"/>
    <w:rsid w:val="007D3D46"/>
    <w:rsid w:val="007D4DD3"/>
    <w:rsid w:val="007D57CA"/>
    <w:rsid w:val="007D608A"/>
    <w:rsid w:val="007D6E69"/>
    <w:rsid w:val="007D7F92"/>
    <w:rsid w:val="007E0773"/>
    <w:rsid w:val="007E0ABA"/>
    <w:rsid w:val="007E1D5C"/>
    <w:rsid w:val="007E2F7A"/>
    <w:rsid w:val="007E3FCC"/>
    <w:rsid w:val="007E60C8"/>
    <w:rsid w:val="007E6163"/>
    <w:rsid w:val="007E7BC6"/>
    <w:rsid w:val="007E7F34"/>
    <w:rsid w:val="007F0554"/>
    <w:rsid w:val="007F0B30"/>
    <w:rsid w:val="007F15BB"/>
    <w:rsid w:val="007F2D2A"/>
    <w:rsid w:val="007F3589"/>
    <w:rsid w:val="007F4404"/>
    <w:rsid w:val="007F44BE"/>
    <w:rsid w:val="007F4B03"/>
    <w:rsid w:val="007F4BE4"/>
    <w:rsid w:val="007F4C48"/>
    <w:rsid w:val="007F4E1E"/>
    <w:rsid w:val="007F6010"/>
    <w:rsid w:val="007F678F"/>
    <w:rsid w:val="007F7726"/>
    <w:rsid w:val="0080203A"/>
    <w:rsid w:val="0080211A"/>
    <w:rsid w:val="008028C2"/>
    <w:rsid w:val="00803679"/>
    <w:rsid w:val="00803ED3"/>
    <w:rsid w:val="008045A8"/>
    <w:rsid w:val="00804638"/>
    <w:rsid w:val="008049F3"/>
    <w:rsid w:val="00804B17"/>
    <w:rsid w:val="008062BF"/>
    <w:rsid w:val="0080683E"/>
    <w:rsid w:val="00810ABA"/>
    <w:rsid w:val="00811F34"/>
    <w:rsid w:val="00812E17"/>
    <w:rsid w:val="0081411F"/>
    <w:rsid w:val="00814C62"/>
    <w:rsid w:val="00817B1B"/>
    <w:rsid w:val="00821537"/>
    <w:rsid w:val="00821C6B"/>
    <w:rsid w:val="00822D65"/>
    <w:rsid w:val="0082345F"/>
    <w:rsid w:val="00823880"/>
    <w:rsid w:val="008241D3"/>
    <w:rsid w:val="0082468F"/>
    <w:rsid w:val="00824B60"/>
    <w:rsid w:val="00824D91"/>
    <w:rsid w:val="00825673"/>
    <w:rsid w:val="008257C1"/>
    <w:rsid w:val="00825C08"/>
    <w:rsid w:val="00826B5E"/>
    <w:rsid w:val="00826CF0"/>
    <w:rsid w:val="00827AED"/>
    <w:rsid w:val="0083058C"/>
    <w:rsid w:val="00830A8A"/>
    <w:rsid w:val="00830AE4"/>
    <w:rsid w:val="00831AA7"/>
    <w:rsid w:val="00832C0D"/>
    <w:rsid w:val="0083341C"/>
    <w:rsid w:val="0083488D"/>
    <w:rsid w:val="008361ED"/>
    <w:rsid w:val="00836304"/>
    <w:rsid w:val="0084064E"/>
    <w:rsid w:val="00846848"/>
    <w:rsid w:val="00846C4C"/>
    <w:rsid w:val="008472E2"/>
    <w:rsid w:val="008478FF"/>
    <w:rsid w:val="008479ED"/>
    <w:rsid w:val="00847D7A"/>
    <w:rsid w:val="00850D33"/>
    <w:rsid w:val="00850D5A"/>
    <w:rsid w:val="00851072"/>
    <w:rsid w:val="00852672"/>
    <w:rsid w:val="00852A83"/>
    <w:rsid w:val="00853473"/>
    <w:rsid w:val="00854D3E"/>
    <w:rsid w:val="008561E9"/>
    <w:rsid w:val="00860723"/>
    <w:rsid w:val="00860DBE"/>
    <w:rsid w:val="00861D20"/>
    <w:rsid w:val="00862F8B"/>
    <w:rsid w:val="00863B20"/>
    <w:rsid w:val="00863DB1"/>
    <w:rsid w:val="008648BB"/>
    <w:rsid w:val="008653DE"/>
    <w:rsid w:val="008676D0"/>
    <w:rsid w:val="008679F8"/>
    <w:rsid w:val="0087010A"/>
    <w:rsid w:val="00870397"/>
    <w:rsid w:val="00871395"/>
    <w:rsid w:val="0087242A"/>
    <w:rsid w:val="00872E19"/>
    <w:rsid w:val="00873CA3"/>
    <w:rsid w:val="00874AAE"/>
    <w:rsid w:val="00875BF1"/>
    <w:rsid w:val="00875D00"/>
    <w:rsid w:val="00877FD8"/>
    <w:rsid w:val="00880483"/>
    <w:rsid w:val="0088052C"/>
    <w:rsid w:val="008808E3"/>
    <w:rsid w:val="00880C51"/>
    <w:rsid w:val="00881A97"/>
    <w:rsid w:val="00882C09"/>
    <w:rsid w:val="00883178"/>
    <w:rsid w:val="00883640"/>
    <w:rsid w:val="00883881"/>
    <w:rsid w:val="00885151"/>
    <w:rsid w:val="00890346"/>
    <w:rsid w:val="00892354"/>
    <w:rsid w:val="008923F9"/>
    <w:rsid w:val="008929C1"/>
    <w:rsid w:val="00893728"/>
    <w:rsid w:val="00894FDA"/>
    <w:rsid w:val="008979D4"/>
    <w:rsid w:val="008A1D8B"/>
    <w:rsid w:val="008A3948"/>
    <w:rsid w:val="008A5088"/>
    <w:rsid w:val="008A5348"/>
    <w:rsid w:val="008A5FC4"/>
    <w:rsid w:val="008A74F8"/>
    <w:rsid w:val="008B06D5"/>
    <w:rsid w:val="008B0EEF"/>
    <w:rsid w:val="008B123F"/>
    <w:rsid w:val="008B2A89"/>
    <w:rsid w:val="008B3178"/>
    <w:rsid w:val="008B4082"/>
    <w:rsid w:val="008B7312"/>
    <w:rsid w:val="008C09D2"/>
    <w:rsid w:val="008C10AA"/>
    <w:rsid w:val="008C1818"/>
    <w:rsid w:val="008C21E6"/>
    <w:rsid w:val="008C3592"/>
    <w:rsid w:val="008C38B7"/>
    <w:rsid w:val="008C52E6"/>
    <w:rsid w:val="008C6E07"/>
    <w:rsid w:val="008D0899"/>
    <w:rsid w:val="008D0B92"/>
    <w:rsid w:val="008D3014"/>
    <w:rsid w:val="008D3C61"/>
    <w:rsid w:val="008D3E3D"/>
    <w:rsid w:val="008D429F"/>
    <w:rsid w:val="008D42D4"/>
    <w:rsid w:val="008D451E"/>
    <w:rsid w:val="008D49C3"/>
    <w:rsid w:val="008D51A9"/>
    <w:rsid w:val="008D54BE"/>
    <w:rsid w:val="008D59D3"/>
    <w:rsid w:val="008D6B14"/>
    <w:rsid w:val="008D7A86"/>
    <w:rsid w:val="008E005F"/>
    <w:rsid w:val="008E09F4"/>
    <w:rsid w:val="008E0C8C"/>
    <w:rsid w:val="008E0E01"/>
    <w:rsid w:val="008E1721"/>
    <w:rsid w:val="008E290F"/>
    <w:rsid w:val="008E2AB0"/>
    <w:rsid w:val="008E3196"/>
    <w:rsid w:val="008E3264"/>
    <w:rsid w:val="008E3865"/>
    <w:rsid w:val="008E417C"/>
    <w:rsid w:val="008E4B38"/>
    <w:rsid w:val="008E51F4"/>
    <w:rsid w:val="008E5878"/>
    <w:rsid w:val="008E6CD0"/>
    <w:rsid w:val="008F09AB"/>
    <w:rsid w:val="008F0FB3"/>
    <w:rsid w:val="008F11A3"/>
    <w:rsid w:val="008F4306"/>
    <w:rsid w:val="008F7601"/>
    <w:rsid w:val="008F7914"/>
    <w:rsid w:val="008F79E1"/>
    <w:rsid w:val="00901F9E"/>
    <w:rsid w:val="00902F10"/>
    <w:rsid w:val="0090378D"/>
    <w:rsid w:val="00904039"/>
    <w:rsid w:val="00904145"/>
    <w:rsid w:val="00905332"/>
    <w:rsid w:val="009059DF"/>
    <w:rsid w:val="00905BE0"/>
    <w:rsid w:val="00907971"/>
    <w:rsid w:val="00907A05"/>
    <w:rsid w:val="009100A8"/>
    <w:rsid w:val="00912187"/>
    <w:rsid w:val="009132E3"/>
    <w:rsid w:val="00913639"/>
    <w:rsid w:val="00913890"/>
    <w:rsid w:val="009148AC"/>
    <w:rsid w:val="00914C1D"/>
    <w:rsid w:val="00915F3F"/>
    <w:rsid w:val="00916228"/>
    <w:rsid w:val="00916301"/>
    <w:rsid w:val="0091747C"/>
    <w:rsid w:val="009206BB"/>
    <w:rsid w:val="00922A9B"/>
    <w:rsid w:val="009231B2"/>
    <w:rsid w:val="00923ADD"/>
    <w:rsid w:val="00925758"/>
    <w:rsid w:val="00926155"/>
    <w:rsid w:val="009279F2"/>
    <w:rsid w:val="00931B2F"/>
    <w:rsid w:val="00932BAB"/>
    <w:rsid w:val="0093306C"/>
    <w:rsid w:val="009339FC"/>
    <w:rsid w:val="009349EF"/>
    <w:rsid w:val="009350CE"/>
    <w:rsid w:val="00935458"/>
    <w:rsid w:val="00936935"/>
    <w:rsid w:val="00940B60"/>
    <w:rsid w:val="00940D05"/>
    <w:rsid w:val="00942722"/>
    <w:rsid w:val="009433C1"/>
    <w:rsid w:val="00943699"/>
    <w:rsid w:val="00943829"/>
    <w:rsid w:val="0094402B"/>
    <w:rsid w:val="00946124"/>
    <w:rsid w:val="00946DC5"/>
    <w:rsid w:val="00946E17"/>
    <w:rsid w:val="00947278"/>
    <w:rsid w:val="009539FA"/>
    <w:rsid w:val="009544B3"/>
    <w:rsid w:val="0095646A"/>
    <w:rsid w:val="00960CCB"/>
    <w:rsid w:val="00960FE0"/>
    <w:rsid w:val="00961F77"/>
    <w:rsid w:val="00961FC1"/>
    <w:rsid w:val="0096247E"/>
    <w:rsid w:val="00963D1D"/>
    <w:rsid w:val="009640F4"/>
    <w:rsid w:val="00964284"/>
    <w:rsid w:val="00965069"/>
    <w:rsid w:val="00965FDF"/>
    <w:rsid w:val="00967AF5"/>
    <w:rsid w:val="00970E10"/>
    <w:rsid w:val="00977EEE"/>
    <w:rsid w:val="009801CA"/>
    <w:rsid w:val="009802CB"/>
    <w:rsid w:val="0098060E"/>
    <w:rsid w:val="00980EC9"/>
    <w:rsid w:val="0098465E"/>
    <w:rsid w:val="00985A2C"/>
    <w:rsid w:val="00985AD3"/>
    <w:rsid w:val="00985D31"/>
    <w:rsid w:val="00986804"/>
    <w:rsid w:val="00986CFC"/>
    <w:rsid w:val="0099070F"/>
    <w:rsid w:val="00992CD7"/>
    <w:rsid w:val="00992F36"/>
    <w:rsid w:val="00993BAE"/>
    <w:rsid w:val="00993E39"/>
    <w:rsid w:val="0099546D"/>
    <w:rsid w:val="00996370"/>
    <w:rsid w:val="0099773B"/>
    <w:rsid w:val="00997EED"/>
    <w:rsid w:val="009A09E9"/>
    <w:rsid w:val="009A2455"/>
    <w:rsid w:val="009A375C"/>
    <w:rsid w:val="009A3780"/>
    <w:rsid w:val="009A3853"/>
    <w:rsid w:val="009A717D"/>
    <w:rsid w:val="009B0520"/>
    <w:rsid w:val="009B1DF3"/>
    <w:rsid w:val="009B2803"/>
    <w:rsid w:val="009B4220"/>
    <w:rsid w:val="009B5742"/>
    <w:rsid w:val="009B709C"/>
    <w:rsid w:val="009B73F5"/>
    <w:rsid w:val="009C0912"/>
    <w:rsid w:val="009C3182"/>
    <w:rsid w:val="009C34F3"/>
    <w:rsid w:val="009C5367"/>
    <w:rsid w:val="009C5B87"/>
    <w:rsid w:val="009C70A8"/>
    <w:rsid w:val="009D1601"/>
    <w:rsid w:val="009D250D"/>
    <w:rsid w:val="009D2A96"/>
    <w:rsid w:val="009D2F28"/>
    <w:rsid w:val="009D3398"/>
    <w:rsid w:val="009D3731"/>
    <w:rsid w:val="009D38A1"/>
    <w:rsid w:val="009D4186"/>
    <w:rsid w:val="009D64FE"/>
    <w:rsid w:val="009D7B89"/>
    <w:rsid w:val="009E2DC5"/>
    <w:rsid w:val="009E3C08"/>
    <w:rsid w:val="009E68C8"/>
    <w:rsid w:val="009E6C6B"/>
    <w:rsid w:val="009E76AA"/>
    <w:rsid w:val="009E77F2"/>
    <w:rsid w:val="009F0ACA"/>
    <w:rsid w:val="009F23BD"/>
    <w:rsid w:val="009F2808"/>
    <w:rsid w:val="009F593D"/>
    <w:rsid w:val="00A00503"/>
    <w:rsid w:val="00A0156A"/>
    <w:rsid w:val="00A01C6F"/>
    <w:rsid w:val="00A01DB2"/>
    <w:rsid w:val="00A023EA"/>
    <w:rsid w:val="00A02C9A"/>
    <w:rsid w:val="00A02ED6"/>
    <w:rsid w:val="00A04015"/>
    <w:rsid w:val="00A047CA"/>
    <w:rsid w:val="00A04A59"/>
    <w:rsid w:val="00A06086"/>
    <w:rsid w:val="00A06DFD"/>
    <w:rsid w:val="00A109D4"/>
    <w:rsid w:val="00A1166D"/>
    <w:rsid w:val="00A12D70"/>
    <w:rsid w:val="00A1430A"/>
    <w:rsid w:val="00A1561C"/>
    <w:rsid w:val="00A16057"/>
    <w:rsid w:val="00A16A2E"/>
    <w:rsid w:val="00A20934"/>
    <w:rsid w:val="00A21842"/>
    <w:rsid w:val="00A21925"/>
    <w:rsid w:val="00A21D45"/>
    <w:rsid w:val="00A2215A"/>
    <w:rsid w:val="00A229EA"/>
    <w:rsid w:val="00A23059"/>
    <w:rsid w:val="00A243B2"/>
    <w:rsid w:val="00A2623B"/>
    <w:rsid w:val="00A26B28"/>
    <w:rsid w:val="00A26BE4"/>
    <w:rsid w:val="00A26CB4"/>
    <w:rsid w:val="00A300E2"/>
    <w:rsid w:val="00A308C9"/>
    <w:rsid w:val="00A31B61"/>
    <w:rsid w:val="00A323BD"/>
    <w:rsid w:val="00A33606"/>
    <w:rsid w:val="00A34465"/>
    <w:rsid w:val="00A35D7E"/>
    <w:rsid w:val="00A37A93"/>
    <w:rsid w:val="00A40847"/>
    <w:rsid w:val="00A40FCF"/>
    <w:rsid w:val="00A43773"/>
    <w:rsid w:val="00A444A6"/>
    <w:rsid w:val="00A44995"/>
    <w:rsid w:val="00A45C33"/>
    <w:rsid w:val="00A466B6"/>
    <w:rsid w:val="00A46EE9"/>
    <w:rsid w:val="00A5128C"/>
    <w:rsid w:val="00A5234E"/>
    <w:rsid w:val="00A5761D"/>
    <w:rsid w:val="00A57D2F"/>
    <w:rsid w:val="00A57DBC"/>
    <w:rsid w:val="00A57E79"/>
    <w:rsid w:val="00A57EC2"/>
    <w:rsid w:val="00A60114"/>
    <w:rsid w:val="00A6094F"/>
    <w:rsid w:val="00A64F9C"/>
    <w:rsid w:val="00A674D0"/>
    <w:rsid w:val="00A71BAA"/>
    <w:rsid w:val="00A74122"/>
    <w:rsid w:val="00A75DA7"/>
    <w:rsid w:val="00A76443"/>
    <w:rsid w:val="00A76495"/>
    <w:rsid w:val="00A77660"/>
    <w:rsid w:val="00A80D65"/>
    <w:rsid w:val="00A8447E"/>
    <w:rsid w:val="00A87317"/>
    <w:rsid w:val="00A903D9"/>
    <w:rsid w:val="00A90C07"/>
    <w:rsid w:val="00A91411"/>
    <w:rsid w:val="00A9188B"/>
    <w:rsid w:val="00A931E9"/>
    <w:rsid w:val="00A93511"/>
    <w:rsid w:val="00A94647"/>
    <w:rsid w:val="00A9687E"/>
    <w:rsid w:val="00A96CFA"/>
    <w:rsid w:val="00A97A9E"/>
    <w:rsid w:val="00A97C36"/>
    <w:rsid w:val="00A97D79"/>
    <w:rsid w:val="00AA089C"/>
    <w:rsid w:val="00AA0C5A"/>
    <w:rsid w:val="00AA2D57"/>
    <w:rsid w:val="00AA3E70"/>
    <w:rsid w:val="00AA41D5"/>
    <w:rsid w:val="00AA4CB7"/>
    <w:rsid w:val="00AA4EF1"/>
    <w:rsid w:val="00AA6BA4"/>
    <w:rsid w:val="00AA7670"/>
    <w:rsid w:val="00AA7C25"/>
    <w:rsid w:val="00AB094C"/>
    <w:rsid w:val="00AB2DCC"/>
    <w:rsid w:val="00AB3269"/>
    <w:rsid w:val="00AB3826"/>
    <w:rsid w:val="00AB3C78"/>
    <w:rsid w:val="00AB54C3"/>
    <w:rsid w:val="00AB65DA"/>
    <w:rsid w:val="00AB6D11"/>
    <w:rsid w:val="00AC0045"/>
    <w:rsid w:val="00AC00B3"/>
    <w:rsid w:val="00AC0C16"/>
    <w:rsid w:val="00AC1AE8"/>
    <w:rsid w:val="00AC45CF"/>
    <w:rsid w:val="00AC4A34"/>
    <w:rsid w:val="00AC5B44"/>
    <w:rsid w:val="00AC6679"/>
    <w:rsid w:val="00AD0197"/>
    <w:rsid w:val="00AD0AFE"/>
    <w:rsid w:val="00AD0C0F"/>
    <w:rsid w:val="00AD0FD4"/>
    <w:rsid w:val="00AD17BC"/>
    <w:rsid w:val="00AD206B"/>
    <w:rsid w:val="00AD281B"/>
    <w:rsid w:val="00AD29E4"/>
    <w:rsid w:val="00AD3BCD"/>
    <w:rsid w:val="00AD51CE"/>
    <w:rsid w:val="00AD6FA9"/>
    <w:rsid w:val="00AD7650"/>
    <w:rsid w:val="00AE07CE"/>
    <w:rsid w:val="00AE0F43"/>
    <w:rsid w:val="00AE132C"/>
    <w:rsid w:val="00AE1BC2"/>
    <w:rsid w:val="00AE2118"/>
    <w:rsid w:val="00AE27B7"/>
    <w:rsid w:val="00AE2DD6"/>
    <w:rsid w:val="00AE3B7B"/>
    <w:rsid w:val="00AE4A80"/>
    <w:rsid w:val="00AE4F03"/>
    <w:rsid w:val="00AE67D0"/>
    <w:rsid w:val="00AE71A5"/>
    <w:rsid w:val="00AE7959"/>
    <w:rsid w:val="00AF1D10"/>
    <w:rsid w:val="00AF214A"/>
    <w:rsid w:val="00AF2921"/>
    <w:rsid w:val="00AF3FA6"/>
    <w:rsid w:val="00AF3FFC"/>
    <w:rsid w:val="00AF404A"/>
    <w:rsid w:val="00AF440E"/>
    <w:rsid w:val="00B00132"/>
    <w:rsid w:val="00B01A6B"/>
    <w:rsid w:val="00B01C81"/>
    <w:rsid w:val="00B02086"/>
    <w:rsid w:val="00B028B9"/>
    <w:rsid w:val="00B02FF3"/>
    <w:rsid w:val="00B030B3"/>
    <w:rsid w:val="00B04D35"/>
    <w:rsid w:val="00B05820"/>
    <w:rsid w:val="00B05F83"/>
    <w:rsid w:val="00B064C6"/>
    <w:rsid w:val="00B0792B"/>
    <w:rsid w:val="00B115A2"/>
    <w:rsid w:val="00B1248E"/>
    <w:rsid w:val="00B12789"/>
    <w:rsid w:val="00B13AC3"/>
    <w:rsid w:val="00B13B6B"/>
    <w:rsid w:val="00B14623"/>
    <w:rsid w:val="00B15CA5"/>
    <w:rsid w:val="00B17B97"/>
    <w:rsid w:val="00B200F2"/>
    <w:rsid w:val="00B210F4"/>
    <w:rsid w:val="00B21270"/>
    <w:rsid w:val="00B22406"/>
    <w:rsid w:val="00B233FA"/>
    <w:rsid w:val="00B241DF"/>
    <w:rsid w:val="00B25703"/>
    <w:rsid w:val="00B2698D"/>
    <w:rsid w:val="00B27F76"/>
    <w:rsid w:val="00B300E9"/>
    <w:rsid w:val="00B31461"/>
    <w:rsid w:val="00B31649"/>
    <w:rsid w:val="00B316CA"/>
    <w:rsid w:val="00B319BF"/>
    <w:rsid w:val="00B33310"/>
    <w:rsid w:val="00B34069"/>
    <w:rsid w:val="00B344FD"/>
    <w:rsid w:val="00B3586B"/>
    <w:rsid w:val="00B3706D"/>
    <w:rsid w:val="00B40005"/>
    <w:rsid w:val="00B4177C"/>
    <w:rsid w:val="00B41E03"/>
    <w:rsid w:val="00B42C45"/>
    <w:rsid w:val="00B43117"/>
    <w:rsid w:val="00B43A28"/>
    <w:rsid w:val="00B43E2A"/>
    <w:rsid w:val="00B440EB"/>
    <w:rsid w:val="00B45BE5"/>
    <w:rsid w:val="00B46272"/>
    <w:rsid w:val="00B47A01"/>
    <w:rsid w:val="00B53589"/>
    <w:rsid w:val="00B556A9"/>
    <w:rsid w:val="00B56443"/>
    <w:rsid w:val="00B568A2"/>
    <w:rsid w:val="00B5778E"/>
    <w:rsid w:val="00B57F53"/>
    <w:rsid w:val="00B612B6"/>
    <w:rsid w:val="00B636DC"/>
    <w:rsid w:val="00B637D4"/>
    <w:rsid w:val="00B639E5"/>
    <w:rsid w:val="00B65C57"/>
    <w:rsid w:val="00B67019"/>
    <w:rsid w:val="00B700C3"/>
    <w:rsid w:val="00B73BC9"/>
    <w:rsid w:val="00B744E2"/>
    <w:rsid w:val="00B74C0E"/>
    <w:rsid w:val="00B76718"/>
    <w:rsid w:val="00B80447"/>
    <w:rsid w:val="00B80AEB"/>
    <w:rsid w:val="00B81003"/>
    <w:rsid w:val="00B818D7"/>
    <w:rsid w:val="00B81B23"/>
    <w:rsid w:val="00B82008"/>
    <w:rsid w:val="00B82F75"/>
    <w:rsid w:val="00B84F11"/>
    <w:rsid w:val="00B85678"/>
    <w:rsid w:val="00B867DD"/>
    <w:rsid w:val="00B90C7B"/>
    <w:rsid w:val="00B90EA0"/>
    <w:rsid w:val="00B91BAA"/>
    <w:rsid w:val="00B91BC8"/>
    <w:rsid w:val="00B91E60"/>
    <w:rsid w:val="00B92538"/>
    <w:rsid w:val="00B9273A"/>
    <w:rsid w:val="00B92C39"/>
    <w:rsid w:val="00B9320E"/>
    <w:rsid w:val="00B93F58"/>
    <w:rsid w:val="00B94DCE"/>
    <w:rsid w:val="00B952B5"/>
    <w:rsid w:val="00B9742B"/>
    <w:rsid w:val="00B97F4F"/>
    <w:rsid w:val="00BA01D2"/>
    <w:rsid w:val="00BA0CE8"/>
    <w:rsid w:val="00BA19BE"/>
    <w:rsid w:val="00BA1DFD"/>
    <w:rsid w:val="00BA1F1D"/>
    <w:rsid w:val="00BA286E"/>
    <w:rsid w:val="00BA2A76"/>
    <w:rsid w:val="00BA374F"/>
    <w:rsid w:val="00BA4A46"/>
    <w:rsid w:val="00BA69D3"/>
    <w:rsid w:val="00BB0DA2"/>
    <w:rsid w:val="00BB0E21"/>
    <w:rsid w:val="00BB26DF"/>
    <w:rsid w:val="00BB3CAE"/>
    <w:rsid w:val="00BB48FA"/>
    <w:rsid w:val="00BB5312"/>
    <w:rsid w:val="00BB6606"/>
    <w:rsid w:val="00BC1B68"/>
    <w:rsid w:val="00BC3700"/>
    <w:rsid w:val="00BC5ACA"/>
    <w:rsid w:val="00BC5E7C"/>
    <w:rsid w:val="00BC5ECE"/>
    <w:rsid w:val="00BC6314"/>
    <w:rsid w:val="00BC67A2"/>
    <w:rsid w:val="00BD0BA3"/>
    <w:rsid w:val="00BD1B5E"/>
    <w:rsid w:val="00BD20CA"/>
    <w:rsid w:val="00BD25C3"/>
    <w:rsid w:val="00BD26FC"/>
    <w:rsid w:val="00BD44B9"/>
    <w:rsid w:val="00BD49FC"/>
    <w:rsid w:val="00BD4A08"/>
    <w:rsid w:val="00BD65E2"/>
    <w:rsid w:val="00BD75B3"/>
    <w:rsid w:val="00BD7ACB"/>
    <w:rsid w:val="00BE030A"/>
    <w:rsid w:val="00BE0BD4"/>
    <w:rsid w:val="00BE1057"/>
    <w:rsid w:val="00BE1435"/>
    <w:rsid w:val="00BE391B"/>
    <w:rsid w:val="00BE46AC"/>
    <w:rsid w:val="00BE4804"/>
    <w:rsid w:val="00BE639D"/>
    <w:rsid w:val="00BE69AC"/>
    <w:rsid w:val="00BF33B0"/>
    <w:rsid w:val="00BF340A"/>
    <w:rsid w:val="00BF4664"/>
    <w:rsid w:val="00BF4B1A"/>
    <w:rsid w:val="00BF5839"/>
    <w:rsid w:val="00BF59B2"/>
    <w:rsid w:val="00BF7FAF"/>
    <w:rsid w:val="00C00DC1"/>
    <w:rsid w:val="00C01514"/>
    <w:rsid w:val="00C01C18"/>
    <w:rsid w:val="00C0480E"/>
    <w:rsid w:val="00C061E3"/>
    <w:rsid w:val="00C06240"/>
    <w:rsid w:val="00C07345"/>
    <w:rsid w:val="00C07770"/>
    <w:rsid w:val="00C119C2"/>
    <w:rsid w:val="00C141DF"/>
    <w:rsid w:val="00C14967"/>
    <w:rsid w:val="00C14B25"/>
    <w:rsid w:val="00C15FEE"/>
    <w:rsid w:val="00C1627A"/>
    <w:rsid w:val="00C16F8A"/>
    <w:rsid w:val="00C17198"/>
    <w:rsid w:val="00C1777A"/>
    <w:rsid w:val="00C20E15"/>
    <w:rsid w:val="00C222AC"/>
    <w:rsid w:val="00C226A0"/>
    <w:rsid w:val="00C24C12"/>
    <w:rsid w:val="00C24FC3"/>
    <w:rsid w:val="00C252E8"/>
    <w:rsid w:val="00C26E47"/>
    <w:rsid w:val="00C3083F"/>
    <w:rsid w:val="00C309AE"/>
    <w:rsid w:val="00C30B76"/>
    <w:rsid w:val="00C3179A"/>
    <w:rsid w:val="00C31B7A"/>
    <w:rsid w:val="00C322A1"/>
    <w:rsid w:val="00C32962"/>
    <w:rsid w:val="00C32E9F"/>
    <w:rsid w:val="00C33404"/>
    <w:rsid w:val="00C338CE"/>
    <w:rsid w:val="00C33BEE"/>
    <w:rsid w:val="00C34E14"/>
    <w:rsid w:val="00C364D6"/>
    <w:rsid w:val="00C366BB"/>
    <w:rsid w:val="00C36873"/>
    <w:rsid w:val="00C40350"/>
    <w:rsid w:val="00C40D2C"/>
    <w:rsid w:val="00C414E8"/>
    <w:rsid w:val="00C42AAC"/>
    <w:rsid w:val="00C42CE4"/>
    <w:rsid w:val="00C43191"/>
    <w:rsid w:val="00C43619"/>
    <w:rsid w:val="00C43AF5"/>
    <w:rsid w:val="00C43DAE"/>
    <w:rsid w:val="00C47CF2"/>
    <w:rsid w:val="00C51A84"/>
    <w:rsid w:val="00C52F0C"/>
    <w:rsid w:val="00C531DC"/>
    <w:rsid w:val="00C532F8"/>
    <w:rsid w:val="00C533DC"/>
    <w:rsid w:val="00C533FE"/>
    <w:rsid w:val="00C5376C"/>
    <w:rsid w:val="00C53F60"/>
    <w:rsid w:val="00C54162"/>
    <w:rsid w:val="00C549B7"/>
    <w:rsid w:val="00C54C55"/>
    <w:rsid w:val="00C56B0A"/>
    <w:rsid w:val="00C60208"/>
    <w:rsid w:val="00C61020"/>
    <w:rsid w:val="00C62631"/>
    <w:rsid w:val="00C6293B"/>
    <w:rsid w:val="00C63972"/>
    <w:rsid w:val="00C63C18"/>
    <w:rsid w:val="00C65241"/>
    <w:rsid w:val="00C66CB0"/>
    <w:rsid w:val="00C676E5"/>
    <w:rsid w:val="00C723B8"/>
    <w:rsid w:val="00C756A8"/>
    <w:rsid w:val="00C7661F"/>
    <w:rsid w:val="00C76787"/>
    <w:rsid w:val="00C772E3"/>
    <w:rsid w:val="00C803E7"/>
    <w:rsid w:val="00C83A4F"/>
    <w:rsid w:val="00C84379"/>
    <w:rsid w:val="00C84D05"/>
    <w:rsid w:val="00C8621A"/>
    <w:rsid w:val="00C86F60"/>
    <w:rsid w:val="00C87641"/>
    <w:rsid w:val="00C87BB9"/>
    <w:rsid w:val="00C926AD"/>
    <w:rsid w:val="00C92826"/>
    <w:rsid w:val="00C93453"/>
    <w:rsid w:val="00C95379"/>
    <w:rsid w:val="00C96889"/>
    <w:rsid w:val="00CA04DC"/>
    <w:rsid w:val="00CA0ADF"/>
    <w:rsid w:val="00CA3EB9"/>
    <w:rsid w:val="00CA5938"/>
    <w:rsid w:val="00CA5C45"/>
    <w:rsid w:val="00CA5DEE"/>
    <w:rsid w:val="00CB0E55"/>
    <w:rsid w:val="00CB1B9C"/>
    <w:rsid w:val="00CB32C7"/>
    <w:rsid w:val="00CB38F2"/>
    <w:rsid w:val="00CB3CB5"/>
    <w:rsid w:val="00CB3DBD"/>
    <w:rsid w:val="00CB4D57"/>
    <w:rsid w:val="00CB57FE"/>
    <w:rsid w:val="00CB7123"/>
    <w:rsid w:val="00CB73A3"/>
    <w:rsid w:val="00CB7F0D"/>
    <w:rsid w:val="00CC1DF7"/>
    <w:rsid w:val="00CC20F1"/>
    <w:rsid w:val="00CC28C6"/>
    <w:rsid w:val="00CC3585"/>
    <w:rsid w:val="00CC4808"/>
    <w:rsid w:val="00CC4BC8"/>
    <w:rsid w:val="00CC750B"/>
    <w:rsid w:val="00CC7D66"/>
    <w:rsid w:val="00CD0055"/>
    <w:rsid w:val="00CD0400"/>
    <w:rsid w:val="00CD211F"/>
    <w:rsid w:val="00CD28C6"/>
    <w:rsid w:val="00CD305B"/>
    <w:rsid w:val="00CD3987"/>
    <w:rsid w:val="00CD44A5"/>
    <w:rsid w:val="00CD61F9"/>
    <w:rsid w:val="00CD64FC"/>
    <w:rsid w:val="00CE02CC"/>
    <w:rsid w:val="00CE0D2C"/>
    <w:rsid w:val="00CE0F53"/>
    <w:rsid w:val="00CE1B8A"/>
    <w:rsid w:val="00CE1F0B"/>
    <w:rsid w:val="00CE2156"/>
    <w:rsid w:val="00CE25CA"/>
    <w:rsid w:val="00CE2B32"/>
    <w:rsid w:val="00CE2DD0"/>
    <w:rsid w:val="00CE30AB"/>
    <w:rsid w:val="00CE3510"/>
    <w:rsid w:val="00CE419A"/>
    <w:rsid w:val="00CE4936"/>
    <w:rsid w:val="00CE4CC0"/>
    <w:rsid w:val="00CE530D"/>
    <w:rsid w:val="00CE6205"/>
    <w:rsid w:val="00CE6BF8"/>
    <w:rsid w:val="00CE7A1E"/>
    <w:rsid w:val="00CF27C4"/>
    <w:rsid w:val="00CF46D9"/>
    <w:rsid w:val="00D02D13"/>
    <w:rsid w:val="00D0456C"/>
    <w:rsid w:val="00D06F27"/>
    <w:rsid w:val="00D07114"/>
    <w:rsid w:val="00D073F4"/>
    <w:rsid w:val="00D1102D"/>
    <w:rsid w:val="00D13DF0"/>
    <w:rsid w:val="00D1418F"/>
    <w:rsid w:val="00D143AC"/>
    <w:rsid w:val="00D14486"/>
    <w:rsid w:val="00D22284"/>
    <w:rsid w:val="00D22FC3"/>
    <w:rsid w:val="00D2449C"/>
    <w:rsid w:val="00D244C9"/>
    <w:rsid w:val="00D24520"/>
    <w:rsid w:val="00D25BF8"/>
    <w:rsid w:val="00D262EA"/>
    <w:rsid w:val="00D26D11"/>
    <w:rsid w:val="00D27CFB"/>
    <w:rsid w:val="00D30A63"/>
    <w:rsid w:val="00D31703"/>
    <w:rsid w:val="00D322A6"/>
    <w:rsid w:val="00D32D1E"/>
    <w:rsid w:val="00D36774"/>
    <w:rsid w:val="00D36B98"/>
    <w:rsid w:val="00D40AAD"/>
    <w:rsid w:val="00D43642"/>
    <w:rsid w:val="00D43BB8"/>
    <w:rsid w:val="00D45728"/>
    <w:rsid w:val="00D4767A"/>
    <w:rsid w:val="00D47ACC"/>
    <w:rsid w:val="00D5064E"/>
    <w:rsid w:val="00D51FE7"/>
    <w:rsid w:val="00D54B01"/>
    <w:rsid w:val="00D5603B"/>
    <w:rsid w:val="00D56DD8"/>
    <w:rsid w:val="00D56EC5"/>
    <w:rsid w:val="00D57274"/>
    <w:rsid w:val="00D600F0"/>
    <w:rsid w:val="00D6034D"/>
    <w:rsid w:val="00D61332"/>
    <w:rsid w:val="00D6194F"/>
    <w:rsid w:val="00D61F8A"/>
    <w:rsid w:val="00D6226B"/>
    <w:rsid w:val="00D6239E"/>
    <w:rsid w:val="00D624EF"/>
    <w:rsid w:val="00D640D7"/>
    <w:rsid w:val="00D64A4B"/>
    <w:rsid w:val="00D653AD"/>
    <w:rsid w:val="00D6548B"/>
    <w:rsid w:val="00D66A48"/>
    <w:rsid w:val="00D67432"/>
    <w:rsid w:val="00D67E9C"/>
    <w:rsid w:val="00D70374"/>
    <w:rsid w:val="00D71175"/>
    <w:rsid w:val="00D711C5"/>
    <w:rsid w:val="00D71A85"/>
    <w:rsid w:val="00D7260B"/>
    <w:rsid w:val="00D729B1"/>
    <w:rsid w:val="00D730B5"/>
    <w:rsid w:val="00D73129"/>
    <w:rsid w:val="00D735FF"/>
    <w:rsid w:val="00D73A3C"/>
    <w:rsid w:val="00D7483C"/>
    <w:rsid w:val="00D74FD2"/>
    <w:rsid w:val="00D75CC5"/>
    <w:rsid w:val="00D762ED"/>
    <w:rsid w:val="00D77CD3"/>
    <w:rsid w:val="00D813C5"/>
    <w:rsid w:val="00D83406"/>
    <w:rsid w:val="00D83999"/>
    <w:rsid w:val="00D839BC"/>
    <w:rsid w:val="00D84ABE"/>
    <w:rsid w:val="00D84F60"/>
    <w:rsid w:val="00D86004"/>
    <w:rsid w:val="00D87B35"/>
    <w:rsid w:val="00D9098B"/>
    <w:rsid w:val="00D91B3F"/>
    <w:rsid w:val="00D91BC7"/>
    <w:rsid w:val="00D91FC5"/>
    <w:rsid w:val="00D921E7"/>
    <w:rsid w:val="00D92690"/>
    <w:rsid w:val="00D9288B"/>
    <w:rsid w:val="00D9376C"/>
    <w:rsid w:val="00D93EA3"/>
    <w:rsid w:val="00D96E03"/>
    <w:rsid w:val="00D97AD0"/>
    <w:rsid w:val="00DA068C"/>
    <w:rsid w:val="00DA1731"/>
    <w:rsid w:val="00DA2373"/>
    <w:rsid w:val="00DA2FEA"/>
    <w:rsid w:val="00DA628E"/>
    <w:rsid w:val="00DA6E18"/>
    <w:rsid w:val="00DA6F20"/>
    <w:rsid w:val="00DB17ED"/>
    <w:rsid w:val="00DB35B2"/>
    <w:rsid w:val="00DB3FD3"/>
    <w:rsid w:val="00DB4087"/>
    <w:rsid w:val="00DB452E"/>
    <w:rsid w:val="00DB4755"/>
    <w:rsid w:val="00DC07A6"/>
    <w:rsid w:val="00DC153D"/>
    <w:rsid w:val="00DC22B8"/>
    <w:rsid w:val="00DC3E21"/>
    <w:rsid w:val="00DC428F"/>
    <w:rsid w:val="00DC48FC"/>
    <w:rsid w:val="00DC4A34"/>
    <w:rsid w:val="00DC7F55"/>
    <w:rsid w:val="00DD04B4"/>
    <w:rsid w:val="00DD2866"/>
    <w:rsid w:val="00DD2EAD"/>
    <w:rsid w:val="00DD332A"/>
    <w:rsid w:val="00DD3E03"/>
    <w:rsid w:val="00DD4AB2"/>
    <w:rsid w:val="00DD4BA5"/>
    <w:rsid w:val="00DD536D"/>
    <w:rsid w:val="00DD5672"/>
    <w:rsid w:val="00DD6283"/>
    <w:rsid w:val="00DD638B"/>
    <w:rsid w:val="00DD6622"/>
    <w:rsid w:val="00DD725B"/>
    <w:rsid w:val="00DE0CFB"/>
    <w:rsid w:val="00DE1245"/>
    <w:rsid w:val="00DE16B2"/>
    <w:rsid w:val="00DE17F9"/>
    <w:rsid w:val="00DE1EE8"/>
    <w:rsid w:val="00DE30EB"/>
    <w:rsid w:val="00DE33F9"/>
    <w:rsid w:val="00DE3A75"/>
    <w:rsid w:val="00DE3B0B"/>
    <w:rsid w:val="00DE49A3"/>
    <w:rsid w:val="00DE4B5E"/>
    <w:rsid w:val="00DE4C92"/>
    <w:rsid w:val="00DE6050"/>
    <w:rsid w:val="00DE65EC"/>
    <w:rsid w:val="00DE6F23"/>
    <w:rsid w:val="00DE7094"/>
    <w:rsid w:val="00DF2EC9"/>
    <w:rsid w:val="00DF3272"/>
    <w:rsid w:val="00DF5393"/>
    <w:rsid w:val="00DF54C2"/>
    <w:rsid w:val="00DF5787"/>
    <w:rsid w:val="00DF57AB"/>
    <w:rsid w:val="00DF74BE"/>
    <w:rsid w:val="00DF74E3"/>
    <w:rsid w:val="00DF794F"/>
    <w:rsid w:val="00E02336"/>
    <w:rsid w:val="00E023AA"/>
    <w:rsid w:val="00E02DF9"/>
    <w:rsid w:val="00E05993"/>
    <w:rsid w:val="00E059CE"/>
    <w:rsid w:val="00E07B27"/>
    <w:rsid w:val="00E07EEF"/>
    <w:rsid w:val="00E10391"/>
    <w:rsid w:val="00E12228"/>
    <w:rsid w:val="00E138C3"/>
    <w:rsid w:val="00E15852"/>
    <w:rsid w:val="00E1630A"/>
    <w:rsid w:val="00E165CA"/>
    <w:rsid w:val="00E16B90"/>
    <w:rsid w:val="00E20A4D"/>
    <w:rsid w:val="00E23208"/>
    <w:rsid w:val="00E23A7E"/>
    <w:rsid w:val="00E24A0D"/>
    <w:rsid w:val="00E24A15"/>
    <w:rsid w:val="00E24F4E"/>
    <w:rsid w:val="00E25699"/>
    <w:rsid w:val="00E275BB"/>
    <w:rsid w:val="00E275CC"/>
    <w:rsid w:val="00E3023E"/>
    <w:rsid w:val="00E320BF"/>
    <w:rsid w:val="00E325CC"/>
    <w:rsid w:val="00E32F40"/>
    <w:rsid w:val="00E34333"/>
    <w:rsid w:val="00E34B78"/>
    <w:rsid w:val="00E34BD0"/>
    <w:rsid w:val="00E35F2E"/>
    <w:rsid w:val="00E37029"/>
    <w:rsid w:val="00E37E2C"/>
    <w:rsid w:val="00E42F1F"/>
    <w:rsid w:val="00E446B6"/>
    <w:rsid w:val="00E44E27"/>
    <w:rsid w:val="00E44E2E"/>
    <w:rsid w:val="00E45A6B"/>
    <w:rsid w:val="00E45DBB"/>
    <w:rsid w:val="00E464E0"/>
    <w:rsid w:val="00E50E0A"/>
    <w:rsid w:val="00E51369"/>
    <w:rsid w:val="00E51FE7"/>
    <w:rsid w:val="00E520C5"/>
    <w:rsid w:val="00E52747"/>
    <w:rsid w:val="00E5274C"/>
    <w:rsid w:val="00E53E66"/>
    <w:rsid w:val="00E540E3"/>
    <w:rsid w:val="00E54235"/>
    <w:rsid w:val="00E548FC"/>
    <w:rsid w:val="00E55EC9"/>
    <w:rsid w:val="00E5657E"/>
    <w:rsid w:val="00E56921"/>
    <w:rsid w:val="00E60D4B"/>
    <w:rsid w:val="00E61488"/>
    <w:rsid w:val="00E6207F"/>
    <w:rsid w:val="00E62D6D"/>
    <w:rsid w:val="00E62F37"/>
    <w:rsid w:val="00E63547"/>
    <w:rsid w:val="00E63814"/>
    <w:rsid w:val="00E6499B"/>
    <w:rsid w:val="00E651B3"/>
    <w:rsid w:val="00E6654E"/>
    <w:rsid w:val="00E71B47"/>
    <w:rsid w:val="00E73CC6"/>
    <w:rsid w:val="00E73E8E"/>
    <w:rsid w:val="00E7447A"/>
    <w:rsid w:val="00E77018"/>
    <w:rsid w:val="00E8056B"/>
    <w:rsid w:val="00E80729"/>
    <w:rsid w:val="00E80CF1"/>
    <w:rsid w:val="00E816A2"/>
    <w:rsid w:val="00E83CBE"/>
    <w:rsid w:val="00E86E35"/>
    <w:rsid w:val="00E91E84"/>
    <w:rsid w:val="00E924CE"/>
    <w:rsid w:val="00E9279A"/>
    <w:rsid w:val="00E94DFC"/>
    <w:rsid w:val="00E960DD"/>
    <w:rsid w:val="00E96BDF"/>
    <w:rsid w:val="00E974BD"/>
    <w:rsid w:val="00EA0246"/>
    <w:rsid w:val="00EA1831"/>
    <w:rsid w:val="00EA2204"/>
    <w:rsid w:val="00EA2537"/>
    <w:rsid w:val="00EA257F"/>
    <w:rsid w:val="00EA2A85"/>
    <w:rsid w:val="00EA3251"/>
    <w:rsid w:val="00EA3322"/>
    <w:rsid w:val="00EA3F83"/>
    <w:rsid w:val="00EA5B6C"/>
    <w:rsid w:val="00EA607E"/>
    <w:rsid w:val="00EA6150"/>
    <w:rsid w:val="00EA6D50"/>
    <w:rsid w:val="00EB05BC"/>
    <w:rsid w:val="00EB0C47"/>
    <w:rsid w:val="00EB2D70"/>
    <w:rsid w:val="00EB3E6E"/>
    <w:rsid w:val="00EB4B62"/>
    <w:rsid w:val="00EB6ED1"/>
    <w:rsid w:val="00EB73AB"/>
    <w:rsid w:val="00EB7837"/>
    <w:rsid w:val="00EC02B0"/>
    <w:rsid w:val="00EC042B"/>
    <w:rsid w:val="00EC27C3"/>
    <w:rsid w:val="00EC4A38"/>
    <w:rsid w:val="00EC5964"/>
    <w:rsid w:val="00EC7A14"/>
    <w:rsid w:val="00ED0C35"/>
    <w:rsid w:val="00ED0E44"/>
    <w:rsid w:val="00ED185A"/>
    <w:rsid w:val="00ED19EB"/>
    <w:rsid w:val="00ED1D0D"/>
    <w:rsid w:val="00ED2995"/>
    <w:rsid w:val="00ED39AB"/>
    <w:rsid w:val="00ED68B6"/>
    <w:rsid w:val="00ED7159"/>
    <w:rsid w:val="00EE02B2"/>
    <w:rsid w:val="00EE08B9"/>
    <w:rsid w:val="00EE1FFF"/>
    <w:rsid w:val="00EE2127"/>
    <w:rsid w:val="00EE22F2"/>
    <w:rsid w:val="00EE2D7E"/>
    <w:rsid w:val="00EE4129"/>
    <w:rsid w:val="00EE49F2"/>
    <w:rsid w:val="00EE51AD"/>
    <w:rsid w:val="00EE65C7"/>
    <w:rsid w:val="00EE7143"/>
    <w:rsid w:val="00EF081A"/>
    <w:rsid w:val="00EF5F37"/>
    <w:rsid w:val="00EF74E8"/>
    <w:rsid w:val="00EF7AB3"/>
    <w:rsid w:val="00EF7D57"/>
    <w:rsid w:val="00F020D5"/>
    <w:rsid w:val="00F03AB9"/>
    <w:rsid w:val="00F03D77"/>
    <w:rsid w:val="00F04185"/>
    <w:rsid w:val="00F04376"/>
    <w:rsid w:val="00F04548"/>
    <w:rsid w:val="00F100A9"/>
    <w:rsid w:val="00F10133"/>
    <w:rsid w:val="00F14B69"/>
    <w:rsid w:val="00F154C1"/>
    <w:rsid w:val="00F15F22"/>
    <w:rsid w:val="00F16C2D"/>
    <w:rsid w:val="00F17E6F"/>
    <w:rsid w:val="00F2072F"/>
    <w:rsid w:val="00F2165E"/>
    <w:rsid w:val="00F21CE8"/>
    <w:rsid w:val="00F22192"/>
    <w:rsid w:val="00F22F5E"/>
    <w:rsid w:val="00F24FD9"/>
    <w:rsid w:val="00F25484"/>
    <w:rsid w:val="00F254C0"/>
    <w:rsid w:val="00F255D5"/>
    <w:rsid w:val="00F26132"/>
    <w:rsid w:val="00F2650A"/>
    <w:rsid w:val="00F3294F"/>
    <w:rsid w:val="00F32DC1"/>
    <w:rsid w:val="00F32F01"/>
    <w:rsid w:val="00F33008"/>
    <w:rsid w:val="00F33089"/>
    <w:rsid w:val="00F33FD1"/>
    <w:rsid w:val="00F34678"/>
    <w:rsid w:val="00F35870"/>
    <w:rsid w:val="00F377D3"/>
    <w:rsid w:val="00F41352"/>
    <w:rsid w:val="00F4251D"/>
    <w:rsid w:val="00F42FE4"/>
    <w:rsid w:val="00F448AE"/>
    <w:rsid w:val="00F4543E"/>
    <w:rsid w:val="00F46B82"/>
    <w:rsid w:val="00F46D54"/>
    <w:rsid w:val="00F477F7"/>
    <w:rsid w:val="00F50495"/>
    <w:rsid w:val="00F51B8C"/>
    <w:rsid w:val="00F52310"/>
    <w:rsid w:val="00F52883"/>
    <w:rsid w:val="00F5399F"/>
    <w:rsid w:val="00F5516D"/>
    <w:rsid w:val="00F56FD2"/>
    <w:rsid w:val="00F6195A"/>
    <w:rsid w:val="00F6200B"/>
    <w:rsid w:val="00F635F4"/>
    <w:rsid w:val="00F66724"/>
    <w:rsid w:val="00F670BF"/>
    <w:rsid w:val="00F70531"/>
    <w:rsid w:val="00F73ACC"/>
    <w:rsid w:val="00F73C76"/>
    <w:rsid w:val="00F756A8"/>
    <w:rsid w:val="00F7709E"/>
    <w:rsid w:val="00F77876"/>
    <w:rsid w:val="00F77C1D"/>
    <w:rsid w:val="00F811F7"/>
    <w:rsid w:val="00F81EED"/>
    <w:rsid w:val="00F820F3"/>
    <w:rsid w:val="00F8275D"/>
    <w:rsid w:val="00F82BBB"/>
    <w:rsid w:val="00F8425A"/>
    <w:rsid w:val="00F84D4F"/>
    <w:rsid w:val="00F85E0E"/>
    <w:rsid w:val="00F90F87"/>
    <w:rsid w:val="00F92938"/>
    <w:rsid w:val="00F938F6"/>
    <w:rsid w:val="00F93B9A"/>
    <w:rsid w:val="00F946DC"/>
    <w:rsid w:val="00F96568"/>
    <w:rsid w:val="00F97116"/>
    <w:rsid w:val="00F971D6"/>
    <w:rsid w:val="00F9761A"/>
    <w:rsid w:val="00F9777A"/>
    <w:rsid w:val="00F97FDE"/>
    <w:rsid w:val="00FA1D75"/>
    <w:rsid w:val="00FA2450"/>
    <w:rsid w:val="00FA2486"/>
    <w:rsid w:val="00FA30CF"/>
    <w:rsid w:val="00FA321F"/>
    <w:rsid w:val="00FA56D3"/>
    <w:rsid w:val="00FA593F"/>
    <w:rsid w:val="00FA6CB0"/>
    <w:rsid w:val="00FB0BD1"/>
    <w:rsid w:val="00FB1459"/>
    <w:rsid w:val="00FB1DEC"/>
    <w:rsid w:val="00FB5CCE"/>
    <w:rsid w:val="00FB7B56"/>
    <w:rsid w:val="00FC027F"/>
    <w:rsid w:val="00FC0370"/>
    <w:rsid w:val="00FC1291"/>
    <w:rsid w:val="00FC1708"/>
    <w:rsid w:val="00FC2E35"/>
    <w:rsid w:val="00FC3859"/>
    <w:rsid w:val="00FC4EB5"/>
    <w:rsid w:val="00FC54E7"/>
    <w:rsid w:val="00FC57B4"/>
    <w:rsid w:val="00FC6DBB"/>
    <w:rsid w:val="00FC7369"/>
    <w:rsid w:val="00FD0152"/>
    <w:rsid w:val="00FD016B"/>
    <w:rsid w:val="00FD3FFC"/>
    <w:rsid w:val="00FD4E53"/>
    <w:rsid w:val="00FD4FEB"/>
    <w:rsid w:val="00FD7129"/>
    <w:rsid w:val="00FD74A6"/>
    <w:rsid w:val="00FE2E58"/>
    <w:rsid w:val="00FE3DE2"/>
    <w:rsid w:val="00FE4A10"/>
    <w:rsid w:val="00FE5861"/>
    <w:rsid w:val="00FE6FC6"/>
    <w:rsid w:val="00FE75E5"/>
    <w:rsid w:val="00FF0E35"/>
    <w:rsid w:val="00FF28BE"/>
    <w:rsid w:val="00FF4F15"/>
    <w:rsid w:val="00FF66DB"/>
    <w:rsid w:val="00FF7835"/>
    <w:rsid w:val="00FF7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04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0"/>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3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101345268">
      <w:bodyDiv w:val="1"/>
      <w:marLeft w:val="0"/>
      <w:marRight w:val="0"/>
      <w:marTop w:val="0"/>
      <w:marBottom w:val="0"/>
      <w:divBdr>
        <w:top w:val="none" w:sz="0" w:space="0" w:color="auto"/>
        <w:left w:val="none" w:sz="0" w:space="0" w:color="auto"/>
        <w:bottom w:val="none" w:sz="0" w:space="0" w:color="auto"/>
        <w:right w:val="none" w:sz="0" w:space="0" w:color="auto"/>
      </w:divBdr>
    </w:div>
    <w:div w:id="243534529">
      <w:bodyDiv w:val="1"/>
      <w:marLeft w:val="0"/>
      <w:marRight w:val="0"/>
      <w:marTop w:val="0"/>
      <w:marBottom w:val="0"/>
      <w:divBdr>
        <w:top w:val="none" w:sz="0" w:space="0" w:color="auto"/>
        <w:left w:val="none" w:sz="0" w:space="0" w:color="auto"/>
        <w:bottom w:val="none" w:sz="0" w:space="0" w:color="auto"/>
        <w:right w:val="none" w:sz="0" w:space="0" w:color="auto"/>
      </w:divBdr>
    </w:div>
    <w:div w:id="255788561">
      <w:bodyDiv w:val="1"/>
      <w:marLeft w:val="0"/>
      <w:marRight w:val="0"/>
      <w:marTop w:val="0"/>
      <w:marBottom w:val="0"/>
      <w:divBdr>
        <w:top w:val="none" w:sz="0" w:space="0" w:color="auto"/>
        <w:left w:val="none" w:sz="0" w:space="0" w:color="auto"/>
        <w:bottom w:val="none" w:sz="0" w:space="0" w:color="auto"/>
        <w:right w:val="none" w:sz="0" w:space="0" w:color="auto"/>
      </w:divBdr>
    </w:div>
    <w:div w:id="281620142">
      <w:bodyDiv w:val="1"/>
      <w:marLeft w:val="0"/>
      <w:marRight w:val="0"/>
      <w:marTop w:val="0"/>
      <w:marBottom w:val="0"/>
      <w:divBdr>
        <w:top w:val="none" w:sz="0" w:space="0" w:color="auto"/>
        <w:left w:val="none" w:sz="0" w:space="0" w:color="auto"/>
        <w:bottom w:val="none" w:sz="0" w:space="0" w:color="auto"/>
        <w:right w:val="none" w:sz="0" w:space="0" w:color="auto"/>
      </w:divBdr>
    </w:div>
    <w:div w:id="294872507">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063723">
      <w:bodyDiv w:val="1"/>
      <w:marLeft w:val="0"/>
      <w:marRight w:val="0"/>
      <w:marTop w:val="0"/>
      <w:marBottom w:val="0"/>
      <w:divBdr>
        <w:top w:val="none" w:sz="0" w:space="0" w:color="auto"/>
        <w:left w:val="none" w:sz="0" w:space="0" w:color="auto"/>
        <w:bottom w:val="none" w:sz="0" w:space="0" w:color="auto"/>
        <w:right w:val="none" w:sz="0" w:space="0" w:color="auto"/>
      </w:divBdr>
    </w:div>
    <w:div w:id="354112465">
      <w:bodyDiv w:val="1"/>
      <w:marLeft w:val="0"/>
      <w:marRight w:val="0"/>
      <w:marTop w:val="0"/>
      <w:marBottom w:val="0"/>
      <w:divBdr>
        <w:top w:val="none" w:sz="0" w:space="0" w:color="auto"/>
        <w:left w:val="none" w:sz="0" w:space="0" w:color="auto"/>
        <w:bottom w:val="none" w:sz="0" w:space="0" w:color="auto"/>
        <w:right w:val="none" w:sz="0" w:space="0" w:color="auto"/>
      </w:divBdr>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49204758">
      <w:bodyDiv w:val="1"/>
      <w:marLeft w:val="0"/>
      <w:marRight w:val="0"/>
      <w:marTop w:val="0"/>
      <w:marBottom w:val="0"/>
      <w:divBdr>
        <w:top w:val="none" w:sz="0" w:space="0" w:color="auto"/>
        <w:left w:val="none" w:sz="0" w:space="0" w:color="auto"/>
        <w:bottom w:val="none" w:sz="0" w:space="0" w:color="auto"/>
        <w:right w:val="none" w:sz="0" w:space="0" w:color="auto"/>
      </w:divBdr>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27071272">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15923983">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900407637">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422175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284791">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553227382">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34410312">
      <w:bodyDiv w:val="1"/>
      <w:marLeft w:val="0"/>
      <w:marRight w:val="0"/>
      <w:marTop w:val="0"/>
      <w:marBottom w:val="0"/>
      <w:divBdr>
        <w:top w:val="none" w:sz="0" w:space="0" w:color="auto"/>
        <w:left w:val="none" w:sz="0" w:space="0" w:color="auto"/>
        <w:bottom w:val="none" w:sz="0" w:space="0" w:color="auto"/>
        <w:right w:val="none" w:sz="0" w:space="0" w:color="auto"/>
      </w:divBdr>
      <w:divsChild>
        <w:div w:id="44764707">
          <w:marLeft w:val="0"/>
          <w:marRight w:val="0"/>
          <w:marTop w:val="0"/>
          <w:marBottom w:val="0"/>
          <w:divBdr>
            <w:top w:val="none" w:sz="0" w:space="0" w:color="auto"/>
            <w:left w:val="none" w:sz="0" w:space="0" w:color="auto"/>
            <w:bottom w:val="none" w:sz="0" w:space="0" w:color="auto"/>
            <w:right w:val="none" w:sz="0" w:space="0" w:color="auto"/>
          </w:divBdr>
        </w:div>
        <w:div w:id="1933010898">
          <w:marLeft w:val="0"/>
          <w:marRight w:val="0"/>
          <w:marTop w:val="0"/>
          <w:marBottom w:val="0"/>
          <w:divBdr>
            <w:top w:val="none" w:sz="0" w:space="0" w:color="auto"/>
            <w:left w:val="none" w:sz="0" w:space="0" w:color="auto"/>
            <w:bottom w:val="none" w:sz="0" w:space="0" w:color="auto"/>
            <w:right w:val="none" w:sz="0" w:space="0" w:color="auto"/>
          </w:divBdr>
        </w:div>
        <w:div w:id="161356897">
          <w:marLeft w:val="0"/>
          <w:marRight w:val="0"/>
          <w:marTop w:val="0"/>
          <w:marBottom w:val="0"/>
          <w:divBdr>
            <w:top w:val="none" w:sz="0" w:space="0" w:color="auto"/>
            <w:left w:val="none" w:sz="0" w:space="0" w:color="auto"/>
            <w:bottom w:val="none" w:sz="0" w:space="0" w:color="auto"/>
            <w:right w:val="none" w:sz="0" w:space="0" w:color="auto"/>
          </w:divBdr>
        </w:div>
        <w:div w:id="1020546311">
          <w:marLeft w:val="0"/>
          <w:marRight w:val="0"/>
          <w:marTop w:val="0"/>
          <w:marBottom w:val="0"/>
          <w:divBdr>
            <w:top w:val="none" w:sz="0" w:space="0" w:color="auto"/>
            <w:left w:val="none" w:sz="0" w:space="0" w:color="auto"/>
            <w:bottom w:val="none" w:sz="0" w:space="0" w:color="auto"/>
            <w:right w:val="none" w:sz="0" w:space="0" w:color="auto"/>
          </w:divBdr>
        </w:div>
        <w:div w:id="732509541">
          <w:marLeft w:val="0"/>
          <w:marRight w:val="0"/>
          <w:marTop w:val="0"/>
          <w:marBottom w:val="0"/>
          <w:divBdr>
            <w:top w:val="none" w:sz="0" w:space="0" w:color="auto"/>
            <w:left w:val="none" w:sz="0" w:space="0" w:color="auto"/>
            <w:bottom w:val="none" w:sz="0" w:space="0" w:color="auto"/>
            <w:right w:val="none" w:sz="0" w:space="0" w:color="auto"/>
          </w:divBdr>
        </w:div>
        <w:div w:id="24448622">
          <w:marLeft w:val="0"/>
          <w:marRight w:val="0"/>
          <w:marTop w:val="0"/>
          <w:marBottom w:val="0"/>
          <w:divBdr>
            <w:top w:val="none" w:sz="0" w:space="0" w:color="auto"/>
            <w:left w:val="none" w:sz="0" w:space="0" w:color="auto"/>
            <w:bottom w:val="none" w:sz="0" w:space="0" w:color="auto"/>
            <w:right w:val="none" w:sz="0" w:space="0" w:color="auto"/>
          </w:divBdr>
        </w:div>
        <w:div w:id="222256918">
          <w:marLeft w:val="0"/>
          <w:marRight w:val="0"/>
          <w:marTop w:val="0"/>
          <w:marBottom w:val="0"/>
          <w:divBdr>
            <w:top w:val="none" w:sz="0" w:space="0" w:color="auto"/>
            <w:left w:val="none" w:sz="0" w:space="0" w:color="auto"/>
            <w:bottom w:val="none" w:sz="0" w:space="0" w:color="auto"/>
            <w:right w:val="none" w:sz="0" w:space="0" w:color="auto"/>
          </w:divBdr>
        </w:div>
      </w:divsChild>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52509115">
      <w:bodyDiv w:val="1"/>
      <w:marLeft w:val="0"/>
      <w:marRight w:val="0"/>
      <w:marTop w:val="0"/>
      <w:marBottom w:val="0"/>
      <w:divBdr>
        <w:top w:val="none" w:sz="0" w:space="0" w:color="auto"/>
        <w:left w:val="none" w:sz="0" w:space="0" w:color="auto"/>
        <w:bottom w:val="none" w:sz="0" w:space="0" w:color="auto"/>
        <w:right w:val="none" w:sz="0" w:space="0" w:color="auto"/>
      </w:divBdr>
    </w:div>
    <w:div w:id="1754155689">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840342848">
      <w:bodyDiv w:val="1"/>
      <w:marLeft w:val="0"/>
      <w:marRight w:val="0"/>
      <w:marTop w:val="0"/>
      <w:marBottom w:val="0"/>
      <w:divBdr>
        <w:top w:val="none" w:sz="0" w:space="0" w:color="auto"/>
        <w:left w:val="none" w:sz="0" w:space="0" w:color="auto"/>
        <w:bottom w:val="none" w:sz="0" w:space="0" w:color="auto"/>
        <w:right w:val="none" w:sz="0" w:space="0" w:color="auto"/>
      </w:divBdr>
    </w:div>
    <w:div w:id="1939948211">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2090688085">
      <w:bodyDiv w:val="1"/>
      <w:marLeft w:val="0"/>
      <w:marRight w:val="0"/>
      <w:marTop w:val="0"/>
      <w:marBottom w:val="0"/>
      <w:divBdr>
        <w:top w:val="none" w:sz="0" w:space="0" w:color="auto"/>
        <w:left w:val="none" w:sz="0" w:space="0" w:color="auto"/>
        <w:bottom w:val="none" w:sz="0" w:space="0" w:color="auto"/>
        <w:right w:val="none" w:sz="0" w:space="0" w:color="auto"/>
      </w:divBdr>
      <w:divsChild>
        <w:div w:id="1767379168">
          <w:marLeft w:val="0"/>
          <w:marRight w:val="0"/>
          <w:marTop w:val="300"/>
          <w:marBottom w:val="525"/>
          <w:divBdr>
            <w:top w:val="single" w:sz="6" w:space="9" w:color="CCCCCC"/>
            <w:left w:val="none" w:sz="0" w:space="0" w:color="auto"/>
            <w:bottom w:val="single" w:sz="6" w:space="9" w:color="CCCCCC"/>
            <w:right w:val="none" w:sz="0" w:space="0" w:color="auto"/>
          </w:divBdr>
        </w:div>
      </w:divsChild>
    </w:div>
    <w:div w:id="2139952694">
      <w:bodyDiv w:val="1"/>
      <w:marLeft w:val="0"/>
      <w:marRight w:val="0"/>
      <w:marTop w:val="0"/>
      <w:marBottom w:val="0"/>
      <w:divBdr>
        <w:top w:val="none" w:sz="0" w:space="0" w:color="auto"/>
        <w:left w:val="none" w:sz="0" w:space="0" w:color="auto"/>
        <w:bottom w:val="none" w:sz="0" w:space="0" w:color="auto"/>
        <w:right w:val="none" w:sz="0" w:space="0" w:color="auto"/>
      </w:divBdr>
    </w:div>
    <w:div w:id="21453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primemovermag.com.au/featured/article/pbs-a-game-of-regulation" TargetMode="External"/><Relationship Id="rId2" Type="http://schemas.openxmlformats.org/officeDocument/2006/relationships/hyperlink" Target="https://www.fullyloaded.com.au/industry-news/1406/finemore-gets-the-ok-to-run-pbs-approved-trucks" TargetMode="External"/><Relationship Id="rId1" Type="http://schemas.openxmlformats.org/officeDocument/2006/relationships/hyperlink" Target="http://www.trailermag.com.au/news/article/study-reveals-major-growth-potential-for-refrigerated-trailer-market" TargetMode="External"/><Relationship Id="rId6" Type="http://schemas.openxmlformats.org/officeDocument/2006/relationships/hyperlink" Target="http://www.primemovermag.com.au/featured/article/can-the-a-double-change-the-trucking-industry" TargetMode="External"/><Relationship Id="rId5" Type="http://schemas.openxmlformats.org/officeDocument/2006/relationships/hyperlink" Target="http://www.trailermag.com.au/featured/article/pbs-a-game-of-regulation" TargetMode="External"/><Relationship Id="rId4" Type="http://schemas.openxmlformats.org/officeDocument/2006/relationships/hyperlink" Target="http://www.primemovermag.com.au/featured/article/can-the-a-double-change-the-trucking-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D1DE-FCB2-4168-8307-9718B87B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2681</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2016-09-26T02:14:00Z</dcterms:created>
  <dcterms:modified xsi:type="dcterms:W3CDTF">2016-09-26T02:14:00Z</dcterms:modified>
  <cp:contentStatus/>
</cp:coreProperties>
</file>