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9" w:type="dxa"/>
        <w:tblLook w:val="04A0" w:firstRow="1" w:lastRow="0" w:firstColumn="1" w:lastColumn="0" w:noHBand="0" w:noVBand="1"/>
      </w:tblPr>
      <w:tblGrid>
        <w:gridCol w:w="3011"/>
        <w:gridCol w:w="7218"/>
      </w:tblGrid>
      <w:tr w:rsidR="00D735FF" w:rsidRPr="00A26CD2" w:rsidTr="00611D83">
        <w:trPr>
          <w:trHeight w:val="811"/>
        </w:trPr>
        <w:tc>
          <w:tcPr>
            <w:tcW w:w="3011" w:type="dxa"/>
            <w:vAlign w:val="center"/>
          </w:tcPr>
          <w:p w:rsidR="00D735FF" w:rsidRPr="00A26CD2" w:rsidRDefault="00D735FF" w:rsidP="001025C9">
            <w:pPr>
              <w:pStyle w:val="Header"/>
              <w:jc w:val="both"/>
              <w:rPr>
                <w:rFonts w:asciiTheme="minorHAnsi" w:hAnsiTheme="minorHAnsi" w:cs="Arial"/>
                <w:b/>
                <w:sz w:val="28"/>
                <w:szCs w:val="20"/>
              </w:rPr>
            </w:pPr>
            <w:bookmarkStart w:id="0" w:name="_GoBack"/>
            <w:bookmarkEnd w:id="0"/>
            <w:r w:rsidRPr="00A26CD2">
              <w:rPr>
                <w:rFonts w:asciiTheme="minorHAnsi" w:hAnsiTheme="minorHAnsi" w:cs="Arial"/>
                <w:b/>
                <w:sz w:val="28"/>
                <w:szCs w:val="20"/>
              </w:rPr>
              <w:t>Submission to:</w:t>
            </w:r>
          </w:p>
        </w:tc>
        <w:tc>
          <w:tcPr>
            <w:tcW w:w="7218" w:type="dxa"/>
            <w:vAlign w:val="center"/>
          </w:tcPr>
          <w:p w:rsidR="00D735FF" w:rsidRPr="00A26CD2" w:rsidRDefault="00A54132" w:rsidP="00A54132">
            <w:pPr>
              <w:pStyle w:val="Header"/>
              <w:rPr>
                <w:rFonts w:asciiTheme="minorHAnsi" w:hAnsiTheme="minorHAnsi" w:cs="Arial"/>
                <w:sz w:val="28"/>
                <w:szCs w:val="20"/>
              </w:rPr>
            </w:pPr>
            <w:r w:rsidRPr="00A26CD2">
              <w:rPr>
                <w:rFonts w:asciiTheme="minorHAnsi" w:hAnsiTheme="minorHAnsi" w:cs="Arial"/>
                <w:sz w:val="28"/>
                <w:szCs w:val="20"/>
              </w:rPr>
              <w:t xml:space="preserve">Senate </w:t>
            </w:r>
            <w:r w:rsidR="000561A5">
              <w:rPr>
                <w:rFonts w:asciiTheme="minorHAnsi" w:hAnsiTheme="minorHAnsi" w:cs="Arial"/>
                <w:sz w:val="28"/>
                <w:szCs w:val="20"/>
              </w:rPr>
              <w:t>Economics Legislation Committee</w:t>
            </w:r>
          </w:p>
        </w:tc>
      </w:tr>
      <w:tr w:rsidR="00D735FF" w:rsidRPr="00A26CD2" w:rsidTr="000561A5">
        <w:trPr>
          <w:trHeight w:val="811"/>
        </w:trPr>
        <w:tc>
          <w:tcPr>
            <w:tcW w:w="3011" w:type="dxa"/>
          </w:tcPr>
          <w:p w:rsidR="00D735FF" w:rsidRPr="00A26CD2" w:rsidRDefault="00D735FF" w:rsidP="000561A5">
            <w:pPr>
              <w:pStyle w:val="Header"/>
              <w:rPr>
                <w:rFonts w:asciiTheme="minorHAnsi" w:hAnsiTheme="minorHAnsi" w:cs="Arial"/>
                <w:b/>
                <w:sz w:val="28"/>
                <w:szCs w:val="20"/>
              </w:rPr>
            </w:pPr>
            <w:r w:rsidRPr="00A26CD2">
              <w:rPr>
                <w:rFonts w:asciiTheme="minorHAnsi" w:hAnsiTheme="minorHAnsi" w:cs="Arial"/>
                <w:b/>
                <w:sz w:val="28"/>
                <w:szCs w:val="20"/>
              </w:rPr>
              <w:t>Title:</w:t>
            </w:r>
          </w:p>
        </w:tc>
        <w:tc>
          <w:tcPr>
            <w:tcW w:w="7218" w:type="dxa"/>
            <w:vAlign w:val="center"/>
          </w:tcPr>
          <w:p w:rsidR="00DA4390" w:rsidRDefault="00DA4390" w:rsidP="00A54132">
            <w:pPr>
              <w:pStyle w:val="Header"/>
              <w:rPr>
                <w:rFonts w:asciiTheme="minorHAnsi" w:hAnsiTheme="minorHAnsi" w:cs="Arial"/>
                <w:sz w:val="28"/>
                <w:szCs w:val="20"/>
              </w:rPr>
            </w:pPr>
            <w:r w:rsidRPr="00A26CD2">
              <w:rPr>
                <w:rFonts w:asciiTheme="minorHAnsi" w:hAnsiTheme="minorHAnsi" w:cs="Arial"/>
                <w:sz w:val="28"/>
                <w:szCs w:val="20"/>
              </w:rPr>
              <w:t>Fuel Indexation (Road Funding) Bill 2014</w:t>
            </w:r>
          </w:p>
          <w:p w:rsidR="000561A5" w:rsidRDefault="000561A5" w:rsidP="00A54132">
            <w:pPr>
              <w:pStyle w:val="Header"/>
              <w:rPr>
                <w:rFonts w:asciiTheme="minorHAnsi" w:hAnsiTheme="minorHAnsi" w:cs="Arial"/>
                <w:sz w:val="28"/>
                <w:szCs w:val="20"/>
              </w:rPr>
            </w:pPr>
            <w:r>
              <w:rPr>
                <w:rFonts w:asciiTheme="minorHAnsi" w:hAnsiTheme="minorHAnsi" w:cs="Arial"/>
                <w:sz w:val="28"/>
                <w:szCs w:val="20"/>
              </w:rPr>
              <w:t>Excise Tariff Amendment (Fuel Indexation) Bill 2014</w:t>
            </w:r>
          </w:p>
          <w:p w:rsidR="000561A5" w:rsidRDefault="000561A5" w:rsidP="00A54132">
            <w:pPr>
              <w:pStyle w:val="Header"/>
              <w:rPr>
                <w:rFonts w:asciiTheme="minorHAnsi" w:hAnsiTheme="minorHAnsi" w:cs="Arial"/>
                <w:sz w:val="28"/>
                <w:szCs w:val="20"/>
              </w:rPr>
            </w:pPr>
            <w:r>
              <w:rPr>
                <w:rFonts w:asciiTheme="minorHAnsi" w:hAnsiTheme="minorHAnsi" w:cs="Arial"/>
                <w:sz w:val="28"/>
                <w:szCs w:val="20"/>
              </w:rPr>
              <w:t>Customs Tariff Amendment (Fuel Indexation) Bill 2014</w:t>
            </w:r>
          </w:p>
          <w:p w:rsidR="00DA4390" w:rsidRDefault="000561A5" w:rsidP="00A54132">
            <w:pPr>
              <w:pStyle w:val="Header"/>
              <w:rPr>
                <w:rFonts w:asciiTheme="minorHAnsi" w:hAnsiTheme="minorHAnsi" w:cs="Arial"/>
                <w:sz w:val="28"/>
                <w:szCs w:val="20"/>
              </w:rPr>
            </w:pPr>
            <w:r>
              <w:rPr>
                <w:rFonts w:asciiTheme="minorHAnsi" w:hAnsiTheme="minorHAnsi" w:cs="Arial"/>
                <w:sz w:val="28"/>
                <w:szCs w:val="20"/>
              </w:rPr>
              <w:t>Fuel Indexation (Road Funding) Special Account Bill 2014</w:t>
            </w:r>
          </w:p>
          <w:p w:rsidR="00DA4390" w:rsidRPr="00A26CD2" w:rsidRDefault="00DA4390" w:rsidP="00A54132">
            <w:pPr>
              <w:pStyle w:val="Header"/>
              <w:rPr>
                <w:rFonts w:asciiTheme="minorHAnsi" w:hAnsiTheme="minorHAnsi" w:cs="Arial"/>
                <w:sz w:val="28"/>
                <w:szCs w:val="20"/>
              </w:rPr>
            </w:pPr>
          </w:p>
        </w:tc>
      </w:tr>
      <w:tr w:rsidR="00DA4390" w:rsidRPr="00A26CD2" w:rsidTr="00DA4390">
        <w:trPr>
          <w:trHeight w:val="811"/>
        </w:trPr>
        <w:tc>
          <w:tcPr>
            <w:tcW w:w="3011" w:type="dxa"/>
          </w:tcPr>
          <w:p w:rsidR="00DA4390" w:rsidRPr="00A26CD2" w:rsidRDefault="00DA4390" w:rsidP="00DA4390">
            <w:pPr>
              <w:pStyle w:val="Header"/>
              <w:rPr>
                <w:rFonts w:asciiTheme="minorHAnsi" w:hAnsiTheme="minorHAnsi" w:cs="Arial"/>
                <w:b/>
                <w:sz w:val="28"/>
                <w:szCs w:val="20"/>
              </w:rPr>
            </w:pPr>
            <w:r>
              <w:rPr>
                <w:rFonts w:asciiTheme="minorHAnsi" w:hAnsiTheme="minorHAnsi" w:cs="Arial"/>
                <w:b/>
                <w:sz w:val="28"/>
                <w:szCs w:val="20"/>
              </w:rPr>
              <w:t>Author:</w:t>
            </w:r>
          </w:p>
        </w:tc>
        <w:tc>
          <w:tcPr>
            <w:tcW w:w="7218" w:type="dxa"/>
            <w:vAlign w:val="center"/>
          </w:tcPr>
          <w:p w:rsidR="00DA4390" w:rsidRPr="00DA4390" w:rsidRDefault="00DA4390" w:rsidP="00DA4390">
            <w:pPr>
              <w:pStyle w:val="Header"/>
              <w:rPr>
                <w:rFonts w:asciiTheme="minorHAnsi" w:hAnsiTheme="minorHAnsi" w:cs="Arial"/>
                <w:sz w:val="28"/>
                <w:szCs w:val="28"/>
              </w:rPr>
            </w:pPr>
            <w:r w:rsidRPr="00DA4390">
              <w:rPr>
                <w:rFonts w:asciiTheme="minorHAnsi" w:hAnsiTheme="minorHAnsi" w:cs="Arial"/>
                <w:sz w:val="28"/>
                <w:szCs w:val="28"/>
              </w:rPr>
              <w:t>Bill McKinley, National Manager, Government Relations and Communications on behalf of the Australian Trucking Association nationally</w:t>
            </w:r>
          </w:p>
          <w:p w:rsidR="00DA4390" w:rsidRDefault="00DA4390" w:rsidP="00DA4390">
            <w:pPr>
              <w:pStyle w:val="Header"/>
              <w:rPr>
                <w:rFonts w:asciiTheme="minorHAnsi" w:hAnsiTheme="minorHAnsi" w:cs="Arial"/>
                <w:sz w:val="32"/>
              </w:rPr>
            </w:pPr>
          </w:p>
          <w:p w:rsidR="00DA4390" w:rsidRDefault="00DA4390" w:rsidP="00905C0A">
            <w:pPr>
              <w:pStyle w:val="Header"/>
              <w:rPr>
                <w:rFonts w:asciiTheme="minorHAnsi" w:hAnsiTheme="minorHAnsi" w:cs="Arial"/>
                <w:sz w:val="28"/>
                <w:szCs w:val="20"/>
              </w:rPr>
            </w:pPr>
          </w:p>
        </w:tc>
      </w:tr>
      <w:tr w:rsidR="00D735FF" w:rsidRPr="00A26CD2" w:rsidTr="00611D83">
        <w:trPr>
          <w:trHeight w:val="811"/>
        </w:trPr>
        <w:tc>
          <w:tcPr>
            <w:tcW w:w="3011" w:type="dxa"/>
            <w:vAlign w:val="center"/>
          </w:tcPr>
          <w:p w:rsidR="00D735FF" w:rsidRPr="00A26CD2" w:rsidRDefault="00D735FF" w:rsidP="001025C9">
            <w:pPr>
              <w:pStyle w:val="Header"/>
              <w:jc w:val="both"/>
              <w:rPr>
                <w:rFonts w:asciiTheme="minorHAnsi" w:hAnsiTheme="minorHAnsi" w:cs="Arial"/>
                <w:b/>
                <w:sz w:val="28"/>
                <w:szCs w:val="20"/>
              </w:rPr>
            </w:pPr>
            <w:r w:rsidRPr="00A26CD2">
              <w:rPr>
                <w:rFonts w:asciiTheme="minorHAnsi" w:hAnsiTheme="minorHAnsi" w:cs="Arial"/>
                <w:b/>
                <w:sz w:val="28"/>
                <w:szCs w:val="20"/>
              </w:rPr>
              <w:t>Date:</w:t>
            </w:r>
          </w:p>
        </w:tc>
        <w:tc>
          <w:tcPr>
            <w:tcW w:w="7218" w:type="dxa"/>
            <w:vAlign w:val="center"/>
          </w:tcPr>
          <w:p w:rsidR="00D735FF" w:rsidRPr="00A26CD2" w:rsidRDefault="00DA4390" w:rsidP="00905C0A">
            <w:pPr>
              <w:pStyle w:val="Header"/>
              <w:rPr>
                <w:rFonts w:asciiTheme="minorHAnsi" w:hAnsiTheme="minorHAnsi" w:cs="Arial"/>
                <w:sz w:val="28"/>
                <w:szCs w:val="20"/>
              </w:rPr>
            </w:pPr>
            <w:r>
              <w:rPr>
                <w:rFonts w:asciiTheme="minorHAnsi" w:hAnsiTheme="minorHAnsi" w:cs="Arial"/>
                <w:b/>
                <w:noProof/>
                <w:sz w:val="32"/>
                <w:lang w:eastAsia="en-AU"/>
              </w:rPr>
              <w:drawing>
                <wp:anchor distT="0" distB="0" distL="114300" distR="114300" simplePos="0" relativeHeight="251659264" behindDoc="1" locked="0" layoutInCell="1" allowOverlap="1" wp14:anchorId="286AD0CA" wp14:editId="24D89A52">
                  <wp:simplePos x="0" y="0"/>
                  <wp:positionH relativeFrom="column">
                    <wp:posOffset>-282575</wp:posOffset>
                  </wp:positionH>
                  <wp:positionV relativeFrom="paragraph">
                    <wp:posOffset>-1020445</wp:posOffset>
                  </wp:positionV>
                  <wp:extent cx="2279650" cy="1207135"/>
                  <wp:effectExtent l="19050" t="0" r="5910" b="0"/>
                  <wp:wrapNone/>
                  <wp:docPr id="2" name="Picture 1" descr="Bill McKinley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 McKinley signature.png"/>
                          <pic:cNvPicPr/>
                        </pic:nvPicPr>
                        <pic:blipFill>
                          <a:blip r:embed="rId8"/>
                          <a:stretch>
                            <a:fillRect/>
                          </a:stretch>
                        </pic:blipFill>
                        <pic:spPr>
                          <a:xfrm>
                            <a:off x="0" y="0"/>
                            <a:ext cx="2279650" cy="1207135"/>
                          </a:xfrm>
                          <a:prstGeom prst="rect">
                            <a:avLst/>
                          </a:prstGeom>
                        </pic:spPr>
                      </pic:pic>
                    </a:graphicData>
                  </a:graphic>
                  <wp14:sizeRelH relativeFrom="margin">
                    <wp14:pctWidth>0</wp14:pctWidth>
                  </wp14:sizeRelH>
                  <wp14:sizeRelV relativeFrom="margin">
                    <wp14:pctHeight>0</wp14:pctHeight>
                  </wp14:sizeRelV>
                </wp:anchor>
              </w:drawing>
            </w:r>
            <w:r w:rsidR="00A26CD2">
              <w:rPr>
                <w:rFonts w:asciiTheme="minorHAnsi" w:hAnsiTheme="minorHAnsi" w:cs="Arial"/>
                <w:sz w:val="28"/>
                <w:szCs w:val="20"/>
              </w:rPr>
              <w:t>27</w:t>
            </w:r>
            <w:r w:rsidR="00A54132" w:rsidRPr="00A26CD2">
              <w:rPr>
                <w:rFonts w:asciiTheme="minorHAnsi" w:hAnsiTheme="minorHAnsi" w:cs="Arial"/>
                <w:sz w:val="28"/>
                <w:szCs w:val="20"/>
              </w:rPr>
              <w:t xml:space="preserve"> June 2014</w:t>
            </w:r>
          </w:p>
        </w:tc>
      </w:tr>
    </w:tbl>
    <w:p w:rsidR="00D735FF" w:rsidRPr="00A26CD2" w:rsidRDefault="00D735FF" w:rsidP="001025C9">
      <w:pPr>
        <w:pStyle w:val="Header"/>
        <w:jc w:val="both"/>
        <w:rPr>
          <w:rFonts w:asciiTheme="minorHAnsi" w:hAnsiTheme="minorHAnsi" w:cs="Arial"/>
          <w:sz w:val="28"/>
          <w:szCs w:val="20"/>
        </w:rPr>
      </w:pPr>
    </w:p>
    <w:p w:rsidR="00D735FF" w:rsidRPr="00A26CD2" w:rsidRDefault="00D735FF" w:rsidP="001025C9">
      <w:pPr>
        <w:pStyle w:val="Header"/>
        <w:jc w:val="both"/>
        <w:rPr>
          <w:rFonts w:asciiTheme="minorHAnsi" w:hAnsiTheme="minorHAnsi" w:cs="Arial"/>
          <w:sz w:val="20"/>
          <w:szCs w:val="20"/>
        </w:rPr>
      </w:pPr>
    </w:p>
    <w:p w:rsidR="00576ED0" w:rsidRPr="00A26CD2" w:rsidRDefault="00576ED0" w:rsidP="001025C9">
      <w:pPr>
        <w:pStyle w:val="Header"/>
        <w:jc w:val="both"/>
        <w:rPr>
          <w:rFonts w:asciiTheme="minorHAnsi" w:hAnsiTheme="minorHAnsi" w:cs="Arial"/>
          <w:sz w:val="20"/>
          <w:szCs w:val="20"/>
        </w:rPr>
      </w:pPr>
    </w:p>
    <w:p w:rsidR="00576ED0" w:rsidRPr="00A26CD2" w:rsidRDefault="00576ED0" w:rsidP="001025C9">
      <w:pPr>
        <w:jc w:val="both"/>
        <w:rPr>
          <w:rFonts w:asciiTheme="minorHAnsi" w:hAnsiTheme="minorHAnsi" w:cs="Arial"/>
          <w:sz w:val="20"/>
          <w:szCs w:val="20"/>
          <w:lang w:val="en-GB"/>
        </w:rPr>
        <w:sectPr w:rsidR="00576ED0" w:rsidRPr="00A26CD2" w:rsidSect="005F5ACC">
          <w:headerReference w:type="even" r:id="rId9"/>
          <w:headerReference w:type="default" r:id="rId10"/>
          <w:footerReference w:type="even" r:id="rId11"/>
          <w:footerReference w:type="default" r:id="rId12"/>
          <w:headerReference w:type="first" r:id="rId13"/>
          <w:footerReference w:type="first" r:id="rId14"/>
          <w:pgSz w:w="11906" w:h="16838"/>
          <w:pgMar w:top="5103" w:right="1133" w:bottom="1418" w:left="1134" w:header="851" w:footer="651" w:gutter="0"/>
          <w:cols w:space="708"/>
          <w:docGrid w:linePitch="360"/>
        </w:sectPr>
      </w:pPr>
    </w:p>
    <w:p w:rsidR="00576ED0" w:rsidRPr="00A26CD2" w:rsidRDefault="00576ED0"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0"/>
          <w:szCs w:val="20"/>
        </w:rPr>
      </w:pPr>
    </w:p>
    <w:p w:rsidR="0035493A" w:rsidRPr="00A26CD2" w:rsidRDefault="0035493A" w:rsidP="001025C9">
      <w:pPr>
        <w:jc w:val="both"/>
        <w:rPr>
          <w:rFonts w:asciiTheme="minorHAnsi" w:hAnsiTheme="minorHAnsi" w:cs="Arial"/>
          <w:sz w:val="24"/>
          <w:szCs w:val="20"/>
        </w:rPr>
      </w:pPr>
    </w:p>
    <w:p w:rsidR="0035493A" w:rsidRPr="00A26CD2" w:rsidRDefault="003B74E4" w:rsidP="001025C9">
      <w:pPr>
        <w:jc w:val="both"/>
        <w:rPr>
          <w:rFonts w:asciiTheme="minorHAnsi" w:hAnsiTheme="minorHAnsi" w:cs="Arial"/>
          <w:b/>
          <w:color w:val="000064"/>
          <w:sz w:val="24"/>
          <w:szCs w:val="20"/>
        </w:rPr>
      </w:pPr>
      <w:r w:rsidRPr="00A26CD2">
        <w:rPr>
          <w:rFonts w:asciiTheme="minorHAnsi" w:hAnsiTheme="minorHAnsi" w:cs="Arial"/>
          <w:b/>
          <w:color w:val="000064"/>
          <w:sz w:val="24"/>
          <w:szCs w:val="20"/>
        </w:rPr>
        <w:t>Contents</w:t>
      </w:r>
    </w:p>
    <w:p w:rsidR="00576ED0" w:rsidRPr="00A26CD2" w:rsidRDefault="00576ED0" w:rsidP="001025C9">
      <w:pPr>
        <w:jc w:val="both"/>
        <w:rPr>
          <w:rFonts w:asciiTheme="minorHAnsi" w:hAnsiTheme="minorHAnsi" w:cs="Arial"/>
          <w:sz w:val="24"/>
          <w:szCs w:val="20"/>
        </w:rPr>
      </w:pPr>
    </w:p>
    <w:p w:rsidR="009B0520" w:rsidRPr="00A26CD2" w:rsidRDefault="009B0520" w:rsidP="001025C9">
      <w:pPr>
        <w:jc w:val="both"/>
        <w:rPr>
          <w:rFonts w:asciiTheme="minorHAnsi" w:hAnsiTheme="minorHAnsi" w:cs="Arial"/>
          <w:b/>
          <w:sz w:val="24"/>
          <w:szCs w:val="20"/>
        </w:rPr>
      </w:pPr>
    </w:p>
    <w:p w:rsidR="00F76AF2" w:rsidRDefault="0004142E">
      <w:pPr>
        <w:pStyle w:val="TOC1"/>
        <w:rPr>
          <w:rFonts w:asciiTheme="minorHAnsi" w:eastAsiaTheme="minorEastAsia" w:hAnsiTheme="minorHAnsi" w:cstheme="minorBidi"/>
          <w:b w:val="0"/>
          <w:color w:val="auto"/>
          <w:sz w:val="22"/>
          <w:szCs w:val="22"/>
          <w:lang w:eastAsia="en-AU"/>
        </w:rPr>
      </w:pPr>
      <w:r w:rsidRPr="00A26CD2">
        <w:rPr>
          <w:rFonts w:asciiTheme="minorHAnsi" w:hAnsiTheme="minorHAnsi" w:cs="Arial"/>
          <w:b w:val="0"/>
          <w:sz w:val="22"/>
          <w:szCs w:val="24"/>
        </w:rPr>
        <w:fldChar w:fldCharType="begin"/>
      </w:r>
      <w:r w:rsidR="0035493A" w:rsidRPr="00A26CD2">
        <w:rPr>
          <w:rFonts w:asciiTheme="minorHAnsi" w:hAnsiTheme="minorHAnsi" w:cs="Arial"/>
          <w:b w:val="0"/>
          <w:sz w:val="22"/>
          <w:szCs w:val="24"/>
        </w:rPr>
        <w:instrText xml:space="preserve"> TOC \o "1-2" \t "ATA Heading 2,2" </w:instrText>
      </w:r>
      <w:r w:rsidRPr="00A26CD2">
        <w:rPr>
          <w:rFonts w:asciiTheme="minorHAnsi" w:hAnsiTheme="minorHAnsi" w:cs="Arial"/>
          <w:b w:val="0"/>
          <w:sz w:val="22"/>
          <w:szCs w:val="24"/>
        </w:rPr>
        <w:fldChar w:fldCharType="separate"/>
      </w:r>
      <w:r w:rsidR="00F76AF2" w:rsidRPr="00970586">
        <w:rPr>
          <w:rFonts w:asciiTheme="minorHAnsi" w:hAnsiTheme="minorHAnsi"/>
        </w:rPr>
        <w:t>1.</w:t>
      </w:r>
      <w:r w:rsidR="00F76AF2">
        <w:rPr>
          <w:rFonts w:asciiTheme="minorHAnsi" w:eastAsiaTheme="minorEastAsia" w:hAnsiTheme="minorHAnsi" w:cstheme="minorBidi"/>
          <w:b w:val="0"/>
          <w:color w:val="auto"/>
          <w:sz w:val="22"/>
          <w:szCs w:val="22"/>
          <w:lang w:eastAsia="en-AU"/>
        </w:rPr>
        <w:tab/>
      </w:r>
      <w:r w:rsidR="00F76AF2" w:rsidRPr="00970586">
        <w:rPr>
          <w:rFonts w:asciiTheme="minorHAnsi" w:hAnsiTheme="minorHAnsi"/>
        </w:rPr>
        <w:t>About the Australian Trucking Association</w:t>
      </w:r>
      <w:r w:rsidR="00F76AF2">
        <w:tab/>
      </w:r>
      <w:r w:rsidR="00F76AF2">
        <w:fldChar w:fldCharType="begin"/>
      </w:r>
      <w:r w:rsidR="00F76AF2">
        <w:instrText xml:space="preserve"> PAGEREF _Toc391627966 \h </w:instrText>
      </w:r>
      <w:r w:rsidR="00F76AF2">
        <w:fldChar w:fldCharType="separate"/>
      </w:r>
      <w:r w:rsidR="00D80545">
        <w:t>3</w:t>
      </w:r>
      <w:r w:rsidR="00F76AF2">
        <w:fldChar w:fldCharType="end"/>
      </w:r>
    </w:p>
    <w:p w:rsidR="00F76AF2" w:rsidRDefault="00F76AF2">
      <w:pPr>
        <w:pStyle w:val="TOC1"/>
        <w:rPr>
          <w:rFonts w:asciiTheme="minorHAnsi" w:eastAsiaTheme="minorEastAsia" w:hAnsiTheme="minorHAnsi" w:cstheme="minorBidi"/>
          <w:b w:val="0"/>
          <w:color w:val="auto"/>
          <w:sz w:val="22"/>
          <w:szCs w:val="22"/>
          <w:lang w:eastAsia="en-AU"/>
        </w:rPr>
      </w:pPr>
      <w:r w:rsidRPr="00970586">
        <w:rPr>
          <w:rFonts w:asciiTheme="minorHAnsi" w:hAnsiTheme="minorHAnsi"/>
        </w:rPr>
        <w:t>2.</w:t>
      </w:r>
      <w:r>
        <w:rPr>
          <w:rFonts w:asciiTheme="minorHAnsi" w:eastAsiaTheme="minorEastAsia" w:hAnsiTheme="minorHAnsi" w:cstheme="minorBidi"/>
          <w:b w:val="0"/>
          <w:color w:val="auto"/>
          <w:sz w:val="22"/>
          <w:szCs w:val="22"/>
          <w:lang w:eastAsia="en-AU"/>
        </w:rPr>
        <w:tab/>
      </w:r>
      <w:r w:rsidRPr="00970586">
        <w:rPr>
          <w:rFonts w:asciiTheme="minorHAnsi" w:hAnsiTheme="minorHAnsi"/>
        </w:rPr>
        <w:t>Recommendation</w:t>
      </w:r>
      <w:r>
        <w:tab/>
      </w:r>
      <w:r>
        <w:fldChar w:fldCharType="begin"/>
      </w:r>
      <w:r>
        <w:instrText xml:space="preserve"> PAGEREF _Toc391627967 \h </w:instrText>
      </w:r>
      <w:r>
        <w:fldChar w:fldCharType="separate"/>
      </w:r>
      <w:r w:rsidR="00D80545">
        <w:t>3</w:t>
      </w:r>
      <w:r>
        <w:fldChar w:fldCharType="end"/>
      </w:r>
    </w:p>
    <w:p w:rsidR="00F76AF2" w:rsidRDefault="00F76AF2">
      <w:pPr>
        <w:pStyle w:val="TOC1"/>
        <w:rPr>
          <w:rFonts w:asciiTheme="minorHAnsi" w:eastAsiaTheme="minorEastAsia" w:hAnsiTheme="minorHAnsi" w:cstheme="minorBidi"/>
          <w:b w:val="0"/>
          <w:color w:val="auto"/>
          <w:sz w:val="22"/>
          <w:szCs w:val="22"/>
          <w:lang w:eastAsia="en-AU"/>
        </w:rPr>
      </w:pPr>
      <w:r w:rsidRPr="00970586">
        <w:rPr>
          <w:rFonts w:asciiTheme="minorHAnsi" w:hAnsiTheme="minorHAnsi"/>
        </w:rPr>
        <w:t>3.</w:t>
      </w:r>
      <w:r>
        <w:rPr>
          <w:rFonts w:asciiTheme="minorHAnsi" w:eastAsiaTheme="minorEastAsia" w:hAnsiTheme="minorHAnsi" w:cstheme="minorBidi"/>
          <w:b w:val="0"/>
          <w:color w:val="auto"/>
          <w:sz w:val="22"/>
          <w:szCs w:val="22"/>
          <w:lang w:eastAsia="en-AU"/>
        </w:rPr>
        <w:tab/>
      </w:r>
      <w:r w:rsidRPr="00970586">
        <w:rPr>
          <w:rFonts w:asciiTheme="minorHAnsi" w:hAnsiTheme="minorHAnsi"/>
        </w:rPr>
        <w:t>Introduction</w:t>
      </w:r>
      <w:r>
        <w:tab/>
      </w:r>
      <w:r>
        <w:fldChar w:fldCharType="begin"/>
      </w:r>
      <w:r>
        <w:instrText xml:space="preserve"> PAGEREF _Toc391627968 \h </w:instrText>
      </w:r>
      <w:r>
        <w:fldChar w:fldCharType="separate"/>
      </w:r>
      <w:r w:rsidR="00D80545">
        <w:t>3</w:t>
      </w:r>
      <w:r>
        <w:fldChar w:fldCharType="end"/>
      </w:r>
    </w:p>
    <w:p w:rsidR="00F76AF2" w:rsidRDefault="00F76AF2">
      <w:pPr>
        <w:pStyle w:val="TOC1"/>
        <w:rPr>
          <w:rFonts w:asciiTheme="minorHAnsi" w:eastAsiaTheme="minorEastAsia" w:hAnsiTheme="minorHAnsi" w:cstheme="minorBidi"/>
          <w:b w:val="0"/>
          <w:color w:val="auto"/>
          <w:sz w:val="22"/>
          <w:szCs w:val="22"/>
          <w:lang w:eastAsia="en-AU"/>
        </w:rPr>
      </w:pPr>
      <w:r w:rsidRPr="00970586">
        <w:rPr>
          <w:rFonts w:asciiTheme="minorHAnsi" w:hAnsiTheme="minorHAnsi"/>
        </w:rPr>
        <w:t>4.</w:t>
      </w:r>
      <w:r>
        <w:rPr>
          <w:rFonts w:asciiTheme="minorHAnsi" w:eastAsiaTheme="minorEastAsia" w:hAnsiTheme="minorHAnsi" w:cstheme="minorBidi"/>
          <w:b w:val="0"/>
          <w:color w:val="auto"/>
          <w:sz w:val="22"/>
          <w:szCs w:val="22"/>
          <w:lang w:eastAsia="en-AU"/>
        </w:rPr>
        <w:tab/>
      </w:r>
      <w:r w:rsidRPr="00970586">
        <w:rPr>
          <w:rFonts w:asciiTheme="minorHAnsi" w:hAnsiTheme="minorHAnsi"/>
        </w:rPr>
        <w:t>Issues with fuel tax indexation</w:t>
      </w:r>
      <w:r>
        <w:tab/>
      </w:r>
      <w:r>
        <w:fldChar w:fldCharType="begin"/>
      </w:r>
      <w:r>
        <w:instrText xml:space="preserve"> PAGEREF _Toc391627969 \h </w:instrText>
      </w:r>
      <w:r>
        <w:fldChar w:fldCharType="separate"/>
      </w:r>
      <w:r w:rsidR="00D80545">
        <w:t>4</w:t>
      </w:r>
      <w:r>
        <w:fldChar w:fldCharType="end"/>
      </w:r>
    </w:p>
    <w:p w:rsidR="00F76AF2" w:rsidRDefault="00F76AF2">
      <w:pPr>
        <w:pStyle w:val="TOC1"/>
        <w:rPr>
          <w:rFonts w:asciiTheme="minorHAnsi" w:eastAsiaTheme="minorEastAsia" w:hAnsiTheme="minorHAnsi" w:cstheme="minorBidi"/>
          <w:b w:val="0"/>
          <w:color w:val="auto"/>
          <w:sz w:val="22"/>
          <w:szCs w:val="22"/>
          <w:lang w:eastAsia="en-AU"/>
        </w:rPr>
      </w:pPr>
      <w:r w:rsidRPr="00970586">
        <w:rPr>
          <w:rFonts w:asciiTheme="minorHAnsi" w:hAnsiTheme="minorHAnsi"/>
        </w:rPr>
        <w:t>4.1</w:t>
      </w:r>
      <w:r>
        <w:rPr>
          <w:rFonts w:asciiTheme="minorHAnsi" w:eastAsiaTheme="minorEastAsia" w:hAnsiTheme="minorHAnsi" w:cstheme="minorBidi"/>
          <w:b w:val="0"/>
          <w:color w:val="auto"/>
          <w:sz w:val="22"/>
          <w:szCs w:val="22"/>
          <w:lang w:eastAsia="en-AU"/>
        </w:rPr>
        <w:tab/>
      </w:r>
      <w:r w:rsidRPr="00970586">
        <w:rPr>
          <w:rFonts w:asciiTheme="minorHAnsi" w:hAnsiTheme="minorHAnsi"/>
        </w:rPr>
        <w:t>Impact on quarterly BAS payers</w:t>
      </w:r>
      <w:r>
        <w:tab/>
      </w:r>
      <w:r>
        <w:fldChar w:fldCharType="begin"/>
      </w:r>
      <w:r>
        <w:instrText xml:space="preserve"> PAGEREF _Toc391627970 \h </w:instrText>
      </w:r>
      <w:r>
        <w:fldChar w:fldCharType="separate"/>
      </w:r>
      <w:r w:rsidR="00D80545">
        <w:t>4</w:t>
      </w:r>
      <w:r>
        <w:fldChar w:fldCharType="end"/>
      </w:r>
    </w:p>
    <w:p w:rsidR="00F76AF2" w:rsidRDefault="00F76AF2">
      <w:pPr>
        <w:pStyle w:val="TOC1"/>
        <w:rPr>
          <w:rFonts w:asciiTheme="minorHAnsi" w:eastAsiaTheme="minorEastAsia" w:hAnsiTheme="minorHAnsi" w:cstheme="minorBidi"/>
          <w:b w:val="0"/>
          <w:color w:val="auto"/>
          <w:sz w:val="22"/>
          <w:szCs w:val="22"/>
          <w:lang w:eastAsia="en-AU"/>
        </w:rPr>
      </w:pPr>
      <w:r w:rsidRPr="00970586">
        <w:rPr>
          <w:rFonts w:asciiTheme="minorHAnsi" w:hAnsiTheme="minorHAnsi"/>
        </w:rPr>
        <w:t>4.2</w:t>
      </w:r>
      <w:r>
        <w:rPr>
          <w:rFonts w:asciiTheme="minorHAnsi" w:eastAsiaTheme="minorEastAsia" w:hAnsiTheme="minorHAnsi" w:cstheme="minorBidi"/>
          <w:b w:val="0"/>
          <w:color w:val="auto"/>
          <w:sz w:val="22"/>
          <w:szCs w:val="22"/>
          <w:lang w:eastAsia="en-AU"/>
        </w:rPr>
        <w:tab/>
      </w:r>
      <w:r w:rsidRPr="00970586">
        <w:rPr>
          <w:rFonts w:asciiTheme="minorHAnsi" w:hAnsiTheme="minorHAnsi"/>
        </w:rPr>
        <w:t>Reducing the number of fuel tax credit adjustments in a year</w:t>
      </w:r>
      <w:r>
        <w:tab/>
      </w:r>
      <w:r>
        <w:fldChar w:fldCharType="begin"/>
      </w:r>
      <w:r>
        <w:instrText xml:space="preserve"> PAGEREF _Toc391627971 \h </w:instrText>
      </w:r>
      <w:r>
        <w:fldChar w:fldCharType="separate"/>
      </w:r>
      <w:r w:rsidR="00D80545">
        <w:t>4</w:t>
      </w:r>
      <w:r>
        <w:fldChar w:fldCharType="end"/>
      </w:r>
    </w:p>
    <w:p w:rsidR="00F76AF2" w:rsidRDefault="00F76AF2">
      <w:pPr>
        <w:pStyle w:val="TOC1"/>
        <w:rPr>
          <w:rFonts w:asciiTheme="minorHAnsi" w:eastAsiaTheme="minorEastAsia" w:hAnsiTheme="minorHAnsi" w:cstheme="minorBidi"/>
          <w:b w:val="0"/>
          <w:color w:val="auto"/>
          <w:sz w:val="22"/>
          <w:szCs w:val="22"/>
          <w:lang w:eastAsia="en-AU"/>
        </w:rPr>
      </w:pPr>
      <w:r w:rsidRPr="00970586">
        <w:rPr>
          <w:rFonts w:asciiTheme="minorHAnsi" w:hAnsiTheme="minorHAnsi"/>
        </w:rPr>
        <w:t>5.</w:t>
      </w:r>
      <w:r>
        <w:rPr>
          <w:rFonts w:asciiTheme="minorHAnsi" w:eastAsiaTheme="minorEastAsia" w:hAnsiTheme="minorHAnsi" w:cstheme="minorBidi"/>
          <w:b w:val="0"/>
          <w:color w:val="auto"/>
          <w:sz w:val="22"/>
          <w:szCs w:val="22"/>
          <w:lang w:eastAsia="en-AU"/>
        </w:rPr>
        <w:tab/>
      </w:r>
      <w:r w:rsidRPr="00970586">
        <w:rPr>
          <w:rFonts w:asciiTheme="minorHAnsi" w:hAnsiTheme="minorHAnsi"/>
        </w:rPr>
        <w:t>How the Bill addresses these issues</w:t>
      </w:r>
      <w:r>
        <w:tab/>
      </w:r>
      <w:r>
        <w:fldChar w:fldCharType="begin"/>
      </w:r>
      <w:r>
        <w:instrText xml:space="preserve"> PAGEREF _Toc391627972 \h </w:instrText>
      </w:r>
      <w:r>
        <w:fldChar w:fldCharType="separate"/>
      </w:r>
      <w:r w:rsidR="00D80545">
        <w:t>5</w:t>
      </w:r>
      <w:r>
        <w:fldChar w:fldCharType="end"/>
      </w:r>
    </w:p>
    <w:p w:rsidR="00576ED0" w:rsidRPr="00A26CD2" w:rsidRDefault="0004142E" w:rsidP="00A26CD2">
      <w:pPr>
        <w:tabs>
          <w:tab w:val="right" w:leader="dot" w:pos="9645"/>
        </w:tabs>
        <w:jc w:val="both"/>
        <w:rPr>
          <w:rFonts w:asciiTheme="minorHAnsi" w:hAnsiTheme="minorHAnsi" w:cs="Arial"/>
          <w:sz w:val="20"/>
          <w:szCs w:val="20"/>
        </w:rPr>
      </w:pPr>
      <w:r w:rsidRPr="00A26CD2">
        <w:rPr>
          <w:rFonts w:asciiTheme="minorHAnsi" w:hAnsiTheme="minorHAnsi" w:cs="Arial"/>
          <w:szCs w:val="24"/>
        </w:rPr>
        <w:fldChar w:fldCharType="end"/>
      </w:r>
      <w:r w:rsidR="00576ED0" w:rsidRPr="00A26CD2">
        <w:rPr>
          <w:rFonts w:asciiTheme="minorHAnsi" w:hAnsiTheme="minorHAnsi" w:cs="Arial"/>
          <w:sz w:val="20"/>
          <w:szCs w:val="20"/>
        </w:rPr>
        <w:br w:type="page"/>
      </w:r>
    </w:p>
    <w:p w:rsidR="00F544FD" w:rsidRPr="00A26CD2" w:rsidRDefault="00F544FD" w:rsidP="00F544FD">
      <w:pPr>
        <w:pStyle w:val="Heading1"/>
        <w:jc w:val="both"/>
        <w:rPr>
          <w:rFonts w:asciiTheme="minorHAnsi" w:hAnsiTheme="minorHAnsi"/>
          <w:szCs w:val="20"/>
        </w:rPr>
      </w:pPr>
      <w:bookmarkStart w:id="1" w:name="_Toc391627966"/>
      <w:r>
        <w:rPr>
          <w:rFonts w:asciiTheme="minorHAnsi" w:hAnsiTheme="minorHAnsi"/>
          <w:szCs w:val="20"/>
        </w:rPr>
        <w:lastRenderedPageBreak/>
        <w:t xml:space="preserve">About the </w:t>
      </w:r>
      <w:r w:rsidRPr="00A26CD2">
        <w:rPr>
          <w:rFonts w:asciiTheme="minorHAnsi" w:hAnsiTheme="minorHAnsi"/>
          <w:szCs w:val="20"/>
        </w:rPr>
        <w:t>Australian Trucking Association</w:t>
      </w:r>
      <w:bookmarkEnd w:id="1"/>
      <w:r w:rsidRPr="00A26CD2">
        <w:rPr>
          <w:rFonts w:asciiTheme="minorHAnsi" w:hAnsiTheme="minorHAnsi"/>
          <w:szCs w:val="20"/>
        </w:rPr>
        <w:t xml:space="preserve">  </w:t>
      </w:r>
    </w:p>
    <w:p w:rsidR="00F544FD" w:rsidRPr="00A26CD2" w:rsidRDefault="00F544FD" w:rsidP="00F544FD">
      <w:pPr>
        <w:pStyle w:val="BodyText2"/>
        <w:jc w:val="both"/>
        <w:rPr>
          <w:rFonts w:asciiTheme="minorHAnsi" w:hAnsiTheme="minorHAnsi"/>
          <w:b w:val="0"/>
          <w:sz w:val="20"/>
        </w:rPr>
      </w:pPr>
    </w:p>
    <w:p w:rsidR="00F544FD" w:rsidRDefault="00F544FD" w:rsidP="00F544FD">
      <w:pPr>
        <w:pStyle w:val="BodyText2"/>
        <w:spacing w:line="269" w:lineRule="auto"/>
        <w:rPr>
          <w:rFonts w:asciiTheme="minorHAnsi" w:eastAsia="Calibri" w:hAnsiTheme="minorHAnsi"/>
          <w:b w:val="0"/>
          <w:bCs w:val="0"/>
          <w:sz w:val="20"/>
        </w:rPr>
      </w:pPr>
      <w:r w:rsidRPr="00A26CD2">
        <w:rPr>
          <w:rFonts w:asciiTheme="minorHAnsi" w:eastAsia="Calibri" w:hAnsiTheme="minorHAnsi"/>
          <w:b w:val="0"/>
          <w:bCs w:val="0"/>
          <w:sz w:val="20"/>
        </w:rPr>
        <w:t>The Australian Trucking Association (ATA) is the peak body that represents the trucking industry. Its members include state and sector based trucking associations, some of the nation’s la</w:t>
      </w:r>
      <w:r w:rsidR="007C0B37">
        <w:rPr>
          <w:rFonts w:asciiTheme="minorHAnsi" w:eastAsia="Calibri" w:hAnsiTheme="minorHAnsi"/>
          <w:b w:val="0"/>
          <w:bCs w:val="0"/>
          <w:sz w:val="20"/>
        </w:rPr>
        <w:t>rgest transport companies</w:t>
      </w:r>
      <w:r w:rsidRPr="00A26CD2">
        <w:rPr>
          <w:rFonts w:asciiTheme="minorHAnsi" w:eastAsia="Calibri" w:hAnsiTheme="minorHAnsi"/>
          <w:b w:val="0"/>
          <w:bCs w:val="0"/>
          <w:sz w:val="20"/>
        </w:rPr>
        <w:t xml:space="preserve"> and businesses with leading expertise in truck technology. </w:t>
      </w:r>
    </w:p>
    <w:p w:rsidR="00F544FD" w:rsidRDefault="00F544FD" w:rsidP="00F544FD">
      <w:pPr>
        <w:jc w:val="both"/>
        <w:rPr>
          <w:rFonts w:asciiTheme="minorHAnsi" w:eastAsia="Times New Roman" w:hAnsiTheme="minorHAnsi" w:cs="Arial"/>
          <w:bCs/>
          <w:sz w:val="20"/>
          <w:szCs w:val="20"/>
        </w:rPr>
      </w:pPr>
    </w:p>
    <w:p w:rsidR="00F544FD" w:rsidRPr="00A26CD2" w:rsidRDefault="00F544FD" w:rsidP="00F544FD">
      <w:pPr>
        <w:jc w:val="both"/>
        <w:rPr>
          <w:rFonts w:asciiTheme="minorHAnsi" w:eastAsia="Times New Roman" w:hAnsiTheme="minorHAnsi" w:cs="Arial"/>
          <w:bCs/>
          <w:sz w:val="20"/>
          <w:szCs w:val="20"/>
        </w:rPr>
      </w:pPr>
    </w:p>
    <w:p w:rsidR="00F544FD" w:rsidRPr="00A26CD2" w:rsidRDefault="00F544FD" w:rsidP="00F544FD">
      <w:pPr>
        <w:pStyle w:val="Heading1"/>
        <w:keepNext/>
        <w:jc w:val="both"/>
        <w:rPr>
          <w:rFonts w:asciiTheme="minorHAnsi" w:hAnsiTheme="minorHAnsi"/>
          <w:szCs w:val="20"/>
        </w:rPr>
      </w:pPr>
      <w:bookmarkStart w:id="2" w:name="_Toc391627967"/>
      <w:r w:rsidRPr="00A26CD2">
        <w:rPr>
          <w:rFonts w:asciiTheme="minorHAnsi" w:hAnsiTheme="minorHAnsi"/>
          <w:szCs w:val="20"/>
        </w:rPr>
        <w:t>Recommendation</w:t>
      </w:r>
      <w:bookmarkEnd w:id="2"/>
      <w:r w:rsidRPr="00A26CD2">
        <w:rPr>
          <w:rFonts w:asciiTheme="minorHAnsi" w:hAnsiTheme="minorHAnsi"/>
          <w:noProof/>
          <w:color w:val="000000" w:themeColor="text1"/>
          <w:szCs w:val="20"/>
        </w:rPr>
        <w:t xml:space="preserve"> </w:t>
      </w:r>
    </w:p>
    <w:p w:rsidR="00F544FD" w:rsidRPr="00A26CD2" w:rsidRDefault="00F544FD" w:rsidP="00F544FD">
      <w:pPr>
        <w:keepNext/>
        <w:autoSpaceDE w:val="0"/>
        <w:autoSpaceDN w:val="0"/>
        <w:adjustRightInd w:val="0"/>
        <w:rPr>
          <w:rFonts w:asciiTheme="minorHAnsi" w:hAnsiTheme="minorHAnsi" w:cs="Arial"/>
          <w:b/>
          <w:sz w:val="20"/>
          <w:szCs w:val="20"/>
          <w:highlight w:val="white"/>
          <w:lang w:eastAsia="en-AU"/>
        </w:rPr>
      </w:pPr>
    </w:p>
    <w:p w:rsidR="00F544FD" w:rsidRPr="00A26CD2" w:rsidRDefault="00F544FD" w:rsidP="00F544FD">
      <w:pPr>
        <w:keepNext/>
        <w:autoSpaceDE w:val="0"/>
        <w:autoSpaceDN w:val="0"/>
        <w:adjustRightInd w:val="0"/>
        <w:rPr>
          <w:rFonts w:asciiTheme="minorHAnsi" w:hAnsiTheme="minorHAnsi" w:cs="Arial"/>
          <w:sz w:val="20"/>
          <w:szCs w:val="20"/>
          <w:highlight w:val="white"/>
          <w:lang w:eastAsia="en-AU"/>
        </w:rPr>
      </w:pPr>
      <w:r w:rsidRPr="00A26CD2">
        <w:rPr>
          <w:rFonts w:asciiTheme="minorHAnsi" w:hAnsiTheme="minorHAnsi" w:cs="Arial"/>
          <w:sz w:val="20"/>
          <w:szCs w:val="20"/>
          <w:highlight w:val="white"/>
          <w:lang w:eastAsia="en-AU"/>
        </w:rPr>
        <w:t xml:space="preserve">The Senate should pass schedule 4 of the </w:t>
      </w:r>
      <w:r w:rsidRPr="007C0B37">
        <w:rPr>
          <w:rFonts w:asciiTheme="minorHAnsi" w:hAnsiTheme="minorHAnsi" w:cs="Arial"/>
          <w:sz w:val="20"/>
          <w:szCs w:val="20"/>
          <w:highlight w:val="white"/>
          <w:lang w:eastAsia="en-AU"/>
        </w:rPr>
        <w:t>Fuel Indexation (Road Funding) Bill 2014</w:t>
      </w:r>
      <w:r>
        <w:rPr>
          <w:rFonts w:asciiTheme="minorHAnsi" w:hAnsiTheme="minorHAnsi" w:cs="Arial"/>
          <w:sz w:val="20"/>
          <w:szCs w:val="20"/>
          <w:highlight w:val="white"/>
          <w:lang w:eastAsia="en-AU"/>
        </w:rPr>
        <w:t xml:space="preserve"> </w:t>
      </w:r>
      <w:r w:rsidRPr="00A26CD2">
        <w:rPr>
          <w:rFonts w:asciiTheme="minorHAnsi" w:hAnsiTheme="minorHAnsi" w:cs="Arial"/>
          <w:sz w:val="20"/>
          <w:szCs w:val="20"/>
          <w:highlight w:val="white"/>
          <w:lang w:eastAsia="en-AU"/>
        </w:rPr>
        <w:t xml:space="preserve">as introduced. </w:t>
      </w:r>
    </w:p>
    <w:p w:rsidR="00F544FD" w:rsidRPr="00F544FD" w:rsidRDefault="00F544FD" w:rsidP="00F544FD">
      <w:pPr>
        <w:pStyle w:val="Heading1"/>
        <w:numPr>
          <w:ilvl w:val="0"/>
          <w:numId w:val="0"/>
        </w:numPr>
        <w:ind w:left="502"/>
        <w:jc w:val="both"/>
        <w:rPr>
          <w:rFonts w:asciiTheme="minorHAnsi" w:hAnsiTheme="minorHAnsi"/>
          <w:sz w:val="20"/>
          <w:szCs w:val="20"/>
        </w:rPr>
      </w:pPr>
    </w:p>
    <w:p w:rsidR="00F544FD" w:rsidRPr="00F544FD" w:rsidRDefault="00F544FD" w:rsidP="00F544FD">
      <w:pPr>
        <w:pStyle w:val="Heading1"/>
        <w:numPr>
          <w:ilvl w:val="0"/>
          <w:numId w:val="0"/>
        </w:numPr>
        <w:ind w:left="502"/>
        <w:jc w:val="both"/>
        <w:rPr>
          <w:rFonts w:asciiTheme="minorHAnsi" w:hAnsiTheme="minorHAnsi"/>
          <w:sz w:val="20"/>
          <w:szCs w:val="20"/>
        </w:rPr>
      </w:pPr>
    </w:p>
    <w:p w:rsidR="00576ED0" w:rsidRPr="00A26CD2" w:rsidRDefault="00576ED0" w:rsidP="001025C9">
      <w:pPr>
        <w:pStyle w:val="Heading1"/>
        <w:jc w:val="both"/>
        <w:rPr>
          <w:rFonts w:asciiTheme="minorHAnsi" w:hAnsiTheme="minorHAnsi"/>
          <w:szCs w:val="20"/>
        </w:rPr>
      </w:pPr>
      <w:bookmarkStart w:id="3" w:name="_Toc391627968"/>
      <w:r w:rsidRPr="00A26CD2">
        <w:rPr>
          <w:rFonts w:asciiTheme="minorHAnsi" w:hAnsiTheme="minorHAnsi"/>
          <w:szCs w:val="20"/>
        </w:rPr>
        <w:t>Introduction</w:t>
      </w:r>
      <w:bookmarkEnd w:id="3"/>
    </w:p>
    <w:p w:rsidR="00A54132" w:rsidRPr="00A26CD2" w:rsidRDefault="00A54132" w:rsidP="00A54132">
      <w:pPr>
        <w:rPr>
          <w:rFonts w:asciiTheme="minorHAnsi" w:eastAsiaTheme="minorHAnsi" w:hAnsiTheme="minorHAnsi" w:cstheme="minorBidi"/>
          <w:sz w:val="20"/>
          <w:szCs w:val="20"/>
        </w:rPr>
      </w:pPr>
    </w:p>
    <w:p w:rsidR="009445FD" w:rsidRDefault="009445FD" w:rsidP="00A54132">
      <w:pPr>
        <w:rPr>
          <w:rFonts w:asciiTheme="minorHAnsi" w:eastAsiaTheme="minorHAnsi" w:hAnsiTheme="minorHAnsi" w:cstheme="minorBidi"/>
          <w:sz w:val="20"/>
          <w:szCs w:val="20"/>
        </w:rPr>
      </w:pPr>
      <w:r w:rsidRPr="003C0A38">
        <w:rPr>
          <w:rFonts w:asciiTheme="minorHAnsi" w:eastAsiaTheme="minorHAnsi" w:hAnsiTheme="minorHAnsi" w:cstheme="minorBidi"/>
          <w:sz w:val="20"/>
          <w:szCs w:val="20"/>
        </w:rPr>
        <w:t>The Excise Tariff Amendment (Fuel Indexation) Bill 2014, the Customs Tariff Amendment (Fuel Indexation) Bill 2014, the Fuel Indexation (Road Funding) Special Account Bill 2014 and the Fuel Indexation (Road Funding) Bill 2014</w:t>
      </w:r>
      <w:r>
        <w:rPr>
          <w:rFonts w:asciiTheme="minorHAnsi" w:eastAsiaTheme="minorHAnsi" w:hAnsiTheme="minorHAnsi" w:cstheme="minorBidi"/>
          <w:sz w:val="20"/>
          <w:szCs w:val="20"/>
        </w:rPr>
        <w:t xml:space="preserve"> </w:t>
      </w:r>
      <w:r w:rsidR="003C0A38">
        <w:rPr>
          <w:rFonts w:asciiTheme="minorHAnsi" w:eastAsiaTheme="minorHAnsi" w:hAnsiTheme="minorHAnsi" w:cstheme="minorBidi"/>
          <w:sz w:val="20"/>
          <w:szCs w:val="20"/>
        </w:rPr>
        <w:t xml:space="preserve">would, </w:t>
      </w:r>
      <w:r>
        <w:rPr>
          <w:rFonts w:asciiTheme="minorHAnsi" w:eastAsiaTheme="minorHAnsi" w:hAnsiTheme="minorHAnsi" w:cstheme="minorBidi"/>
          <w:sz w:val="20"/>
          <w:szCs w:val="20"/>
        </w:rPr>
        <w:t xml:space="preserve">if passed, implement the Australian Government’s budget decision to reintroduce fuel tax indexation. </w:t>
      </w:r>
    </w:p>
    <w:p w:rsidR="007C0B37" w:rsidRDefault="007C0B37" w:rsidP="00A54132">
      <w:pPr>
        <w:rPr>
          <w:rFonts w:asciiTheme="minorHAnsi" w:eastAsiaTheme="minorHAnsi" w:hAnsiTheme="minorHAnsi" w:cstheme="minorBidi"/>
          <w:sz w:val="20"/>
          <w:szCs w:val="20"/>
        </w:rPr>
      </w:pPr>
    </w:p>
    <w:p w:rsidR="007C0B37" w:rsidRDefault="007C0B37" w:rsidP="007C0B37">
      <w:pPr>
        <w:rPr>
          <w:rFonts w:asciiTheme="minorHAnsi" w:eastAsiaTheme="minorHAnsi" w:hAnsiTheme="minorHAnsi" w:cstheme="minorBidi"/>
          <w:sz w:val="20"/>
          <w:szCs w:val="20"/>
        </w:rPr>
      </w:pPr>
      <w:r>
        <w:rPr>
          <w:rFonts w:asciiTheme="minorHAnsi" w:eastAsiaTheme="minorHAnsi" w:hAnsiTheme="minorHAnsi" w:cstheme="minorBidi"/>
          <w:sz w:val="20"/>
          <w:szCs w:val="20"/>
        </w:rPr>
        <w:t>The bills would also:</w:t>
      </w:r>
    </w:p>
    <w:p w:rsidR="007C0B37" w:rsidRDefault="007C0B37" w:rsidP="007C0B37">
      <w:pPr>
        <w:rPr>
          <w:rFonts w:asciiTheme="minorHAnsi" w:eastAsiaTheme="minorHAnsi" w:hAnsiTheme="minorHAnsi" w:cstheme="minorBidi"/>
          <w:sz w:val="20"/>
          <w:szCs w:val="20"/>
        </w:rPr>
      </w:pPr>
    </w:p>
    <w:p w:rsidR="007C0B37" w:rsidRPr="007C0B37" w:rsidRDefault="007C0B37" w:rsidP="007C0B37">
      <w:pPr>
        <w:pStyle w:val="ListParagraph"/>
        <w:numPr>
          <w:ilvl w:val="0"/>
          <w:numId w:val="24"/>
        </w:numPr>
        <w:spacing w:after="0" w:line="240" w:lineRule="auto"/>
        <w:rPr>
          <w:rFonts w:asciiTheme="minorHAnsi" w:eastAsiaTheme="minorHAnsi" w:hAnsiTheme="minorHAnsi" w:cstheme="minorBidi"/>
          <w:sz w:val="20"/>
          <w:szCs w:val="20"/>
        </w:rPr>
      </w:pPr>
      <w:r w:rsidRPr="007C0B37">
        <w:rPr>
          <w:rFonts w:asciiTheme="minorHAnsi" w:eastAsiaTheme="minorHAnsi" w:hAnsiTheme="minorHAnsi" w:cstheme="minorBidi"/>
          <w:sz w:val="20"/>
          <w:szCs w:val="20"/>
        </w:rPr>
        <w:t>establish a special account to ensure that the net revenue raised from the reintroduction of fuel tax indexation is spent on roads</w:t>
      </w:r>
      <w:r>
        <w:rPr>
          <w:rStyle w:val="FootnoteReference"/>
          <w:rFonts w:asciiTheme="minorHAnsi" w:eastAsiaTheme="minorHAnsi" w:hAnsiTheme="minorHAnsi"/>
          <w:sz w:val="20"/>
          <w:szCs w:val="20"/>
        </w:rPr>
        <w:footnoteReference w:id="1"/>
      </w:r>
    </w:p>
    <w:p w:rsidR="007C0B37" w:rsidRDefault="007C0B37" w:rsidP="007C0B37">
      <w:pPr>
        <w:pStyle w:val="ListParagraph"/>
        <w:numPr>
          <w:ilvl w:val="0"/>
          <w:numId w:val="24"/>
        </w:numPr>
        <w:spacing w:after="0" w:line="240" w:lineRule="auto"/>
        <w:rPr>
          <w:rFonts w:asciiTheme="minorHAnsi" w:eastAsiaTheme="minorHAnsi" w:hAnsiTheme="minorHAnsi" w:cstheme="minorBidi"/>
          <w:sz w:val="20"/>
          <w:szCs w:val="20"/>
        </w:rPr>
      </w:pPr>
      <w:proofErr w:type="gramStart"/>
      <w:r w:rsidRPr="007C0B37">
        <w:rPr>
          <w:rFonts w:asciiTheme="minorHAnsi" w:eastAsiaTheme="minorHAnsi" w:hAnsiTheme="minorHAnsi" w:cstheme="minorBidi"/>
          <w:sz w:val="20"/>
          <w:szCs w:val="20"/>
        </w:rPr>
        <w:t>round</w:t>
      </w:r>
      <w:proofErr w:type="gramEnd"/>
      <w:r w:rsidRPr="007C0B37">
        <w:rPr>
          <w:rFonts w:asciiTheme="minorHAnsi" w:eastAsiaTheme="minorHAnsi" w:hAnsiTheme="minorHAnsi" w:cstheme="minorBidi"/>
          <w:sz w:val="20"/>
          <w:szCs w:val="20"/>
        </w:rPr>
        <w:t xml:space="preserve"> the fuel tax and road user charge rates to one decimal place in cents to simplify fuel tax credit calculations. </w:t>
      </w:r>
      <w:r w:rsidR="00592D33">
        <w:rPr>
          <w:rFonts w:asciiTheme="minorHAnsi" w:eastAsiaTheme="minorHAnsi" w:hAnsiTheme="minorHAnsi" w:cstheme="minorBidi"/>
          <w:sz w:val="20"/>
          <w:szCs w:val="20"/>
        </w:rPr>
        <w:t>I</w:t>
      </w:r>
      <w:r w:rsidRPr="007C0B37">
        <w:rPr>
          <w:rFonts w:asciiTheme="minorHAnsi" w:eastAsiaTheme="minorHAnsi" w:hAnsiTheme="minorHAnsi" w:cstheme="minorBidi"/>
          <w:sz w:val="20"/>
          <w:szCs w:val="20"/>
        </w:rPr>
        <w:t xml:space="preserve">ndexation calculations would </w:t>
      </w:r>
      <w:r w:rsidR="00592D33">
        <w:rPr>
          <w:rFonts w:asciiTheme="minorHAnsi" w:eastAsiaTheme="minorHAnsi" w:hAnsiTheme="minorHAnsi" w:cstheme="minorBidi"/>
          <w:sz w:val="20"/>
          <w:szCs w:val="20"/>
        </w:rPr>
        <w:t xml:space="preserve">nonetheless </w:t>
      </w:r>
      <w:r w:rsidRPr="007C0B37">
        <w:rPr>
          <w:rFonts w:asciiTheme="minorHAnsi" w:eastAsiaTheme="minorHAnsi" w:hAnsiTheme="minorHAnsi" w:cstheme="minorBidi"/>
          <w:sz w:val="20"/>
          <w:szCs w:val="20"/>
        </w:rPr>
        <w:t>be worked out to three decimal places in cents.</w:t>
      </w:r>
      <w:r>
        <w:rPr>
          <w:rStyle w:val="FootnoteReference"/>
          <w:rFonts w:asciiTheme="minorHAnsi" w:eastAsiaTheme="minorHAnsi" w:hAnsiTheme="minorHAnsi"/>
          <w:sz w:val="20"/>
          <w:szCs w:val="20"/>
        </w:rPr>
        <w:footnoteReference w:id="2"/>
      </w:r>
    </w:p>
    <w:p w:rsidR="007C0B37" w:rsidRPr="007C0B37" w:rsidRDefault="007C0B37" w:rsidP="007C0B37">
      <w:pPr>
        <w:pStyle w:val="ListParagraph"/>
        <w:spacing w:after="0" w:line="240" w:lineRule="auto"/>
        <w:rPr>
          <w:rFonts w:asciiTheme="minorHAnsi" w:eastAsiaTheme="minorHAnsi" w:hAnsiTheme="minorHAnsi" w:cstheme="minorBidi"/>
          <w:sz w:val="20"/>
          <w:szCs w:val="20"/>
        </w:rPr>
      </w:pPr>
    </w:p>
    <w:p w:rsidR="00A54132" w:rsidRPr="00384AED" w:rsidRDefault="003C0A38" w:rsidP="00A54132">
      <w:pPr>
        <w:rPr>
          <w:rFonts w:asciiTheme="minorHAnsi" w:eastAsiaTheme="minorHAnsi" w:hAnsiTheme="minorHAnsi" w:cstheme="minorBidi"/>
          <w:sz w:val="20"/>
          <w:szCs w:val="20"/>
        </w:rPr>
      </w:pPr>
      <w:r>
        <w:rPr>
          <w:rFonts w:asciiTheme="minorHAnsi" w:eastAsiaTheme="minorHAnsi" w:hAnsiTheme="minorHAnsi" w:cstheme="minorBidi"/>
          <w:sz w:val="20"/>
          <w:szCs w:val="20"/>
        </w:rPr>
        <w:t xml:space="preserve">The </w:t>
      </w:r>
      <w:r w:rsidR="007C0B37">
        <w:rPr>
          <w:rFonts w:asciiTheme="minorHAnsi" w:eastAsiaTheme="minorHAnsi" w:hAnsiTheme="minorHAnsi" w:cstheme="minorBidi"/>
          <w:sz w:val="20"/>
          <w:szCs w:val="20"/>
        </w:rPr>
        <w:t>bills</w:t>
      </w:r>
      <w:r w:rsidR="00A54132" w:rsidRPr="00A26CD2">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would see </w:t>
      </w:r>
      <w:r w:rsidR="00A54132" w:rsidRPr="00A26CD2">
        <w:rPr>
          <w:rFonts w:asciiTheme="minorHAnsi" w:eastAsiaTheme="minorHAnsi" w:hAnsiTheme="minorHAnsi" w:cstheme="minorBidi"/>
          <w:sz w:val="20"/>
          <w:szCs w:val="20"/>
        </w:rPr>
        <w:t xml:space="preserve">the fuel tax rate increase twice a year in line with the consumer price index, starting on 1 August 2014. </w:t>
      </w:r>
      <w:r w:rsidR="007C0B37">
        <w:rPr>
          <w:rFonts w:asciiTheme="minorHAnsi" w:eastAsiaTheme="minorHAnsi" w:hAnsiTheme="minorHAnsi" w:cstheme="minorBidi"/>
          <w:sz w:val="20"/>
          <w:szCs w:val="20"/>
        </w:rPr>
        <w:t xml:space="preserve">This </w:t>
      </w:r>
      <w:r w:rsidR="00A54132" w:rsidRPr="00A26CD2">
        <w:rPr>
          <w:rFonts w:asciiTheme="minorHAnsi" w:eastAsiaTheme="minorHAnsi" w:hAnsiTheme="minorHAnsi" w:cstheme="minorBidi"/>
          <w:sz w:val="20"/>
          <w:szCs w:val="20"/>
        </w:rPr>
        <w:t xml:space="preserve">is forecast to raise </w:t>
      </w:r>
      <w:r w:rsidR="00A54132" w:rsidRPr="00384AED">
        <w:rPr>
          <w:rFonts w:asciiTheme="minorHAnsi" w:eastAsiaTheme="minorHAnsi" w:hAnsiTheme="minorHAnsi" w:cstheme="minorBidi"/>
          <w:sz w:val="20"/>
          <w:szCs w:val="20"/>
        </w:rPr>
        <w:t>an additional $2.2 billion in revenue over the next four years.</w:t>
      </w:r>
    </w:p>
    <w:p w:rsidR="00A54132" w:rsidRPr="00A26CD2" w:rsidRDefault="00A54132" w:rsidP="00A54132">
      <w:pPr>
        <w:rPr>
          <w:rFonts w:asciiTheme="minorHAnsi" w:eastAsiaTheme="minorHAnsi" w:hAnsiTheme="minorHAnsi" w:cstheme="minorBidi"/>
          <w:sz w:val="20"/>
          <w:szCs w:val="20"/>
        </w:rPr>
      </w:pPr>
    </w:p>
    <w:p w:rsidR="00A54132" w:rsidRPr="00A26CD2" w:rsidRDefault="003C0A38" w:rsidP="00A54132">
      <w:pPr>
        <w:rPr>
          <w:rFonts w:asciiTheme="minorHAnsi" w:eastAsiaTheme="minorHAnsi" w:hAnsiTheme="minorHAnsi" w:cstheme="minorBidi"/>
          <w:sz w:val="20"/>
          <w:szCs w:val="20"/>
        </w:rPr>
      </w:pPr>
      <w:r>
        <w:rPr>
          <w:rFonts w:asciiTheme="minorHAnsi" w:eastAsiaTheme="minorHAnsi" w:hAnsiTheme="minorHAnsi" w:cstheme="minorBidi"/>
          <w:sz w:val="20"/>
          <w:szCs w:val="20"/>
        </w:rPr>
        <w:t>As the ATA has pointed out, t</w:t>
      </w:r>
      <w:r w:rsidR="00A54132" w:rsidRPr="00A26CD2">
        <w:rPr>
          <w:rFonts w:asciiTheme="minorHAnsi" w:eastAsiaTheme="minorHAnsi" w:hAnsiTheme="minorHAnsi" w:cstheme="minorBidi"/>
          <w:sz w:val="20"/>
          <w:szCs w:val="20"/>
        </w:rPr>
        <w:t>he reintroduction of indexation would not increase the net fuel tax on heavy truck operations because of the fuel tax credits system.</w:t>
      </w:r>
      <w:r>
        <w:rPr>
          <w:rStyle w:val="FootnoteReference"/>
          <w:rFonts w:asciiTheme="minorHAnsi" w:eastAsiaTheme="minorHAnsi" w:hAnsiTheme="minorHAnsi"/>
          <w:sz w:val="20"/>
          <w:szCs w:val="20"/>
        </w:rPr>
        <w:footnoteReference w:id="3"/>
      </w:r>
      <w:r w:rsidR="00F07114">
        <w:rPr>
          <w:rFonts w:asciiTheme="minorHAnsi" w:eastAsiaTheme="minorHAnsi" w:hAnsiTheme="minorHAnsi" w:cstheme="minorBidi"/>
          <w:sz w:val="20"/>
          <w:szCs w:val="20"/>
        </w:rPr>
        <w:t xml:space="preserve"> </w:t>
      </w:r>
    </w:p>
    <w:p w:rsidR="00A54132" w:rsidRPr="00A26CD2" w:rsidRDefault="00A54132" w:rsidP="00A54132">
      <w:pPr>
        <w:rPr>
          <w:rFonts w:asciiTheme="minorHAnsi" w:eastAsiaTheme="minorHAnsi" w:hAnsiTheme="minorHAnsi" w:cstheme="minorBidi"/>
          <w:sz w:val="20"/>
          <w:szCs w:val="20"/>
        </w:rPr>
      </w:pPr>
    </w:p>
    <w:p w:rsidR="00A54132" w:rsidRPr="00A26CD2" w:rsidRDefault="00A54132" w:rsidP="00A54132">
      <w:pPr>
        <w:rPr>
          <w:rFonts w:asciiTheme="minorHAnsi" w:eastAsiaTheme="minorHAnsi" w:hAnsiTheme="minorHAnsi" w:cstheme="minorBidi"/>
          <w:sz w:val="20"/>
          <w:szCs w:val="20"/>
        </w:rPr>
      </w:pPr>
      <w:r w:rsidRPr="00A26CD2">
        <w:rPr>
          <w:rFonts w:asciiTheme="minorHAnsi" w:eastAsiaTheme="minorHAnsi" w:hAnsiTheme="minorHAnsi" w:cstheme="minorBidi"/>
          <w:sz w:val="20"/>
          <w:szCs w:val="20"/>
        </w:rPr>
        <w:t xml:space="preserve">Under the </w:t>
      </w:r>
      <w:r w:rsidRPr="00A26CD2">
        <w:rPr>
          <w:rFonts w:asciiTheme="minorHAnsi" w:eastAsiaTheme="minorHAnsi" w:hAnsiTheme="minorHAnsi" w:cstheme="minorBidi"/>
          <w:i/>
          <w:sz w:val="20"/>
          <w:szCs w:val="20"/>
        </w:rPr>
        <w:t>Fuel Tax Act</w:t>
      </w:r>
      <w:r w:rsidRPr="00A26CD2">
        <w:rPr>
          <w:rFonts w:asciiTheme="minorHAnsi" w:eastAsiaTheme="minorHAnsi" w:hAnsiTheme="minorHAnsi" w:cstheme="minorBidi"/>
          <w:sz w:val="20"/>
          <w:szCs w:val="20"/>
        </w:rPr>
        <w:t>, businesses that operate trucks with a G</w:t>
      </w:r>
      <w:r w:rsidR="00883D46">
        <w:rPr>
          <w:rFonts w:asciiTheme="minorHAnsi" w:eastAsiaTheme="minorHAnsi" w:hAnsiTheme="minorHAnsi" w:cstheme="minorBidi"/>
          <w:sz w:val="20"/>
          <w:szCs w:val="20"/>
        </w:rPr>
        <w:t xml:space="preserve">ross </w:t>
      </w:r>
      <w:r w:rsidRPr="00A26CD2">
        <w:rPr>
          <w:rFonts w:asciiTheme="minorHAnsi" w:eastAsiaTheme="minorHAnsi" w:hAnsiTheme="minorHAnsi" w:cstheme="minorBidi"/>
          <w:sz w:val="20"/>
          <w:szCs w:val="20"/>
        </w:rPr>
        <w:t>V</w:t>
      </w:r>
      <w:r w:rsidR="00883D46">
        <w:rPr>
          <w:rFonts w:asciiTheme="minorHAnsi" w:eastAsiaTheme="minorHAnsi" w:hAnsiTheme="minorHAnsi" w:cstheme="minorBidi"/>
          <w:sz w:val="20"/>
          <w:szCs w:val="20"/>
        </w:rPr>
        <w:t xml:space="preserve">ehicle </w:t>
      </w:r>
      <w:r w:rsidRPr="00A26CD2">
        <w:rPr>
          <w:rFonts w:asciiTheme="minorHAnsi" w:eastAsiaTheme="minorHAnsi" w:hAnsiTheme="minorHAnsi" w:cstheme="minorBidi"/>
          <w:sz w:val="20"/>
          <w:szCs w:val="20"/>
        </w:rPr>
        <w:t>M</w:t>
      </w:r>
      <w:r w:rsidR="00883D46">
        <w:rPr>
          <w:rFonts w:asciiTheme="minorHAnsi" w:eastAsiaTheme="minorHAnsi" w:hAnsiTheme="minorHAnsi" w:cstheme="minorBidi"/>
          <w:sz w:val="20"/>
          <w:szCs w:val="20"/>
        </w:rPr>
        <w:t>ass (GVM)</w:t>
      </w:r>
      <w:r w:rsidRPr="00A26CD2">
        <w:rPr>
          <w:rFonts w:asciiTheme="minorHAnsi" w:eastAsiaTheme="minorHAnsi" w:hAnsiTheme="minorHAnsi" w:cstheme="minorBidi"/>
          <w:sz w:val="20"/>
          <w:szCs w:val="20"/>
        </w:rPr>
        <w:t xml:space="preserve"> of more than 4.5 tonnes on public roads can claim fuel tax credits for each litre of fuel they buy for use in those vehicles. The trucks must meet one of four environmental criteria.</w:t>
      </w:r>
    </w:p>
    <w:p w:rsidR="00A54132" w:rsidRPr="00A26CD2" w:rsidRDefault="00A54132" w:rsidP="00A54132">
      <w:pPr>
        <w:rPr>
          <w:rFonts w:asciiTheme="minorHAnsi" w:eastAsiaTheme="minorHAnsi" w:hAnsiTheme="minorHAnsi" w:cstheme="minorBidi"/>
          <w:sz w:val="20"/>
          <w:szCs w:val="20"/>
        </w:rPr>
      </w:pPr>
    </w:p>
    <w:p w:rsidR="00A54132" w:rsidRPr="00A26CD2" w:rsidRDefault="00A54132" w:rsidP="00A54132">
      <w:pPr>
        <w:rPr>
          <w:rFonts w:asciiTheme="minorHAnsi" w:eastAsiaTheme="minorHAnsi" w:hAnsiTheme="minorHAnsi" w:cstheme="minorBidi"/>
          <w:sz w:val="20"/>
          <w:szCs w:val="20"/>
        </w:rPr>
      </w:pPr>
      <w:r w:rsidRPr="00A26CD2">
        <w:rPr>
          <w:rFonts w:asciiTheme="minorHAnsi" w:eastAsiaTheme="minorHAnsi" w:hAnsiTheme="minorHAnsi" w:cstheme="minorBidi"/>
          <w:sz w:val="20"/>
          <w:szCs w:val="20"/>
        </w:rPr>
        <w:t>Businesses can claim for the full amount of tax they paid on the fuel when they acquired it (s43-5) minus the road user charge (s43-10(3)).</w:t>
      </w:r>
      <w:r w:rsidR="00F07114">
        <w:rPr>
          <w:rFonts w:asciiTheme="minorHAnsi" w:eastAsiaTheme="minorHAnsi" w:hAnsiTheme="minorHAnsi" w:cstheme="minorBidi"/>
          <w:sz w:val="20"/>
          <w:szCs w:val="20"/>
        </w:rPr>
        <w:t xml:space="preserve"> The road user charge and the very high registration charges paid by trucking operators mean that the trucking industry more than pays for its impact on the road network. </w:t>
      </w:r>
    </w:p>
    <w:p w:rsidR="00A54132" w:rsidRPr="00A26CD2" w:rsidRDefault="00A54132" w:rsidP="00A54132">
      <w:pPr>
        <w:rPr>
          <w:rFonts w:asciiTheme="minorHAnsi" w:eastAsiaTheme="minorHAnsi" w:hAnsiTheme="minorHAnsi" w:cstheme="minorBidi"/>
          <w:sz w:val="20"/>
          <w:szCs w:val="20"/>
        </w:rPr>
      </w:pPr>
    </w:p>
    <w:p w:rsidR="00A54132" w:rsidRDefault="00A54132" w:rsidP="00A54132">
      <w:pPr>
        <w:rPr>
          <w:rFonts w:asciiTheme="minorHAnsi" w:eastAsiaTheme="minorHAnsi" w:hAnsiTheme="minorHAnsi" w:cstheme="minorBidi"/>
          <w:sz w:val="20"/>
          <w:szCs w:val="20"/>
        </w:rPr>
      </w:pPr>
      <w:r w:rsidRPr="00A26CD2">
        <w:rPr>
          <w:rFonts w:asciiTheme="minorHAnsi" w:eastAsiaTheme="minorHAnsi" w:hAnsiTheme="minorHAnsi" w:cstheme="minorBidi"/>
          <w:sz w:val="20"/>
          <w:szCs w:val="20"/>
        </w:rPr>
        <w:t xml:space="preserve">The sample transaction </w:t>
      </w:r>
      <w:r w:rsidR="007C0B37">
        <w:rPr>
          <w:rFonts w:asciiTheme="minorHAnsi" w:eastAsiaTheme="minorHAnsi" w:hAnsiTheme="minorHAnsi" w:cstheme="minorBidi"/>
          <w:sz w:val="20"/>
          <w:szCs w:val="20"/>
        </w:rPr>
        <w:t xml:space="preserve">on page 4 </w:t>
      </w:r>
      <w:r w:rsidRPr="00A26CD2">
        <w:rPr>
          <w:rFonts w:asciiTheme="minorHAnsi" w:eastAsiaTheme="minorHAnsi" w:hAnsiTheme="minorHAnsi" w:cstheme="minorBidi"/>
          <w:sz w:val="20"/>
          <w:szCs w:val="20"/>
        </w:rPr>
        <w:t>works through the impact of a hypothetical indexation increase of 0.4 cents per litre on a trucking operator entitled to claim fuel tax credits.</w:t>
      </w:r>
    </w:p>
    <w:p w:rsidR="00F544FD" w:rsidRPr="00A26CD2" w:rsidRDefault="00F544FD" w:rsidP="00A54132">
      <w:pPr>
        <w:rPr>
          <w:rFonts w:asciiTheme="minorHAnsi" w:eastAsiaTheme="minorHAnsi" w:hAnsiTheme="minorHAnsi" w:cstheme="minorBidi"/>
          <w:sz w:val="20"/>
          <w:szCs w:val="20"/>
        </w:rPr>
      </w:pPr>
    </w:p>
    <w:p w:rsidR="00A54132" w:rsidRPr="00A26CD2" w:rsidRDefault="00A54132" w:rsidP="00A54132">
      <w:pPr>
        <w:rPr>
          <w:rFonts w:asciiTheme="minorHAnsi" w:hAnsiTheme="minorHAnsi" w:cs="Arial"/>
          <w:b/>
        </w:rPr>
      </w:pPr>
    </w:p>
    <w:tbl>
      <w:tblPr>
        <w:tblW w:w="9072" w:type="dxa"/>
        <w:tblInd w:w="108" w:type="dxa"/>
        <w:tblLook w:val="04A0" w:firstRow="1" w:lastRow="0" w:firstColumn="1" w:lastColumn="0" w:noHBand="0" w:noVBand="1"/>
      </w:tblPr>
      <w:tblGrid>
        <w:gridCol w:w="5812"/>
        <w:gridCol w:w="1701"/>
        <w:gridCol w:w="1559"/>
      </w:tblGrid>
      <w:tr w:rsidR="00A54132" w:rsidRPr="00A26CD2" w:rsidTr="00F544FD">
        <w:trPr>
          <w:cantSplit/>
          <w:trHeight w:val="353"/>
        </w:trPr>
        <w:tc>
          <w:tcPr>
            <w:tcW w:w="9072" w:type="dxa"/>
            <w:gridSpan w:val="3"/>
            <w:tcBorders>
              <w:top w:val="nil"/>
              <w:left w:val="nil"/>
              <w:bottom w:val="nil"/>
              <w:right w:val="nil"/>
            </w:tcBorders>
            <w:shd w:val="clear" w:color="auto" w:fill="auto"/>
            <w:noWrap/>
            <w:hideMark/>
          </w:tcPr>
          <w:p w:rsidR="00A54132" w:rsidRPr="00A26CD2" w:rsidRDefault="00A54132" w:rsidP="00F544FD">
            <w:pPr>
              <w:keepNext/>
              <w:keepLines/>
              <w:tabs>
                <w:tab w:val="left" w:pos="851"/>
              </w:tabs>
              <w:ind w:left="851" w:hanging="851"/>
              <w:rPr>
                <w:rFonts w:asciiTheme="minorHAnsi" w:hAnsiTheme="minorHAnsi" w:cs="Arial"/>
                <w:b/>
                <w:bCs/>
                <w:sz w:val="20"/>
                <w:szCs w:val="20"/>
              </w:rPr>
            </w:pPr>
            <w:r w:rsidRPr="00A26CD2">
              <w:rPr>
                <w:rFonts w:asciiTheme="minorHAnsi" w:hAnsiTheme="minorHAnsi" w:cs="Arial"/>
                <w:b/>
                <w:sz w:val="20"/>
                <w:szCs w:val="20"/>
              </w:rPr>
              <w:lastRenderedPageBreak/>
              <w:t>Sample transaction: purchasing 1000L of diesel</w:t>
            </w:r>
          </w:p>
        </w:tc>
      </w:tr>
      <w:tr w:rsidR="00A54132" w:rsidRPr="00A26CD2" w:rsidTr="00F544FD">
        <w:trPr>
          <w:cantSplit/>
          <w:trHeight w:val="576"/>
        </w:trPr>
        <w:tc>
          <w:tcPr>
            <w:tcW w:w="5812" w:type="dxa"/>
            <w:tcBorders>
              <w:top w:val="nil"/>
              <w:left w:val="nil"/>
              <w:bottom w:val="nil"/>
              <w:right w:val="nil"/>
            </w:tcBorders>
            <w:shd w:val="clear" w:color="auto" w:fill="17365D" w:themeFill="text2" w:themeFillShade="BF"/>
            <w:noWrap/>
            <w:vAlign w:val="bottom"/>
            <w:hideMark/>
          </w:tcPr>
          <w:p w:rsidR="00A54132" w:rsidRPr="00A26CD2" w:rsidRDefault="00A54132" w:rsidP="00F544FD">
            <w:pPr>
              <w:keepNext/>
              <w:keepLines/>
              <w:tabs>
                <w:tab w:val="left" w:pos="851"/>
              </w:tabs>
              <w:ind w:left="851" w:hanging="851"/>
              <w:rPr>
                <w:rFonts w:asciiTheme="minorHAnsi" w:hAnsiTheme="minorHAnsi" w:cs="Arial"/>
                <w:b/>
                <w:sz w:val="20"/>
                <w:szCs w:val="20"/>
              </w:rPr>
            </w:pPr>
          </w:p>
        </w:tc>
        <w:tc>
          <w:tcPr>
            <w:tcW w:w="1701" w:type="dxa"/>
            <w:tcBorders>
              <w:top w:val="nil"/>
              <w:left w:val="nil"/>
              <w:bottom w:val="nil"/>
              <w:right w:val="nil"/>
            </w:tcBorders>
            <w:shd w:val="clear" w:color="auto" w:fill="17365D" w:themeFill="text2" w:themeFillShade="BF"/>
            <w:vAlign w:val="center"/>
            <w:hideMark/>
          </w:tcPr>
          <w:p w:rsidR="00A54132" w:rsidRPr="00A26CD2" w:rsidRDefault="00A54132" w:rsidP="00F544FD">
            <w:pPr>
              <w:keepNext/>
              <w:keepLines/>
              <w:tabs>
                <w:tab w:val="left" w:pos="851"/>
              </w:tabs>
              <w:ind w:left="851" w:hanging="851"/>
              <w:rPr>
                <w:rFonts w:asciiTheme="minorHAnsi" w:hAnsiTheme="minorHAnsi" w:cs="Arial"/>
                <w:b/>
                <w:bCs/>
                <w:sz w:val="20"/>
                <w:szCs w:val="20"/>
              </w:rPr>
            </w:pPr>
            <w:r w:rsidRPr="00A26CD2">
              <w:rPr>
                <w:rFonts w:asciiTheme="minorHAnsi" w:hAnsiTheme="minorHAnsi" w:cs="Arial"/>
                <w:b/>
                <w:bCs/>
                <w:sz w:val="20"/>
                <w:szCs w:val="20"/>
              </w:rPr>
              <w:t>Before</w:t>
            </w:r>
          </w:p>
          <w:p w:rsidR="00A54132" w:rsidRPr="00A26CD2" w:rsidRDefault="00A54132" w:rsidP="00F544FD">
            <w:pPr>
              <w:keepNext/>
              <w:keepLines/>
              <w:tabs>
                <w:tab w:val="left" w:pos="851"/>
              </w:tabs>
              <w:ind w:left="851" w:hanging="851"/>
              <w:rPr>
                <w:rFonts w:asciiTheme="minorHAnsi" w:hAnsiTheme="minorHAnsi" w:cs="Arial"/>
                <w:b/>
                <w:bCs/>
                <w:sz w:val="20"/>
                <w:szCs w:val="20"/>
              </w:rPr>
            </w:pPr>
            <w:r w:rsidRPr="00A26CD2">
              <w:rPr>
                <w:rFonts w:asciiTheme="minorHAnsi" w:hAnsiTheme="minorHAnsi" w:cs="Arial"/>
                <w:b/>
                <w:bCs/>
                <w:sz w:val="20"/>
                <w:szCs w:val="20"/>
              </w:rPr>
              <w:t>indexation</w:t>
            </w:r>
          </w:p>
        </w:tc>
        <w:tc>
          <w:tcPr>
            <w:tcW w:w="1559" w:type="dxa"/>
            <w:tcBorders>
              <w:top w:val="nil"/>
              <w:left w:val="nil"/>
              <w:bottom w:val="nil"/>
              <w:right w:val="nil"/>
            </w:tcBorders>
            <w:shd w:val="clear" w:color="auto" w:fill="17365D" w:themeFill="text2" w:themeFillShade="BF"/>
            <w:vAlign w:val="center"/>
            <w:hideMark/>
          </w:tcPr>
          <w:p w:rsidR="00A54132" w:rsidRPr="00A26CD2" w:rsidRDefault="00A54132" w:rsidP="00F544FD">
            <w:pPr>
              <w:keepNext/>
              <w:keepLines/>
              <w:tabs>
                <w:tab w:val="left" w:pos="851"/>
              </w:tabs>
              <w:ind w:left="851" w:hanging="851"/>
              <w:rPr>
                <w:rFonts w:asciiTheme="minorHAnsi" w:hAnsiTheme="minorHAnsi" w:cs="Arial"/>
                <w:b/>
                <w:bCs/>
                <w:sz w:val="20"/>
                <w:szCs w:val="20"/>
              </w:rPr>
            </w:pPr>
            <w:r w:rsidRPr="00A26CD2">
              <w:rPr>
                <w:rFonts w:asciiTheme="minorHAnsi" w:hAnsiTheme="minorHAnsi" w:cs="Arial"/>
                <w:b/>
                <w:bCs/>
                <w:sz w:val="20"/>
                <w:szCs w:val="20"/>
              </w:rPr>
              <w:t>After</w:t>
            </w:r>
          </w:p>
          <w:p w:rsidR="00A54132" w:rsidRPr="00A26CD2" w:rsidRDefault="00A54132" w:rsidP="00F544FD">
            <w:pPr>
              <w:keepNext/>
              <w:keepLines/>
              <w:tabs>
                <w:tab w:val="left" w:pos="851"/>
              </w:tabs>
              <w:ind w:left="851" w:hanging="851"/>
              <w:rPr>
                <w:rFonts w:asciiTheme="minorHAnsi" w:hAnsiTheme="minorHAnsi" w:cs="Arial"/>
                <w:b/>
                <w:bCs/>
                <w:sz w:val="20"/>
                <w:szCs w:val="20"/>
              </w:rPr>
            </w:pPr>
            <w:r w:rsidRPr="00A26CD2">
              <w:rPr>
                <w:rFonts w:asciiTheme="minorHAnsi" w:hAnsiTheme="minorHAnsi" w:cs="Arial"/>
                <w:b/>
                <w:bCs/>
                <w:sz w:val="20"/>
                <w:szCs w:val="20"/>
              </w:rPr>
              <w:t>indexation</w:t>
            </w:r>
          </w:p>
        </w:tc>
      </w:tr>
      <w:tr w:rsidR="00A54132" w:rsidRPr="00A26CD2" w:rsidTr="00F544FD">
        <w:trPr>
          <w:cantSplit/>
          <w:trHeight w:val="288"/>
        </w:trPr>
        <w:tc>
          <w:tcPr>
            <w:tcW w:w="5812" w:type="dxa"/>
            <w:tcBorders>
              <w:top w:val="nil"/>
              <w:left w:val="nil"/>
              <w:bottom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Sample diesel price (</w:t>
            </w:r>
            <w:proofErr w:type="spellStart"/>
            <w:r w:rsidRPr="00216F19">
              <w:rPr>
                <w:rFonts w:asciiTheme="minorHAnsi" w:hAnsiTheme="minorHAnsi" w:cs="Arial"/>
                <w:sz w:val="20"/>
                <w:szCs w:val="20"/>
              </w:rPr>
              <w:t>cpl</w:t>
            </w:r>
            <w:proofErr w:type="spellEnd"/>
            <w:r w:rsidRPr="00216F19">
              <w:rPr>
                <w:rFonts w:asciiTheme="minorHAnsi" w:hAnsiTheme="minorHAnsi" w:cs="Arial"/>
                <w:sz w:val="20"/>
                <w:szCs w:val="20"/>
              </w:rPr>
              <w:t>)</w:t>
            </w:r>
          </w:p>
        </w:tc>
        <w:tc>
          <w:tcPr>
            <w:tcW w:w="1701" w:type="dxa"/>
            <w:tcBorders>
              <w:top w:val="nil"/>
              <w:left w:val="nil"/>
              <w:bottom w:val="nil"/>
              <w:right w:val="nil"/>
            </w:tcBorders>
            <w:shd w:val="clear" w:color="auto" w:fill="auto"/>
            <w:noWrap/>
            <w:vAlign w:val="center"/>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160</w:t>
            </w:r>
          </w:p>
        </w:tc>
        <w:tc>
          <w:tcPr>
            <w:tcW w:w="1559" w:type="dxa"/>
            <w:tcBorders>
              <w:top w:val="nil"/>
              <w:left w:val="nil"/>
              <w:bottom w:val="nil"/>
              <w:right w:val="nil"/>
            </w:tcBorders>
            <w:shd w:val="clear" w:color="auto" w:fill="auto"/>
            <w:noWrap/>
            <w:vAlign w:val="center"/>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160.4</w:t>
            </w:r>
          </w:p>
        </w:tc>
      </w:tr>
      <w:tr w:rsidR="00A54132" w:rsidRPr="00A26CD2" w:rsidTr="00F544FD">
        <w:trPr>
          <w:cantSplit/>
          <w:trHeight w:val="288"/>
        </w:trPr>
        <w:tc>
          <w:tcPr>
            <w:tcW w:w="5812" w:type="dxa"/>
            <w:tcBorders>
              <w:top w:val="nil"/>
              <w:left w:val="nil"/>
              <w:bottom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Fuel tax (</w:t>
            </w:r>
            <w:proofErr w:type="spellStart"/>
            <w:r w:rsidRPr="00216F19">
              <w:rPr>
                <w:rFonts w:asciiTheme="minorHAnsi" w:hAnsiTheme="minorHAnsi" w:cs="Arial"/>
                <w:sz w:val="20"/>
                <w:szCs w:val="20"/>
              </w:rPr>
              <w:t>cpl</w:t>
            </w:r>
            <w:proofErr w:type="spellEnd"/>
            <w:r w:rsidRPr="00216F19">
              <w:rPr>
                <w:rFonts w:asciiTheme="minorHAnsi" w:hAnsiTheme="minorHAnsi" w:cs="Arial"/>
                <w:sz w:val="20"/>
                <w:szCs w:val="20"/>
              </w:rPr>
              <w:t>)</w:t>
            </w:r>
          </w:p>
        </w:tc>
        <w:tc>
          <w:tcPr>
            <w:tcW w:w="1701" w:type="dxa"/>
            <w:tcBorders>
              <w:top w:val="nil"/>
              <w:left w:val="nil"/>
              <w:bottom w:val="nil"/>
              <w:right w:val="nil"/>
            </w:tcBorders>
            <w:shd w:val="clear" w:color="auto" w:fill="auto"/>
            <w:noWrap/>
            <w:vAlign w:val="center"/>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38.143</w:t>
            </w:r>
          </w:p>
        </w:tc>
        <w:tc>
          <w:tcPr>
            <w:tcW w:w="1559" w:type="dxa"/>
            <w:tcBorders>
              <w:top w:val="nil"/>
              <w:left w:val="nil"/>
              <w:bottom w:val="nil"/>
              <w:right w:val="nil"/>
            </w:tcBorders>
            <w:shd w:val="clear" w:color="auto" w:fill="auto"/>
            <w:noWrap/>
            <w:vAlign w:val="center"/>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38.543</w:t>
            </w:r>
          </w:p>
        </w:tc>
      </w:tr>
      <w:tr w:rsidR="003C0A38" w:rsidRPr="00A26CD2" w:rsidTr="00F544FD">
        <w:trPr>
          <w:cantSplit/>
          <w:trHeight w:val="288"/>
        </w:trPr>
        <w:tc>
          <w:tcPr>
            <w:tcW w:w="5812" w:type="dxa"/>
            <w:tcBorders>
              <w:top w:val="nil"/>
              <w:left w:val="nil"/>
              <w:bottom w:val="nil"/>
              <w:right w:val="nil"/>
            </w:tcBorders>
            <w:shd w:val="clear" w:color="auto" w:fill="auto"/>
            <w:noWrap/>
            <w:vAlign w:val="bottom"/>
          </w:tcPr>
          <w:p w:rsidR="003C0A38" w:rsidRPr="00216F19" w:rsidRDefault="003C0A38"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Rounded fuel tax (</w:t>
            </w:r>
            <w:proofErr w:type="spellStart"/>
            <w:r w:rsidRPr="00216F19">
              <w:rPr>
                <w:rFonts w:asciiTheme="minorHAnsi" w:hAnsiTheme="minorHAnsi" w:cs="Arial"/>
                <w:sz w:val="20"/>
                <w:szCs w:val="20"/>
              </w:rPr>
              <w:t>cpl</w:t>
            </w:r>
            <w:proofErr w:type="spellEnd"/>
            <w:r w:rsidRPr="00216F19">
              <w:rPr>
                <w:rFonts w:asciiTheme="minorHAnsi" w:hAnsiTheme="minorHAnsi" w:cs="Arial"/>
                <w:sz w:val="20"/>
                <w:szCs w:val="20"/>
              </w:rPr>
              <w:t>)</w:t>
            </w:r>
          </w:p>
        </w:tc>
        <w:tc>
          <w:tcPr>
            <w:tcW w:w="1701" w:type="dxa"/>
            <w:tcBorders>
              <w:top w:val="nil"/>
              <w:left w:val="nil"/>
              <w:bottom w:val="nil"/>
              <w:right w:val="nil"/>
            </w:tcBorders>
            <w:shd w:val="clear" w:color="auto" w:fill="auto"/>
            <w:noWrap/>
            <w:vAlign w:val="center"/>
          </w:tcPr>
          <w:p w:rsidR="003C0A38" w:rsidRPr="00216F19" w:rsidRDefault="003C0A38"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w:t>
            </w:r>
          </w:p>
        </w:tc>
        <w:tc>
          <w:tcPr>
            <w:tcW w:w="1559" w:type="dxa"/>
            <w:tcBorders>
              <w:top w:val="nil"/>
              <w:left w:val="nil"/>
              <w:bottom w:val="nil"/>
              <w:right w:val="nil"/>
            </w:tcBorders>
            <w:shd w:val="clear" w:color="auto" w:fill="auto"/>
            <w:noWrap/>
            <w:vAlign w:val="center"/>
          </w:tcPr>
          <w:p w:rsidR="003C0A38" w:rsidRPr="00216F19" w:rsidRDefault="003C0A38"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38.5</w:t>
            </w:r>
          </w:p>
        </w:tc>
      </w:tr>
      <w:tr w:rsidR="00A54132" w:rsidRPr="00A26CD2" w:rsidTr="00F544FD">
        <w:trPr>
          <w:cantSplit/>
          <w:trHeight w:val="288"/>
        </w:trPr>
        <w:tc>
          <w:tcPr>
            <w:tcW w:w="5812" w:type="dxa"/>
            <w:tcBorders>
              <w:top w:val="nil"/>
              <w:left w:val="nil"/>
              <w:bottom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Road user charge (</w:t>
            </w:r>
            <w:proofErr w:type="spellStart"/>
            <w:r w:rsidRPr="00216F19">
              <w:rPr>
                <w:rFonts w:asciiTheme="minorHAnsi" w:hAnsiTheme="minorHAnsi" w:cs="Arial"/>
                <w:sz w:val="20"/>
                <w:szCs w:val="20"/>
              </w:rPr>
              <w:t>cpl</w:t>
            </w:r>
            <w:proofErr w:type="spellEnd"/>
            <w:r w:rsidRPr="00216F19">
              <w:rPr>
                <w:rFonts w:asciiTheme="minorHAnsi" w:hAnsiTheme="minorHAnsi" w:cs="Arial"/>
                <w:sz w:val="20"/>
                <w:szCs w:val="20"/>
              </w:rPr>
              <w:t>)</w:t>
            </w:r>
          </w:p>
        </w:tc>
        <w:tc>
          <w:tcPr>
            <w:tcW w:w="1701" w:type="dxa"/>
            <w:tcBorders>
              <w:top w:val="nil"/>
              <w:left w:val="nil"/>
              <w:bottom w:val="nil"/>
              <w:right w:val="nil"/>
            </w:tcBorders>
            <w:shd w:val="clear" w:color="auto" w:fill="auto"/>
            <w:noWrap/>
            <w:vAlign w:val="center"/>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26.14</w:t>
            </w:r>
          </w:p>
        </w:tc>
        <w:tc>
          <w:tcPr>
            <w:tcW w:w="1559" w:type="dxa"/>
            <w:tcBorders>
              <w:top w:val="nil"/>
              <w:left w:val="nil"/>
              <w:bottom w:val="nil"/>
              <w:right w:val="nil"/>
            </w:tcBorders>
            <w:shd w:val="clear" w:color="auto" w:fill="auto"/>
            <w:noWrap/>
            <w:vAlign w:val="center"/>
            <w:hideMark/>
          </w:tcPr>
          <w:p w:rsidR="00A54132" w:rsidRPr="00216F19" w:rsidRDefault="007C0B37"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26.1</w:t>
            </w:r>
            <w:r w:rsidRPr="00216F19">
              <w:rPr>
                <w:rFonts w:asciiTheme="minorHAnsi" w:hAnsiTheme="minorHAnsi" w:cs="Arial"/>
                <w:sz w:val="20"/>
                <w:szCs w:val="20"/>
                <w:vertAlign w:val="superscript"/>
              </w:rPr>
              <w:t>*</w:t>
            </w:r>
          </w:p>
        </w:tc>
      </w:tr>
      <w:tr w:rsidR="00A54132" w:rsidRPr="00A26CD2" w:rsidTr="00F544FD">
        <w:trPr>
          <w:cantSplit/>
          <w:trHeight w:val="288"/>
        </w:trPr>
        <w:tc>
          <w:tcPr>
            <w:tcW w:w="5812" w:type="dxa"/>
            <w:tcBorders>
              <w:top w:val="nil"/>
              <w:left w:val="nil"/>
              <w:bottom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Fuel tax credit rate (</w:t>
            </w:r>
            <w:proofErr w:type="spellStart"/>
            <w:r w:rsidRPr="00216F19">
              <w:rPr>
                <w:rFonts w:asciiTheme="minorHAnsi" w:hAnsiTheme="minorHAnsi" w:cs="Arial"/>
                <w:sz w:val="20"/>
                <w:szCs w:val="20"/>
              </w:rPr>
              <w:t>cpl</w:t>
            </w:r>
            <w:proofErr w:type="spellEnd"/>
            <w:r w:rsidRPr="00216F19">
              <w:rPr>
                <w:rFonts w:asciiTheme="minorHAnsi" w:hAnsiTheme="minorHAnsi" w:cs="Arial"/>
                <w:sz w:val="20"/>
                <w:szCs w:val="20"/>
              </w:rPr>
              <w:t>)</w:t>
            </w:r>
          </w:p>
        </w:tc>
        <w:tc>
          <w:tcPr>
            <w:tcW w:w="1701" w:type="dxa"/>
            <w:tcBorders>
              <w:top w:val="nil"/>
              <w:left w:val="nil"/>
              <w:bottom w:val="nil"/>
              <w:right w:val="nil"/>
            </w:tcBorders>
            <w:shd w:val="clear" w:color="auto" w:fill="auto"/>
            <w:noWrap/>
            <w:vAlign w:val="center"/>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12.003</w:t>
            </w:r>
          </w:p>
        </w:tc>
        <w:tc>
          <w:tcPr>
            <w:tcW w:w="1559" w:type="dxa"/>
            <w:tcBorders>
              <w:top w:val="nil"/>
              <w:left w:val="nil"/>
              <w:bottom w:val="nil"/>
              <w:right w:val="nil"/>
            </w:tcBorders>
            <w:shd w:val="clear" w:color="auto" w:fill="auto"/>
            <w:noWrap/>
            <w:vAlign w:val="center"/>
            <w:hideMark/>
          </w:tcPr>
          <w:p w:rsidR="00A54132" w:rsidRPr="00216F19" w:rsidRDefault="003C0A38"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12.4</w:t>
            </w:r>
          </w:p>
        </w:tc>
      </w:tr>
      <w:tr w:rsidR="00A54132" w:rsidRPr="00A26CD2" w:rsidTr="00F544FD">
        <w:trPr>
          <w:cantSplit/>
          <w:trHeight w:val="288"/>
        </w:trPr>
        <w:tc>
          <w:tcPr>
            <w:tcW w:w="5812" w:type="dxa"/>
            <w:tcBorders>
              <w:top w:val="nil"/>
              <w:left w:val="nil"/>
              <w:bottom w:val="nil"/>
              <w:right w:val="nil"/>
            </w:tcBorders>
            <w:shd w:val="clear" w:color="auto" w:fill="auto"/>
            <w:noWrap/>
            <w:vAlign w:val="bottom"/>
            <w:hideMark/>
          </w:tcPr>
          <w:p w:rsidR="00A54132" w:rsidRPr="00A26CD2" w:rsidRDefault="00A54132" w:rsidP="00F544FD">
            <w:pPr>
              <w:keepNext/>
              <w:keepLines/>
              <w:tabs>
                <w:tab w:val="left" w:pos="851"/>
              </w:tabs>
              <w:ind w:left="851" w:hanging="851"/>
              <w:rPr>
                <w:rFonts w:asciiTheme="minorHAnsi" w:hAnsiTheme="minorHAnsi" w:cs="Arial"/>
                <w:b/>
                <w:sz w:val="20"/>
                <w:szCs w:val="20"/>
              </w:rPr>
            </w:pPr>
          </w:p>
        </w:tc>
        <w:tc>
          <w:tcPr>
            <w:tcW w:w="1701" w:type="dxa"/>
            <w:tcBorders>
              <w:top w:val="nil"/>
              <w:left w:val="nil"/>
              <w:bottom w:val="nil"/>
              <w:right w:val="nil"/>
            </w:tcBorders>
            <w:shd w:val="clear" w:color="auto" w:fill="auto"/>
            <w:noWrap/>
            <w:vAlign w:val="bottom"/>
            <w:hideMark/>
          </w:tcPr>
          <w:p w:rsidR="00A54132" w:rsidRPr="00A26CD2" w:rsidRDefault="00A54132" w:rsidP="00F544FD">
            <w:pPr>
              <w:keepNext/>
              <w:keepLines/>
              <w:tabs>
                <w:tab w:val="left" w:pos="851"/>
              </w:tabs>
              <w:ind w:left="851" w:hanging="851"/>
              <w:rPr>
                <w:rFonts w:asciiTheme="minorHAnsi" w:hAnsiTheme="minorHAnsi" w:cs="Arial"/>
                <w:b/>
                <w:sz w:val="20"/>
                <w:szCs w:val="20"/>
              </w:rPr>
            </w:pPr>
          </w:p>
        </w:tc>
        <w:tc>
          <w:tcPr>
            <w:tcW w:w="1559" w:type="dxa"/>
            <w:tcBorders>
              <w:top w:val="nil"/>
              <w:left w:val="nil"/>
              <w:bottom w:val="nil"/>
              <w:right w:val="nil"/>
            </w:tcBorders>
            <w:shd w:val="clear" w:color="auto" w:fill="auto"/>
            <w:noWrap/>
            <w:vAlign w:val="bottom"/>
            <w:hideMark/>
          </w:tcPr>
          <w:p w:rsidR="00A54132" w:rsidRPr="00A26CD2" w:rsidRDefault="00A54132" w:rsidP="00F544FD">
            <w:pPr>
              <w:keepNext/>
              <w:keepLines/>
              <w:tabs>
                <w:tab w:val="left" w:pos="851"/>
              </w:tabs>
              <w:ind w:left="851" w:hanging="851"/>
              <w:rPr>
                <w:rFonts w:asciiTheme="minorHAnsi" w:hAnsiTheme="minorHAnsi" w:cs="Arial"/>
                <w:b/>
                <w:sz w:val="20"/>
                <w:szCs w:val="20"/>
              </w:rPr>
            </w:pPr>
          </w:p>
        </w:tc>
      </w:tr>
      <w:tr w:rsidR="00A54132" w:rsidRPr="00A26CD2" w:rsidTr="00F544FD">
        <w:trPr>
          <w:cantSplit/>
          <w:trHeight w:val="288"/>
        </w:trPr>
        <w:tc>
          <w:tcPr>
            <w:tcW w:w="7513" w:type="dxa"/>
            <w:gridSpan w:val="2"/>
            <w:tcBorders>
              <w:top w:val="nil"/>
              <w:left w:val="nil"/>
              <w:bottom w:val="nil"/>
              <w:right w:val="nil"/>
            </w:tcBorders>
            <w:shd w:val="clear" w:color="auto" w:fill="auto"/>
            <w:noWrap/>
            <w:vAlign w:val="bottom"/>
            <w:hideMark/>
          </w:tcPr>
          <w:p w:rsidR="00A54132" w:rsidRPr="00A26CD2" w:rsidRDefault="00A54132" w:rsidP="00F544FD">
            <w:pPr>
              <w:keepNext/>
              <w:keepLines/>
              <w:tabs>
                <w:tab w:val="left" w:pos="851"/>
              </w:tabs>
              <w:ind w:left="851" w:hanging="851"/>
              <w:rPr>
                <w:rFonts w:asciiTheme="minorHAnsi" w:hAnsiTheme="minorHAnsi" w:cs="Arial"/>
                <w:b/>
                <w:bCs/>
                <w:sz w:val="20"/>
                <w:szCs w:val="20"/>
              </w:rPr>
            </w:pPr>
            <w:r w:rsidRPr="00A26CD2">
              <w:rPr>
                <w:rFonts w:asciiTheme="minorHAnsi" w:hAnsiTheme="minorHAnsi" w:cs="Arial"/>
                <w:b/>
                <w:bCs/>
                <w:sz w:val="20"/>
                <w:szCs w:val="20"/>
              </w:rPr>
              <w:t>Purchasing 1000L of diesel</w:t>
            </w:r>
          </w:p>
        </w:tc>
        <w:tc>
          <w:tcPr>
            <w:tcW w:w="1559" w:type="dxa"/>
            <w:tcBorders>
              <w:top w:val="nil"/>
              <w:left w:val="nil"/>
              <w:bottom w:val="nil"/>
              <w:right w:val="nil"/>
            </w:tcBorders>
            <w:shd w:val="clear" w:color="auto" w:fill="auto"/>
            <w:noWrap/>
            <w:vAlign w:val="bottom"/>
            <w:hideMark/>
          </w:tcPr>
          <w:p w:rsidR="00A54132" w:rsidRPr="00A26CD2" w:rsidRDefault="00A54132" w:rsidP="00F544FD">
            <w:pPr>
              <w:keepNext/>
              <w:keepLines/>
              <w:tabs>
                <w:tab w:val="left" w:pos="851"/>
              </w:tabs>
              <w:ind w:left="851" w:hanging="851"/>
              <w:rPr>
                <w:rFonts w:asciiTheme="minorHAnsi" w:hAnsiTheme="minorHAnsi" w:cs="Arial"/>
                <w:b/>
                <w:sz w:val="20"/>
                <w:szCs w:val="20"/>
              </w:rPr>
            </w:pPr>
          </w:p>
        </w:tc>
      </w:tr>
      <w:tr w:rsidR="00A54132" w:rsidRPr="00A26CD2" w:rsidTr="00F544FD">
        <w:trPr>
          <w:cantSplit/>
          <w:trHeight w:val="288"/>
        </w:trPr>
        <w:tc>
          <w:tcPr>
            <w:tcW w:w="5812" w:type="dxa"/>
            <w:tcBorders>
              <w:top w:val="nil"/>
              <w:left w:val="nil"/>
              <w:bottom w:val="nil"/>
              <w:right w:val="nil"/>
            </w:tcBorders>
            <w:shd w:val="clear" w:color="auto" w:fill="auto"/>
            <w:noWrap/>
            <w:vAlign w:val="bottom"/>
            <w:hideMark/>
          </w:tcPr>
          <w:p w:rsidR="00A54132" w:rsidRPr="00A26CD2" w:rsidRDefault="00A54132" w:rsidP="00F544FD">
            <w:pPr>
              <w:keepNext/>
              <w:keepLines/>
              <w:tabs>
                <w:tab w:val="left" w:pos="851"/>
              </w:tabs>
              <w:ind w:left="851" w:hanging="851"/>
              <w:rPr>
                <w:rFonts w:asciiTheme="minorHAnsi" w:hAnsiTheme="minorHAnsi" w:cs="Arial"/>
                <w:b/>
                <w:sz w:val="20"/>
                <w:szCs w:val="20"/>
              </w:rPr>
            </w:pPr>
          </w:p>
        </w:tc>
        <w:tc>
          <w:tcPr>
            <w:tcW w:w="1701" w:type="dxa"/>
            <w:tcBorders>
              <w:top w:val="nil"/>
              <w:left w:val="nil"/>
              <w:bottom w:val="nil"/>
              <w:right w:val="nil"/>
            </w:tcBorders>
            <w:shd w:val="clear" w:color="auto" w:fill="auto"/>
            <w:noWrap/>
            <w:vAlign w:val="bottom"/>
            <w:hideMark/>
          </w:tcPr>
          <w:p w:rsidR="00A54132" w:rsidRPr="00A26CD2" w:rsidRDefault="00A54132" w:rsidP="00F544FD">
            <w:pPr>
              <w:keepNext/>
              <w:keepLines/>
              <w:tabs>
                <w:tab w:val="left" w:pos="851"/>
              </w:tabs>
              <w:ind w:left="851" w:hanging="851"/>
              <w:rPr>
                <w:rFonts w:asciiTheme="minorHAnsi" w:hAnsiTheme="minorHAnsi" w:cs="Arial"/>
                <w:b/>
                <w:sz w:val="20"/>
                <w:szCs w:val="20"/>
              </w:rPr>
            </w:pPr>
          </w:p>
        </w:tc>
        <w:tc>
          <w:tcPr>
            <w:tcW w:w="1559" w:type="dxa"/>
            <w:tcBorders>
              <w:top w:val="nil"/>
              <w:left w:val="nil"/>
              <w:bottom w:val="nil"/>
              <w:right w:val="nil"/>
            </w:tcBorders>
            <w:shd w:val="clear" w:color="auto" w:fill="auto"/>
            <w:noWrap/>
            <w:vAlign w:val="bottom"/>
            <w:hideMark/>
          </w:tcPr>
          <w:p w:rsidR="00A54132" w:rsidRPr="00A26CD2" w:rsidRDefault="00A54132" w:rsidP="00F544FD">
            <w:pPr>
              <w:keepNext/>
              <w:keepLines/>
              <w:tabs>
                <w:tab w:val="left" w:pos="851"/>
              </w:tabs>
              <w:ind w:left="851" w:hanging="851"/>
              <w:rPr>
                <w:rFonts w:asciiTheme="minorHAnsi" w:hAnsiTheme="minorHAnsi" w:cs="Arial"/>
                <w:b/>
                <w:sz w:val="20"/>
                <w:szCs w:val="20"/>
              </w:rPr>
            </w:pPr>
          </w:p>
        </w:tc>
      </w:tr>
      <w:tr w:rsidR="00A54132" w:rsidRPr="00A26CD2" w:rsidTr="00F544FD">
        <w:trPr>
          <w:cantSplit/>
          <w:trHeight w:val="288"/>
        </w:trPr>
        <w:tc>
          <w:tcPr>
            <w:tcW w:w="5812" w:type="dxa"/>
            <w:tcBorders>
              <w:top w:val="nil"/>
              <w:left w:val="nil"/>
              <w:bottom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Cost of fuel at pump ($)</w:t>
            </w:r>
          </w:p>
        </w:tc>
        <w:tc>
          <w:tcPr>
            <w:tcW w:w="1701" w:type="dxa"/>
            <w:tcBorders>
              <w:top w:val="nil"/>
              <w:left w:val="nil"/>
              <w:bottom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1600.00</w:t>
            </w:r>
          </w:p>
        </w:tc>
        <w:tc>
          <w:tcPr>
            <w:tcW w:w="1559" w:type="dxa"/>
            <w:tcBorders>
              <w:top w:val="nil"/>
              <w:left w:val="nil"/>
              <w:bottom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1604.00</w:t>
            </w:r>
          </w:p>
        </w:tc>
      </w:tr>
      <w:tr w:rsidR="00A54132" w:rsidRPr="00A26CD2" w:rsidTr="00F544FD">
        <w:trPr>
          <w:cantSplit/>
          <w:trHeight w:val="288"/>
        </w:trPr>
        <w:tc>
          <w:tcPr>
            <w:tcW w:w="5812" w:type="dxa"/>
            <w:tcBorders>
              <w:top w:val="nil"/>
              <w:left w:val="nil"/>
              <w:bottom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Tax paid at pump ($)</w:t>
            </w:r>
          </w:p>
        </w:tc>
        <w:tc>
          <w:tcPr>
            <w:tcW w:w="1701" w:type="dxa"/>
            <w:tcBorders>
              <w:top w:val="nil"/>
              <w:left w:val="nil"/>
              <w:bottom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381.43</w:t>
            </w:r>
          </w:p>
        </w:tc>
        <w:tc>
          <w:tcPr>
            <w:tcW w:w="1559" w:type="dxa"/>
            <w:tcBorders>
              <w:top w:val="nil"/>
              <w:left w:val="nil"/>
              <w:bottom w:val="nil"/>
              <w:right w:val="nil"/>
            </w:tcBorders>
            <w:shd w:val="clear" w:color="auto" w:fill="auto"/>
            <w:noWrap/>
            <w:vAlign w:val="bottom"/>
            <w:hideMark/>
          </w:tcPr>
          <w:p w:rsidR="00A54132" w:rsidRPr="00216F19" w:rsidRDefault="003C0A38"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385.00</w:t>
            </w:r>
          </w:p>
        </w:tc>
      </w:tr>
      <w:tr w:rsidR="00A54132" w:rsidRPr="00A26CD2" w:rsidTr="00F544FD">
        <w:trPr>
          <w:cantSplit/>
          <w:trHeight w:val="288"/>
        </w:trPr>
        <w:tc>
          <w:tcPr>
            <w:tcW w:w="5812" w:type="dxa"/>
            <w:tcBorders>
              <w:top w:val="nil"/>
              <w:left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Tax credit claimed on BAS ($)</w:t>
            </w:r>
          </w:p>
        </w:tc>
        <w:tc>
          <w:tcPr>
            <w:tcW w:w="1701" w:type="dxa"/>
            <w:tcBorders>
              <w:top w:val="nil"/>
              <w:left w:val="nil"/>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120.03</w:t>
            </w:r>
          </w:p>
        </w:tc>
        <w:tc>
          <w:tcPr>
            <w:tcW w:w="1559" w:type="dxa"/>
            <w:tcBorders>
              <w:top w:val="nil"/>
              <w:left w:val="nil"/>
              <w:right w:val="nil"/>
            </w:tcBorders>
            <w:shd w:val="clear" w:color="auto" w:fill="auto"/>
            <w:noWrap/>
            <w:vAlign w:val="bottom"/>
            <w:hideMark/>
          </w:tcPr>
          <w:p w:rsidR="00A54132" w:rsidRPr="00216F19" w:rsidRDefault="00F544FD"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124.00</w:t>
            </w:r>
          </w:p>
        </w:tc>
      </w:tr>
      <w:tr w:rsidR="00A54132" w:rsidRPr="00A26CD2" w:rsidTr="007C0B37">
        <w:trPr>
          <w:cantSplit/>
          <w:trHeight w:val="288"/>
        </w:trPr>
        <w:tc>
          <w:tcPr>
            <w:tcW w:w="5812" w:type="dxa"/>
            <w:tcBorders>
              <w:top w:val="nil"/>
              <w:left w:val="nil"/>
              <w:bottom w:val="single" w:sz="4" w:space="0" w:color="auto"/>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Net tax paid ($)</w:t>
            </w:r>
          </w:p>
        </w:tc>
        <w:tc>
          <w:tcPr>
            <w:tcW w:w="1701" w:type="dxa"/>
            <w:tcBorders>
              <w:top w:val="nil"/>
              <w:left w:val="nil"/>
              <w:bottom w:val="single" w:sz="4" w:space="0" w:color="auto"/>
              <w:right w:val="nil"/>
            </w:tcBorders>
            <w:shd w:val="clear" w:color="auto" w:fill="auto"/>
            <w:noWrap/>
            <w:vAlign w:val="bottom"/>
            <w:hideMark/>
          </w:tcPr>
          <w:p w:rsidR="00A54132" w:rsidRPr="00216F19" w:rsidRDefault="00A54132"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261.40</w:t>
            </w:r>
          </w:p>
        </w:tc>
        <w:tc>
          <w:tcPr>
            <w:tcW w:w="1559" w:type="dxa"/>
            <w:tcBorders>
              <w:top w:val="nil"/>
              <w:left w:val="nil"/>
              <w:bottom w:val="single" w:sz="4" w:space="0" w:color="auto"/>
              <w:right w:val="nil"/>
            </w:tcBorders>
            <w:shd w:val="clear" w:color="auto" w:fill="auto"/>
            <w:noWrap/>
            <w:vAlign w:val="bottom"/>
            <w:hideMark/>
          </w:tcPr>
          <w:p w:rsidR="00A54132" w:rsidRPr="00216F19" w:rsidRDefault="00F544FD" w:rsidP="00F544FD">
            <w:pPr>
              <w:keepNext/>
              <w:keepLines/>
              <w:tabs>
                <w:tab w:val="left" w:pos="851"/>
              </w:tabs>
              <w:ind w:left="851" w:hanging="851"/>
              <w:rPr>
                <w:rFonts w:asciiTheme="minorHAnsi" w:hAnsiTheme="minorHAnsi" w:cs="Arial"/>
                <w:sz w:val="20"/>
                <w:szCs w:val="20"/>
              </w:rPr>
            </w:pPr>
            <w:r w:rsidRPr="00216F19">
              <w:rPr>
                <w:rFonts w:asciiTheme="minorHAnsi" w:hAnsiTheme="minorHAnsi" w:cs="Arial"/>
                <w:sz w:val="20"/>
                <w:szCs w:val="20"/>
              </w:rPr>
              <w:t>261.00</w:t>
            </w:r>
          </w:p>
        </w:tc>
      </w:tr>
      <w:tr w:rsidR="007C0B37" w:rsidRPr="00A26CD2" w:rsidTr="00B34A31">
        <w:trPr>
          <w:cantSplit/>
          <w:trHeight w:val="288"/>
        </w:trPr>
        <w:tc>
          <w:tcPr>
            <w:tcW w:w="9072" w:type="dxa"/>
            <w:gridSpan w:val="3"/>
            <w:tcBorders>
              <w:top w:val="single" w:sz="4" w:space="0" w:color="auto"/>
              <w:left w:val="nil"/>
              <w:right w:val="nil"/>
            </w:tcBorders>
            <w:shd w:val="clear" w:color="auto" w:fill="auto"/>
            <w:noWrap/>
            <w:vAlign w:val="bottom"/>
          </w:tcPr>
          <w:p w:rsidR="007C0B37" w:rsidRPr="007C0B37" w:rsidRDefault="007C0B37" w:rsidP="007C0B37">
            <w:pPr>
              <w:keepNext/>
              <w:keepLines/>
              <w:tabs>
                <w:tab w:val="left" w:pos="851"/>
              </w:tabs>
              <w:rPr>
                <w:rFonts w:asciiTheme="minorHAnsi" w:hAnsiTheme="minorHAnsi" w:cs="Arial"/>
                <w:b/>
                <w:sz w:val="18"/>
                <w:szCs w:val="18"/>
              </w:rPr>
            </w:pPr>
            <w:r w:rsidRPr="007C0B37">
              <w:rPr>
                <w:rFonts w:asciiTheme="minorHAnsi" w:hAnsiTheme="minorHAnsi" w:cs="Arial"/>
                <w:sz w:val="18"/>
                <w:szCs w:val="18"/>
                <w:vertAlign w:val="superscript"/>
              </w:rPr>
              <w:t>*</w:t>
            </w:r>
            <w:r w:rsidRPr="007C0B37">
              <w:rPr>
                <w:rFonts w:asciiTheme="minorHAnsi" w:hAnsiTheme="minorHAnsi" w:cs="Arial"/>
                <w:sz w:val="18"/>
                <w:szCs w:val="18"/>
              </w:rPr>
              <w:t xml:space="preserve"> The 26.14 </w:t>
            </w:r>
            <w:proofErr w:type="spellStart"/>
            <w:r w:rsidRPr="007C0B37">
              <w:rPr>
                <w:rFonts w:asciiTheme="minorHAnsi" w:hAnsiTheme="minorHAnsi" w:cs="Arial"/>
                <w:sz w:val="18"/>
                <w:szCs w:val="18"/>
              </w:rPr>
              <w:t>cpl</w:t>
            </w:r>
            <w:proofErr w:type="spellEnd"/>
            <w:r w:rsidRPr="007C0B37">
              <w:rPr>
                <w:rFonts w:asciiTheme="minorHAnsi" w:hAnsiTheme="minorHAnsi" w:cs="Arial"/>
                <w:sz w:val="18"/>
                <w:szCs w:val="18"/>
              </w:rPr>
              <w:t xml:space="preserve"> road user charge set by the </w:t>
            </w:r>
            <w:r w:rsidRPr="00763B47">
              <w:rPr>
                <w:rFonts w:asciiTheme="minorHAnsi" w:hAnsiTheme="minorHAnsi" w:cs="Arial"/>
                <w:i/>
                <w:sz w:val="18"/>
                <w:szCs w:val="18"/>
              </w:rPr>
              <w:t xml:space="preserve">Road User Charge Determination (No 1) 2013 </w:t>
            </w:r>
            <w:r w:rsidRPr="007C0B37">
              <w:rPr>
                <w:rFonts w:asciiTheme="minorHAnsi" w:hAnsiTheme="minorHAnsi" w:cs="Arial"/>
                <w:sz w:val="18"/>
                <w:szCs w:val="18"/>
              </w:rPr>
              <w:t>would be rounded to one decimal place of a cent – see schedule 4, ite</w:t>
            </w:r>
            <w:r w:rsidR="00592D33">
              <w:rPr>
                <w:rFonts w:asciiTheme="minorHAnsi" w:hAnsiTheme="minorHAnsi" w:cs="Arial"/>
                <w:sz w:val="18"/>
                <w:szCs w:val="18"/>
              </w:rPr>
              <w:t>m 6(2)</w:t>
            </w:r>
            <w:r w:rsidRPr="007C0B37">
              <w:rPr>
                <w:rFonts w:asciiTheme="minorHAnsi" w:hAnsiTheme="minorHAnsi" w:cs="Arial"/>
                <w:sz w:val="18"/>
                <w:szCs w:val="18"/>
              </w:rPr>
              <w:t xml:space="preserve"> of FIRF 2014.</w:t>
            </w:r>
          </w:p>
        </w:tc>
      </w:tr>
    </w:tbl>
    <w:p w:rsidR="00A54132" w:rsidRPr="00A26CD2" w:rsidRDefault="00A54132" w:rsidP="00A54132">
      <w:pPr>
        <w:tabs>
          <w:tab w:val="left" w:pos="851"/>
        </w:tabs>
        <w:rPr>
          <w:rFonts w:asciiTheme="minorHAnsi" w:hAnsiTheme="minorHAnsi" w:cs="Arial"/>
          <w:b/>
        </w:rPr>
      </w:pPr>
    </w:p>
    <w:p w:rsidR="00F544FD" w:rsidRDefault="00F544FD" w:rsidP="00A54132">
      <w:pPr>
        <w:rPr>
          <w:rFonts w:asciiTheme="minorHAnsi" w:eastAsiaTheme="minorHAnsi" w:hAnsiTheme="minorHAnsi" w:cstheme="minorBidi"/>
          <w:sz w:val="20"/>
          <w:szCs w:val="20"/>
        </w:rPr>
      </w:pPr>
    </w:p>
    <w:p w:rsidR="00A54132" w:rsidRPr="00A26CD2" w:rsidRDefault="00A54132" w:rsidP="00A54132">
      <w:pPr>
        <w:rPr>
          <w:rFonts w:asciiTheme="minorHAnsi" w:eastAsiaTheme="minorHAnsi" w:hAnsiTheme="minorHAnsi" w:cstheme="minorBidi"/>
          <w:sz w:val="20"/>
          <w:szCs w:val="20"/>
        </w:rPr>
      </w:pPr>
      <w:r w:rsidRPr="00A26CD2">
        <w:rPr>
          <w:rFonts w:asciiTheme="minorHAnsi" w:eastAsiaTheme="minorHAnsi" w:hAnsiTheme="minorHAnsi" w:cstheme="minorBidi"/>
          <w:sz w:val="20"/>
          <w:szCs w:val="20"/>
        </w:rPr>
        <w:t xml:space="preserve">Although the </w:t>
      </w:r>
      <w:r w:rsidR="00763B47">
        <w:rPr>
          <w:rFonts w:asciiTheme="minorHAnsi" w:eastAsiaTheme="minorHAnsi" w:hAnsiTheme="minorHAnsi" w:cstheme="minorBidi"/>
          <w:sz w:val="20"/>
          <w:szCs w:val="20"/>
        </w:rPr>
        <w:t>b</w:t>
      </w:r>
      <w:r w:rsidR="00F544FD">
        <w:rPr>
          <w:rFonts w:asciiTheme="minorHAnsi" w:eastAsiaTheme="minorHAnsi" w:hAnsiTheme="minorHAnsi" w:cstheme="minorBidi"/>
          <w:sz w:val="20"/>
          <w:szCs w:val="20"/>
        </w:rPr>
        <w:t xml:space="preserve">ills </w:t>
      </w:r>
      <w:r w:rsidRPr="00A26CD2">
        <w:rPr>
          <w:rFonts w:asciiTheme="minorHAnsi" w:eastAsiaTheme="minorHAnsi" w:hAnsiTheme="minorHAnsi" w:cstheme="minorBidi"/>
          <w:sz w:val="20"/>
          <w:szCs w:val="20"/>
        </w:rPr>
        <w:t>would not change the net fuel tax on trucks</w:t>
      </w:r>
      <w:r w:rsidR="00F544FD">
        <w:rPr>
          <w:rFonts w:asciiTheme="minorHAnsi" w:eastAsiaTheme="minorHAnsi" w:hAnsiTheme="minorHAnsi" w:cstheme="minorBidi"/>
          <w:sz w:val="20"/>
          <w:szCs w:val="20"/>
        </w:rPr>
        <w:t>,</w:t>
      </w:r>
      <w:r w:rsidRPr="00A26CD2">
        <w:rPr>
          <w:rFonts w:asciiTheme="minorHAnsi" w:eastAsiaTheme="minorHAnsi" w:hAnsiTheme="minorHAnsi" w:cstheme="minorBidi"/>
          <w:sz w:val="20"/>
          <w:szCs w:val="20"/>
        </w:rPr>
        <w:t xml:space="preserve"> the </w:t>
      </w:r>
      <w:r w:rsidR="00763B47">
        <w:rPr>
          <w:rFonts w:asciiTheme="minorHAnsi" w:eastAsiaTheme="minorHAnsi" w:hAnsiTheme="minorHAnsi" w:cstheme="minorBidi"/>
          <w:sz w:val="20"/>
          <w:szCs w:val="20"/>
        </w:rPr>
        <w:t xml:space="preserve">ATA identified two potential issues </w:t>
      </w:r>
      <w:r w:rsidR="00592D33">
        <w:rPr>
          <w:rFonts w:asciiTheme="minorHAnsi" w:eastAsiaTheme="minorHAnsi" w:hAnsiTheme="minorHAnsi" w:cstheme="minorBidi"/>
          <w:sz w:val="20"/>
          <w:szCs w:val="20"/>
        </w:rPr>
        <w:t xml:space="preserve">for trucking operators </w:t>
      </w:r>
      <w:r w:rsidR="00763B47">
        <w:rPr>
          <w:rFonts w:asciiTheme="minorHAnsi" w:eastAsiaTheme="minorHAnsi" w:hAnsiTheme="minorHAnsi" w:cstheme="minorBidi"/>
          <w:sz w:val="20"/>
          <w:szCs w:val="20"/>
        </w:rPr>
        <w:t xml:space="preserve">with the </w:t>
      </w:r>
      <w:r w:rsidRPr="00A26CD2">
        <w:rPr>
          <w:rFonts w:asciiTheme="minorHAnsi" w:eastAsiaTheme="minorHAnsi" w:hAnsiTheme="minorHAnsi" w:cstheme="minorBidi"/>
          <w:sz w:val="20"/>
          <w:szCs w:val="20"/>
        </w:rPr>
        <w:t>intro</w:t>
      </w:r>
      <w:r w:rsidR="00763B47">
        <w:rPr>
          <w:rFonts w:asciiTheme="minorHAnsi" w:eastAsiaTheme="minorHAnsi" w:hAnsiTheme="minorHAnsi" w:cstheme="minorBidi"/>
          <w:sz w:val="20"/>
          <w:szCs w:val="20"/>
        </w:rPr>
        <w:t>duction of fuel tax indexation</w:t>
      </w:r>
      <w:r w:rsidRPr="00A26CD2">
        <w:rPr>
          <w:rFonts w:asciiTheme="minorHAnsi" w:eastAsiaTheme="minorHAnsi" w:hAnsiTheme="minorHAnsi" w:cstheme="minorBidi"/>
          <w:sz w:val="20"/>
          <w:szCs w:val="20"/>
        </w:rPr>
        <w:t xml:space="preserve">. </w:t>
      </w:r>
      <w:r w:rsidR="00763B47">
        <w:rPr>
          <w:rFonts w:asciiTheme="minorHAnsi" w:eastAsiaTheme="minorHAnsi" w:hAnsiTheme="minorHAnsi" w:cstheme="minorBidi"/>
          <w:sz w:val="20"/>
          <w:szCs w:val="20"/>
        </w:rPr>
        <w:t xml:space="preserve">These issues are the focus of this submission, and are </w:t>
      </w:r>
      <w:r w:rsidRPr="00A26CD2">
        <w:rPr>
          <w:rFonts w:asciiTheme="minorHAnsi" w:eastAsiaTheme="minorHAnsi" w:hAnsiTheme="minorHAnsi" w:cstheme="minorBidi"/>
          <w:sz w:val="20"/>
          <w:szCs w:val="20"/>
        </w:rPr>
        <w:t xml:space="preserve">addressed </w:t>
      </w:r>
      <w:r w:rsidR="00F544FD">
        <w:rPr>
          <w:rFonts w:asciiTheme="minorHAnsi" w:eastAsiaTheme="minorHAnsi" w:hAnsiTheme="minorHAnsi" w:cstheme="minorBidi"/>
          <w:sz w:val="20"/>
          <w:szCs w:val="20"/>
        </w:rPr>
        <w:t xml:space="preserve">in </w:t>
      </w:r>
      <w:r w:rsidRPr="00A26CD2">
        <w:rPr>
          <w:rFonts w:asciiTheme="minorHAnsi" w:eastAsiaTheme="minorHAnsi" w:hAnsiTheme="minorHAnsi" w:cstheme="minorBidi"/>
          <w:sz w:val="20"/>
          <w:szCs w:val="20"/>
        </w:rPr>
        <w:t>the Fuel Indexation (Road Funding) Bill</w:t>
      </w:r>
      <w:r w:rsidR="00763B47">
        <w:rPr>
          <w:rFonts w:asciiTheme="minorHAnsi" w:eastAsiaTheme="minorHAnsi" w:hAnsiTheme="minorHAnsi" w:cstheme="minorBidi"/>
          <w:sz w:val="20"/>
          <w:szCs w:val="20"/>
        </w:rPr>
        <w:t xml:space="preserve"> 2014.</w:t>
      </w:r>
      <w:r w:rsidRPr="00A26CD2">
        <w:rPr>
          <w:rFonts w:asciiTheme="minorHAnsi" w:eastAsiaTheme="minorHAnsi" w:hAnsiTheme="minorHAnsi" w:cstheme="minorBidi"/>
          <w:sz w:val="20"/>
          <w:szCs w:val="20"/>
        </w:rPr>
        <w:t xml:space="preserve"> </w:t>
      </w:r>
    </w:p>
    <w:p w:rsidR="00E2768A" w:rsidRDefault="00E2768A" w:rsidP="00E2768A">
      <w:pPr>
        <w:autoSpaceDE w:val="0"/>
        <w:autoSpaceDN w:val="0"/>
        <w:adjustRightInd w:val="0"/>
        <w:rPr>
          <w:rFonts w:asciiTheme="minorHAnsi" w:hAnsiTheme="minorHAnsi" w:cs="Arial"/>
          <w:b/>
          <w:sz w:val="20"/>
          <w:szCs w:val="20"/>
          <w:highlight w:val="white"/>
          <w:lang w:eastAsia="en-AU"/>
        </w:rPr>
      </w:pPr>
    </w:p>
    <w:p w:rsidR="00F544FD" w:rsidRDefault="00F544FD" w:rsidP="00E2768A">
      <w:pPr>
        <w:autoSpaceDE w:val="0"/>
        <w:autoSpaceDN w:val="0"/>
        <w:adjustRightInd w:val="0"/>
        <w:rPr>
          <w:rFonts w:asciiTheme="minorHAnsi" w:hAnsiTheme="minorHAnsi" w:cs="Arial"/>
          <w:b/>
          <w:sz w:val="20"/>
          <w:szCs w:val="20"/>
          <w:highlight w:val="white"/>
          <w:lang w:eastAsia="en-AU"/>
        </w:rPr>
      </w:pPr>
    </w:p>
    <w:p w:rsidR="005D0EE2" w:rsidRDefault="00A54132" w:rsidP="00A26CD2">
      <w:pPr>
        <w:pStyle w:val="Heading1"/>
        <w:jc w:val="both"/>
        <w:rPr>
          <w:rFonts w:asciiTheme="minorHAnsi" w:hAnsiTheme="minorHAnsi"/>
          <w:szCs w:val="20"/>
        </w:rPr>
      </w:pPr>
      <w:bookmarkStart w:id="4" w:name="_Toc391627969"/>
      <w:r w:rsidRPr="00A26CD2">
        <w:rPr>
          <w:rFonts w:asciiTheme="minorHAnsi" w:hAnsiTheme="minorHAnsi"/>
          <w:szCs w:val="20"/>
        </w:rPr>
        <w:t>Issues</w:t>
      </w:r>
      <w:bookmarkStart w:id="5" w:name="_Toc350428781"/>
      <w:bookmarkStart w:id="6" w:name="_Toc350430046"/>
      <w:bookmarkStart w:id="7" w:name="_Toc350863674"/>
      <w:bookmarkStart w:id="8" w:name="_Toc350863781"/>
      <w:bookmarkStart w:id="9" w:name="_Toc351015747"/>
      <w:bookmarkStart w:id="10" w:name="_Toc351031262"/>
      <w:bookmarkStart w:id="11" w:name="_Toc351626128"/>
      <w:bookmarkStart w:id="12" w:name="_Toc352059537"/>
      <w:bookmarkStart w:id="13" w:name="_Toc352059645"/>
      <w:bookmarkStart w:id="14" w:name="_Toc352070702"/>
      <w:bookmarkStart w:id="15" w:name="_Toc352071952"/>
      <w:bookmarkStart w:id="16" w:name="_Toc352149563"/>
      <w:bookmarkEnd w:id="5"/>
      <w:bookmarkEnd w:id="6"/>
      <w:bookmarkEnd w:id="7"/>
      <w:bookmarkEnd w:id="8"/>
      <w:bookmarkEnd w:id="9"/>
      <w:bookmarkEnd w:id="10"/>
      <w:bookmarkEnd w:id="11"/>
      <w:bookmarkEnd w:id="12"/>
      <w:bookmarkEnd w:id="13"/>
      <w:bookmarkEnd w:id="14"/>
      <w:bookmarkEnd w:id="15"/>
      <w:bookmarkEnd w:id="16"/>
      <w:r w:rsidR="009A6D18">
        <w:rPr>
          <w:rFonts w:asciiTheme="minorHAnsi" w:hAnsiTheme="minorHAnsi"/>
          <w:szCs w:val="20"/>
        </w:rPr>
        <w:t xml:space="preserve"> with fuel </w:t>
      </w:r>
      <w:r w:rsidR="00C33777">
        <w:rPr>
          <w:rFonts w:asciiTheme="minorHAnsi" w:hAnsiTheme="minorHAnsi"/>
          <w:szCs w:val="20"/>
        </w:rPr>
        <w:t>tax</w:t>
      </w:r>
      <w:r w:rsidR="009A6D18">
        <w:rPr>
          <w:rFonts w:asciiTheme="minorHAnsi" w:hAnsiTheme="minorHAnsi"/>
          <w:szCs w:val="20"/>
        </w:rPr>
        <w:t xml:space="preserve"> </w:t>
      </w:r>
      <w:r w:rsidR="00322C31">
        <w:rPr>
          <w:rFonts w:asciiTheme="minorHAnsi" w:hAnsiTheme="minorHAnsi"/>
          <w:szCs w:val="20"/>
        </w:rPr>
        <w:t>indexation</w:t>
      </w:r>
      <w:bookmarkEnd w:id="4"/>
    </w:p>
    <w:p w:rsidR="009A6D18" w:rsidRPr="009A6D18" w:rsidRDefault="009A6D18" w:rsidP="009A6D18"/>
    <w:p w:rsidR="00BB4E99" w:rsidRPr="00A26CD2" w:rsidRDefault="00A54132" w:rsidP="00183923">
      <w:pPr>
        <w:pStyle w:val="Heading1"/>
        <w:numPr>
          <w:ilvl w:val="1"/>
          <w:numId w:val="3"/>
        </w:numPr>
        <w:jc w:val="both"/>
        <w:rPr>
          <w:rFonts w:asciiTheme="minorHAnsi" w:hAnsiTheme="minorHAnsi"/>
          <w:sz w:val="24"/>
          <w:szCs w:val="20"/>
        </w:rPr>
      </w:pPr>
      <w:bookmarkStart w:id="17" w:name="_Toc391627970"/>
      <w:r w:rsidRPr="00A26CD2">
        <w:rPr>
          <w:rFonts w:asciiTheme="minorHAnsi" w:hAnsiTheme="minorHAnsi"/>
          <w:sz w:val="24"/>
          <w:szCs w:val="20"/>
        </w:rPr>
        <w:t>Impact on quarterly BAS payers</w:t>
      </w:r>
      <w:bookmarkEnd w:id="17"/>
      <w:r w:rsidRPr="00A26CD2">
        <w:rPr>
          <w:rFonts w:asciiTheme="minorHAnsi" w:hAnsiTheme="minorHAnsi"/>
          <w:sz w:val="24"/>
          <w:szCs w:val="20"/>
        </w:rPr>
        <w:t xml:space="preserve"> </w:t>
      </w:r>
    </w:p>
    <w:p w:rsidR="00A54132" w:rsidRPr="00A26CD2" w:rsidRDefault="00A54132" w:rsidP="00A54132">
      <w:pPr>
        <w:rPr>
          <w:rFonts w:asciiTheme="minorHAnsi" w:hAnsiTheme="minorHAnsi"/>
        </w:rPr>
      </w:pPr>
    </w:p>
    <w:p w:rsidR="00A54132" w:rsidRPr="009A6D18" w:rsidRDefault="00A54132" w:rsidP="00A54132">
      <w:pPr>
        <w:rPr>
          <w:rFonts w:asciiTheme="minorHAnsi" w:hAnsiTheme="minorHAnsi" w:cs="Arial"/>
          <w:sz w:val="20"/>
          <w:szCs w:val="20"/>
        </w:rPr>
      </w:pPr>
      <w:r w:rsidRPr="009A6D18">
        <w:rPr>
          <w:rFonts w:asciiTheme="minorHAnsi" w:hAnsiTheme="minorHAnsi" w:cs="Arial"/>
          <w:sz w:val="20"/>
          <w:szCs w:val="20"/>
        </w:rPr>
        <w:t xml:space="preserve">At present, the </w:t>
      </w:r>
      <w:r w:rsidRPr="009A6D18">
        <w:rPr>
          <w:rFonts w:asciiTheme="minorHAnsi" w:hAnsiTheme="minorHAnsi" w:cs="Arial"/>
          <w:i/>
          <w:sz w:val="20"/>
          <w:szCs w:val="20"/>
        </w:rPr>
        <w:t>Fuel Tax Act</w:t>
      </w:r>
      <w:r w:rsidRPr="009A6D18">
        <w:rPr>
          <w:rFonts w:asciiTheme="minorHAnsi" w:hAnsiTheme="minorHAnsi" w:cs="Arial"/>
          <w:sz w:val="20"/>
          <w:szCs w:val="20"/>
        </w:rPr>
        <w:t xml:space="preserve"> requires businesses to calculate their fuel tax credits based on the rate of fuel tax that applied on the day they acquired or imported the fuel (s43-5(2A)). As a result, an increase in the fuel tax rate due to indexation would immediately flow through to operators’ fuel tax credits.</w:t>
      </w:r>
    </w:p>
    <w:p w:rsidR="00A54132" w:rsidRPr="009A6D18" w:rsidRDefault="00A54132" w:rsidP="00A54132">
      <w:pPr>
        <w:rPr>
          <w:rFonts w:asciiTheme="minorHAnsi" w:hAnsiTheme="minorHAnsi" w:cs="Arial"/>
          <w:sz w:val="20"/>
          <w:szCs w:val="20"/>
        </w:rPr>
      </w:pPr>
    </w:p>
    <w:p w:rsidR="00A54132" w:rsidRPr="009A6D18" w:rsidRDefault="00A54132" w:rsidP="00A54132">
      <w:pPr>
        <w:rPr>
          <w:rFonts w:asciiTheme="minorHAnsi" w:hAnsiTheme="minorHAnsi" w:cs="Arial"/>
          <w:sz w:val="20"/>
          <w:szCs w:val="20"/>
        </w:rPr>
      </w:pPr>
      <w:r w:rsidRPr="009A6D18">
        <w:rPr>
          <w:rFonts w:asciiTheme="minorHAnsi" w:hAnsiTheme="minorHAnsi" w:cs="Arial"/>
          <w:sz w:val="20"/>
          <w:szCs w:val="20"/>
        </w:rPr>
        <w:t xml:space="preserve">This arrangement is set to change on 1 July 2015. For fuel acquired, manufactured or imported from 1 July 2015, businesses will be required to calculate their fuel tax credits based on the tax rate that applied on the </w:t>
      </w:r>
      <w:r w:rsidRPr="00F544FD">
        <w:rPr>
          <w:rFonts w:asciiTheme="minorHAnsi" w:hAnsiTheme="minorHAnsi" w:cs="Arial"/>
          <w:b/>
          <w:sz w:val="20"/>
          <w:szCs w:val="20"/>
        </w:rPr>
        <w:t>first day of the tax period to which the credit is attributable</w:t>
      </w:r>
      <w:r w:rsidRPr="009A6D18">
        <w:rPr>
          <w:rFonts w:asciiTheme="minorHAnsi" w:hAnsiTheme="minorHAnsi" w:cs="Arial"/>
          <w:sz w:val="20"/>
          <w:szCs w:val="20"/>
        </w:rPr>
        <w:t xml:space="preserve"> (s43-5(2A) row 3).</w:t>
      </w:r>
    </w:p>
    <w:p w:rsidR="00A54132" w:rsidRPr="009A6D18" w:rsidRDefault="00A54132" w:rsidP="00A54132">
      <w:pPr>
        <w:rPr>
          <w:rFonts w:asciiTheme="minorHAnsi" w:hAnsiTheme="minorHAnsi" w:cs="Arial"/>
          <w:sz w:val="20"/>
          <w:szCs w:val="20"/>
        </w:rPr>
      </w:pPr>
    </w:p>
    <w:p w:rsidR="00A54132" w:rsidRPr="009A6D18" w:rsidRDefault="00A54132" w:rsidP="00A54132">
      <w:pPr>
        <w:rPr>
          <w:rFonts w:asciiTheme="minorHAnsi" w:hAnsiTheme="minorHAnsi" w:cs="Arial"/>
          <w:sz w:val="20"/>
          <w:szCs w:val="20"/>
        </w:rPr>
      </w:pPr>
      <w:r w:rsidRPr="009A6D18">
        <w:rPr>
          <w:rFonts w:asciiTheme="minorHAnsi" w:hAnsiTheme="minorHAnsi" w:cs="Arial"/>
          <w:sz w:val="20"/>
          <w:szCs w:val="20"/>
        </w:rPr>
        <w:t>The effect of this method change would be as follows:</w:t>
      </w:r>
    </w:p>
    <w:p w:rsidR="00A54132" w:rsidRPr="009A6D18" w:rsidRDefault="00A54132" w:rsidP="00A54132">
      <w:pPr>
        <w:rPr>
          <w:rFonts w:asciiTheme="minorHAnsi" w:hAnsiTheme="min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299"/>
      </w:tblGrid>
      <w:tr w:rsidR="00A54132" w:rsidRPr="009A6D18" w:rsidTr="00F37699">
        <w:tc>
          <w:tcPr>
            <w:tcW w:w="2943" w:type="dxa"/>
          </w:tcPr>
          <w:p w:rsidR="00A54132" w:rsidRPr="009A6D18" w:rsidRDefault="00A54132" w:rsidP="00A54132">
            <w:pPr>
              <w:rPr>
                <w:rFonts w:asciiTheme="minorHAnsi" w:hAnsiTheme="minorHAnsi" w:cs="Arial"/>
                <w:b/>
                <w:sz w:val="20"/>
                <w:szCs w:val="20"/>
              </w:rPr>
            </w:pPr>
            <w:r w:rsidRPr="009A6D18">
              <w:rPr>
                <w:rFonts w:asciiTheme="minorHAnsi" w:hAnsiTheme="minorHAnsi" w:cs="Arial"/>
                <w:b/>
                <w:sz w:val="20"/>
                <w:szCs w:val="20"/>
              </w:rPr>
              <w:t>Monthly BAS payers</w:t>
            </w:r>
          </w:p>
        </w:tc>
        <w:tc>
          <w:tcPr>
            <w:tcW w:w="6299" w:type="dxa"/>
          </w:tcPr>
          <w:p w:rsidR="00A54132" w:rsidRPr="009A6D18" w:rsidRDefault="00A54132" w:rsidP="00A54132">
            <w:pPr>
              <w:rPr>
                <w:rFonts w:asciiTheme="minorHAnsi" w:hAnsiTheme="minorHAnsi" w:cs="Arial"/>
                <w:sz w:val="20"/>
                <w:szCs w:val="20"/>
              </w:rPr>
            </w:pPr>
            <w:r w:rsidRPr="009A6D18">
              <w:rPr>
                <w:rFonts w:asciiTheme="minorHAnsi" w:hAnsiTheme="minorHAnsi" w:cs="Arial"/>
                <w:sz w:val="20"/>
                <w:szCs w:val="20"/>
              </w:rPr>
              <w:t>No effect. The 1 February and 1 August fuel tax indexations would apply on the first day of their February and August tax periods.</w:t>
            </w:r>
          </w:p>
          <w:p w:rsidR="00A54132" w:rsidRPr="009A6D18" w:rsidRDefault="00A54132" w:rsidP="00A54132">
            <w:pPr>
              <w:rPr>
                <w:rFonts w:asciiTheme="minorHAnsi" w:hAnsiTheme="minorHAnsi" w:cs="Arial"/>
                <w:sz w:val="20"/>
                <w:szCs w:val="20"/>
              </w:rPr>
            </w:pPr>
          </w:p>
        </w:tc>
      </w:tr>
      <w:tr w:rsidR="00A54132" w:rsidRPr="009A6D18" w:rsidTr="00F37699">
        <w:tc>
          <w:tcPr>
            <w:tcW w:w="2943" w:type="dxa"/>
          </w:tcPr>
          <w:p w:rsidR="00A54132" w:rsidRPr="009A6D18" w:rsidRDefault="00A54132" w:rsidP="00A54132">
            <w:pPr>
              <w:rPr>
                <w:rFonts w:asciiTheme="minorHAnsi" w:hAnsiTheme="minorHAnsi" w:cs="Arial"/>
                <w:b/>
                <w:sz w:val="20"/>
                <w:szCs w:val="20"/>
              </w:rPr>
            </w:pPr>
            <w:r w:rsidRPr="009A6D18">
              <w:rPr>
                <w:rFonts w:asciiTheme="minorHAnsi" w:hAnsiTheme="minorHAnsi" w:cs="Arial"/>
                <w:b/>
                <w:sz w:val="20"/>
                <w:szCs w:val="20"/>
              </w:rPr>
              <w:t>Quarterly BAS payers</w:t>
            </w:r>
          </w:p>
        </w:tc>
        <w:tc>
          <w:tcPr>
            <w:tcW w:w="6299" w:type="dxa"/>
          </w:tcPr>
          <w:p w:rsidR="00A54132" w:rsidRPr="009A6D18" w:rsidRDefault="00A54132" w:rsidP="00A54132">
            <w:pPr>
              <w:rPr>
                <w:rFonts w:asciiTheme="minorHAnsi" w:hAnsiTheme="minorHAnsi" w:cs="Arial"/>
                <w:sz w:val="20"/>
                <w:szCs w:val="20"/>
              </w:rPr>
            </w:pPr>
            <w:r w:rsidRPr="009A6D18">
              <w:rPr>
                <w:rFonts w:asciiTheme="minorHAnsi" w:hAnsiTheme="minorHAnsi" w:cs="Arial"/>
                <w:sz w:val="20"/>
                <w:szCs w:val="20"/>
              </w:rPr>
              <w:t>Quarterly BAS payers would not be able to claim fuel tax credits at the higher rate until two months after the indexation occurred (ie: 1 April and 1 October instead of 1 February and 1 August).</w:t>
            </w:r>
          </w:p>
        </w:tc>
      </w:tr>
    </w:tbl>
    <w:p w:rsidR="00A54132" w:rsidRPr="009A6D18" w:rsidRDefault="00A54132" w:rsidP="00A54132">
      <w:pPr>
        <w:rPr>
          <w:rFonts w:asciiTheme="minorHAnsi" w:hAnsiTheme="minorHAnsi" w:cs="Arial"/>
          <w:sz w:val="20"/>
          <w:szCs w:val="20"/>
        </w:rPr>
      </w:pPr>
    </w:p>
    <w:p w:rsidR="00A26CD2" w:rsidRPr="009A6D18" w:rsidRDefault="00F544FD" w:rsidP="00A54132">
      <w:pPr>
        <w:rPr>
          <w:rFonts w:asciiTheme="minorHAnsi" w:hAnsiTheme="minorHAnsi" w:cs="Arial"/>
          <w:sz w:val="20"/>
          <w:szCs w:val="20"/>
        </w:rPr>
      </w:pPr>
      <w:r>
        <w:rPr>
          <w:rFonts w:asciiTheme="minorHAnsi" w:hAnsiTheme="minorHAnsi" w:cs="Arial"/>
          <w:sz w:val="20"/>
          <w:szCs w:val="20"/>
        </w:rPr>
        <w:t xml:space="preserve">This would </w:t>
      </w:r>
      <w:r w:rsidR="00A54132" w:rsidRPr="009A6D18">
        <w:rPr>
          <w:rFonts w:asciiTheme="minorHAnsi" w:hAnsiTheme="minorHAnsi" w:cs="Arial"/>
          <w:sz w:val="20"/>
          <w:szCs w:val="20"/>
        </w:rPr>
        <w:t xml:space="preserve">obviously </w:t>
      </w:r>
      <w:r>
        <w:rPr>
          <w:rFonts w:asciiTheme="minorHAnsi" w:hAnsiTheme="minorHAnsi" w:cs="Arial"/>
          <w:sz w:val="20"/>
          <w:szCs w:val="20"/>
        </w:rPr>
        <w:t xml:space="preserve">be </w:t>
      </w:r>
      <w:r w:rsidR="00A54132" w:rsidRPr="009A6D18">
        <w:rPr>
          <w:rFonts w:asciiTheme="minorHAnsi" w:hAnsiTheme="minorHAnsi" w:cs="Arial"/>
          <w:sz w:val="20"/>
          <w:szCs w:val="20"/>
        </w:rPr>
        <w:t>undesirable</w:t>
      </w:r>
      <w:r>
        <w:rPr>
          <w:rFonts w:asciiTheme="minorHAnsi" w:hAnsiTheme="minorHAnsi" w:cs="Arial"/>
          <w:sz w:val="20"/>
          <w:szCs w:val="20"/>
        </w:rPr>
        <w:t>. It would mean that</w:t>
      </w:r>
      <w:r w:rsidR="00A54132" w:rsidRPr="009A6D18">
        <w:rPr>
          <w:rFonts w:asciiTheme="minorHAnsi" w:hAnsiTheme="minorHAnsi" w:cs="Arial"/>
          <w:sz w:val="20"/>
          <w:szCs w:val="20"/>
        </w:rPr>
        <w:t xml:space="preserve"> quarterly BAS payers </w:t>
      </w:r>
      <w:r w:rsidR="00406847">
        <w:rPr>
          <w:rFonts w:asciiTheme="minorHAnsi" w:hAnsiTheme="minorHAnsi" w:cs="Arial"/>
          <w:sz w:val="20"/>
          <w:szCs w:val="20"/>
        </w:rPr>
        <w:t xml:space="preserve">(businesses with a GST turnover of less than $20 million) </w:t>
      </w:r>
      <w:r>
        <w:rPr>
          <w:rFonts w:asciiTheme="minorHAnsi" w:hAnsiTheme="minorHAnsi" w:cs="Arial"/>
          <w:sz w:val="20"/>
          <w:szCs w:val="20"/>
        </w:rPr>
        <w:t xml:space="preserve">would </w:t>
      </w:r>
      <w:r w:rsidR="00A54132" w:rsidRPr="009A6D18">
        <w:rPr>
          <w:rFonts w:asciiTheme="minorHAnsi" w:hAnsiTheme="minorHAnsi" w:cs="Arial"/>
          <w:sz w:val="20"/>
          <w:szCs w:val="20"/>
        </w:rPr>
        <w:t xml:space="preserve">be subject to a </w:t>
      </w:r>
      <w:r w:rsidR="00406847">
        <w:rPr>
          <w:rFonts w:asciiTheme="minorHAnsi" w:hAnsiTheme="minorHAnsi" w:cs="Arial"/>
          <w:sz w:val="20"/>
          <w:szCs w:val="20"/>
        </w:rPr>
        <w:t xml:space="preserve">higher </w:t>
      </w:r>
      <w:r w:rsidR="00A54132" w:rsidRPr="009A6D18">
        <w:rPr>
          <w:rFonts w:asciiTheme="minorHAnsi" w:hAnsiTheme="minorHAnsi" w:cs="Arial"/>
          <w:sz w:val="20"/>
          <w:szCs w:val="20"/>
        </w:rPr>
        <w:t>effective t</w:t>
      </w:r>
      <w:r w:rsidR="0063160F">
        <w:rPr>
          <w:rFonts w:asciiTheme="minorHAnsi" w:hAnsiTheme="minorHAnsi" w:cs="Arial"/>
          <w:sz w:val="20"/>
          <w:szCs w:val="20"/>
        </w:rPr>
        <w:t>ax rate than monthly BAS payers</w:t>
      </w:r>
      <w:r w:rsidR="00763B47">
        <w:rPr>
          <w:rFonts w:asciiTheme="minorHAnsi" w:hAnsiTheme="minorHAnsi" w:cs="Arial"/>
          <w:sz w:val="20"/>
          <w:szCs w:val="20"/>
        </w:rPr>
        <w:t>.</w:t>
      </w:r>
      <w:r w:rsidR="0063160F">
        <w:rPr>
          <w:rFonts w:asciiTheme="minorHAnsi" w:hAnsiTheme="minorHAnsi" w:cs="Arial"/>
          <w:sz w:val="20"/>
          <w:szCs w:val="20"/>
        </w:rPr>
        <w:t xml:space="preserve"> </w:t>
      </w:r>
    </w:p>
    <w:p w:rsidR="00A26CD2" w:rsidRPr="00F544FD" w:rsidRDefault="00A26CD2" w:rsidP="00A54132">
      <w:pPr>
        <w:rPr>
          <w:rFonts w:asciiTheme="minorHAnsi" w:hAnsiTheme="minorHAnsi" w:cs="Arial"/>
          <w:sz w:val="20"/>
          <w:szCs w:val="20"/>
        </w:rPr>
      </w:pPr>
    </w:p>
    <w:p w:rsidR="00F544FD" w:rsidRPr="00F544FD" w:rsidRDefault="00F544FD" w:rsidP="00A54132">
      <w:pPr>
        <w:rPr>
          <w:rFonts w:asciiTheme="minorHAnsi" w:hAnsiTheme="minorHAnsi" w:cs="Arial"/>
          <w:sz w:val="20"/>
          <w:szCs w:val="20"/>
        </w:rPr>
      </w:pPr>
    </w:p>
    <w:p w:rsidR="00BB4E99" w:rsidRPr="00A26CD2" w:rsidRDefault="009A6D18" w:rsidP="00A26CD2">
      <w:pPr>
        <w:pStyle w:val="Heading1"/>
        <w:numPr>
          <w:ilvl w:val="1"/>
          <w:numId w:val="3"/>
        </w:numPr>
        <w:jc w:val="both"/>
        <w:rPr>
          <w:rFonts w:asciiTheme="minorHAnsi" w:hAnsiTheme="minorHAnsi"/>
          <w:sz w:val="24"/>
          <w:szCs w:val="24"/>
        </w:rPr>
      </w:pPr>
      <w:bookmarkStart w:id="18" w:name="_Toc391627971"/>
      <w:r w:rsidRPr="00A26CD2">
        <w:rPr>
          <w:rFonts w:asciiTheme="minorHAnsi" w:hAnsiTheme="minorHAnsi"/>
          <w:sz w:val="24"/>
          <w:szCs w:val="24"/>
        </w:rPr>
        <w:t>Re</w:t>
      </w:r>
      <w:r>
        <w:rPr>
          <w:rFonts w:asciiTheme="minorHAnsi" w:hAnsiTheme="minorHAnsi"/>
          <w:sz w:val="24"/>
          <w:szCs w:val="24"/>
        </w:rPr>
        <w:t>d</w:t>
      </w:r>
      <w:r w:rsidRPr="00A26CD2">
        <w:rPr>
          <w:rFonts w:asciiTheme="minorHAnsi" w:hAnsiTheme="minorHAnsi"/>
          <w:sz w:val="24"/>
          <w:szCs w:val="24"/>
        </w:rPr>
        <w:t>ucing</w:t>
      </w:r>
      <w:r w:rsidR="00A26CD2" w:rsidRPr="00A26CD2">
        <w:rPr>
          <w:rFonts w:asciiTheme="minorHAnsi" w:hAnsiTheme="minorHAnsi"/>
          <w:sz w:val="24"/>
          <w:szCs w:val="24"/>
        </w:rPr>
        <w:t xml:space="preserve"> the number of fuel tax credit adjustments in a year</w:t>
      </w:r>
      <w:bookmarkEnd w:id="18"/>
    </w:p>
    <w:p w:rsidR="00A26CD2" w:rsidRPr="00A26CD2" w:rsidRDefault="00A26CD2" w:rsidP="00A26CD2">
      <w:pPr>
        <w:rPr>
          <w:rFonts w:asciiTheme="minorHAnsi" w:hAnsiTheme="minorHAnsi"/>
        </w:rPr>
      </w:pPr>
    </w:p>
    <w:p w:rsidR="0063160F" w:rsidRPr="0063160F" w:rsidRDefault="0063160F" w:rsidP="0063160F">
      <w:pPr>
        <w:rPr>
          <w:rFonts w:asciiTheme="minorHAnsi" w:eastAsiaTheme="minorHAnsi" w:hAnsiTheme="minorHAnsi" w:cstheme="minorBidi"/>
          <w:sz w:val="20"/>
          <w:szCs w:val="20"/>
        </w:rPr>
      </w:pPr>
      <w:r w:rsidRPr="0063160F">
        <w:rPr>
          <w:rFonts w:asciiTheme="minorHAnsi" w:eastAsiaTheme="minorHAnsi" w:hAnsiTheme="minorHAnsi" w:cstheme="minorBidi"/>
          <w:sz w:val="20"/>
          <w:szCs w:val="20"/>
        </w:rPr>
        <w:t xml:space="preserve">Many fuel levies, contracts and cost calculators used in the </w:t>
      </w:r>
      <w:r>
        <w:rPr>
          <w:rFonts w:asciiTheme="minorHAnsi" w:eastAsiaTheme="minorHAnsi" w:hAnsiTheme="minorHAnsi" w:cstheme="minorBidi"/>
          <w:sz w:val="20"/>
          <w:szCs w:val="20"/>
        </w:rPr>
        <w:t xml:space="preserve">trucking </w:t>
      </w:r>
      <w:r w:rsidRPr="0063160F">
        <w:rPr>
          <w:rFonts w:asciiTheme="minorHAnsi" w:eastAsiaTheme="minorHAnsi" w:hAnsiTheme="minorHAnsi" w:cstheme="minorBidi"/>
          <w:sz w:val="20"/>
          <w:szCs w:val="20"/>
        </w:rPr>
        <w:t xml:space="preserve">industry are based on the fuel tax credit rate. </w:t>
      </w:r>
      <w:r>
        <w:rPr>
          <w:rFonts w:asciiTheme="minorHAnsi" w:eastAsiaTheme="minorHAnsi" w:hAnsiTheme="minorHAnsi" w:cstheme="minorBidi"/>
          <w:sz w:val="20"/>
          <w:szCs w:val="20"/>
        </w:rPr>
        <w:t xml:space="preserve">The reintroduction of fuel tax indexation would mean they would need to be </w:t>
      </w:r>
      <w:r w:rsidR="00763B47">
        <w:rPr>
          <w:rFonts w:asciiTheme="minorHAnsi" w:eastAsiaTheme="minorHAnsi" w:hAnsiTheme="minorHAnsi" w:cstheme="minorBidi"/>
          <w:sz w:val="20"/>
          <w:szCs w:val="20"/>
        </w:rPr>
        <w:t>altered</w:t>
      </w:r>
      <w:r w:rsidRPr="0063160F">
        <w:rPr>
          <w:rFonts w:asciiTheme="minorHAnsi" w:eastAsiaTheme="minorHAnsi" w:hAnsiTheme="minorHAnsi" w:cstheme="minorBidi"/>
          <w:sz w:val="20"/>
          <w:szCs w:val="20"/>
        </w:rPr>
        <w:t xml:space="preserve"> up to three times a year: on 1 February and 1 August due to indexation and on 1 July in some years due to adjustments to the road user charge. The Australian Government has announced it will not adjust the road user charge in 2014.</w:t>
      </w:r>
      <w:r w:rsidR="00F768EC">
        <w:rPr>
          <w:rStyle w:val="FootnoteReference"/>
          <w:rFonts w:asciiTheme="minorHAnsi" w:eastAsiaTheme="minorHAnsi" w:hAnsiTheme="minorHAnsi"/>
          <w:sz w:val="20"/>
          <w:szCs w:val="20"/>
        </w:rPr>
        <w:footnoteReference w:id="4"/>
      </w:r>
    </w:p>
    <w:p w:rsidR="0047357F" w:rsidRDefault="0047357F" w:rsidP="0063160F">
      <w:pPr>
        <w:rPr>
          <w:rFonts w:asciiTheme="minorHAnsi" w:eastAsiaTheme="minorHAnsi" w:hAnsiTheme="minorHAnsi" w:cstheme="minorBidi"/>
          <w:sz w:val="20"/>
          <w:szCs w:val="20"/>
        </w:rPr>
      </w:pPr>
    </w:p>
    <w:p w:rsidR="00A26CD2" w:rsidRPr="00384AED" w:rsidRDefault="0047357F" w:rsidP="0063160F">
      <w:pPr>
        <w:rPr>
          <w:rFonts w:asciiTheme="minorHAnsi" w:eastAsiaTheme="minorHAnsi" w:hAnsiTheme="minorHAnsi" w:cstheme="minorBidi"/>
          <w:sz w:val="20"/>
          <w:szCs w:val="20"/>
        </w:rPr>
      </w:pPr>
      <w:r>
        <w:rPr>
          <w:rFonts w:asciiTheme="minorHAnsi" w:eastAsiaTheme="minorHAnsi" w:hAnsiTheme="minorHAnsi" w:cstheme="minorBidi"/>
          <w:sz w:val="20"/>
          <w:szCs w:val="20"/>
        </w:rPr>
        <w:t>To reduce the red tape burden on the industry, t</w:t>
      </w:r>
      <w:r w:rsidR="00A26CD2" w:rsidRPr="00384AED">
        <w:rPr>
          <w:rFonts w:asciiTheme="minorHAnsi" w:eastAsiaTheme="minorHAnsi" w:hAnsiTheme="minorHAnsi" w:cstheme="minorBidi"/>
          <w:sz w:val="20"/>
          <w:szCs w:val="20"/>
        </w:rPr>
        <w:t xml:space="preserve">he ATA </w:t>
      </w:r>
      <w:r>
        <w:rPr>
          <w:rFonts w:asciiTheme="minorHAnsi" w:eastAsiaTheme="minorHAnsi" w:hAnsiTheme="minorHAnsi" w:cstheme="minorBidi"/>
          <w:sz w:val="20"/>
          <w:szCs w:val="20"/>
        </w:rPr>
        <w:t>considers it would be appropriate</w:t>
      </w:r>
      <w:r w:rsidR="00763B47">
        <w:rPr>
          <w:rFonts w:asciiTheme="minorHAnsi" w:eastAsiaTheme="minorHAnsi" w:hAnsiTheme="minorHAnsi" w:cstheme="minorBidi"/>
          <w:sz w:val="20"/>
          <w:szCs w:val="20"/>
        </w:rPr>
        <w:t xml:space="preserve"> </w:t>
      </w:r>
      <w:r>
        <w:rPr>
          <w:rFonts w:asciiTheme="minorHAnsi" w:eastAsiaTheme="minorHAnsi" w:hAnsiTheme="minorHAnsi" w:cstheme="minorBidi"/>
          <w:sz w:val="20"/>
          <w:szCs w:val="20"/>
        </w:rPr>
        <w:t xml:space="preserve">for the Government to adjust </w:t>
      </w:r>
      <w:r w:rsidR="00A26CD2" w:rsidRPr="00384AED">
        <w:rPr>
          <w:rFonts w:asciiTheme="minorHAnsi" w:eastAsiaTheme="minorHAnsi" w:hAnsiTheme="minorHAnsi" w:cstheme="minorBidi"/>
          <w:sz w:val="20"/>
          <w:szCs w:val="20"/>
        </w:rPr>
        <w:t xml:space="preserve">the road user charge </w:t>
      </w:r>
      <w:r w:rsidR="00763B47">
        <w:rPr>
          <w:rFonts w:asciiTheme="minorHAnsi" w:eastAsiaTheme="minorHAnsi" w:hAnsiTheme="minorHAnsi" w:cstheme="minorBidi"/>
          <w:sz w:val="20"/>
          <w:szCs w:val="20"/>
        </w:rPr>
        <w:t>on 1 August rather than 1 July</w:t>
      </w:r>
      <w:r w:rsidR="00A26CD2" w:rsidRPr="00384AED">
        <w:rPr>
          <w:rFonts w:asciiTheme="minorHAnsi" w:eastAsiaTheme="minorHAnsi" w:hAnsiTheme="minorHAnsi" w:cstheme="minorBidi"/>
          <w:sz w:val="20"/>
          <w:szCs w:val="20"/>
        </w:rPr>
        <w:t xml:space="preserve"> in </w:t>
      </w:r>
      <w:r>
        <w:rPr>
          <w:rFonts w:asciiTheme="minorHAnsi" w:eastAsiaTheme="minorHAnsi" w:hAnsiTheme="minorHAnsi" w:cstheme="minorBidi"/>
          <w:sz w:val="20"/>
          <w:szCs w:val="20"/>
        </w:rPr>
        <w:t xml:space="preserve">those </w:t>
      </w:r>
      <w:r w:rsidR="00A26CD2" w:rsidRPr="00384AED">
        <w:rPr>
          <w:rFonts w:asciiTheme="minorHAnsi" w:eastAsiaTheme="minorHAnsi" w:hAnsiTheme="minorHAnsi" w:cstheme="minorBidi"/>
          <w:sz w:val="20"/>
          <w:szCs w:val="20"/>
        </w:rPr>
        <w:t xml:space="preserve">years </w:t>
      </w:r>
      <w:r>
        <w:rPr>
          <w:rFonts w:asciiTheme="minorHAnsi" w:eastAsiaTheme="minorHAnsi" w:hAnsiTheme="minorHAnsi" w:cstheme="minorBidi"/>
          <w:sz w:val="20"/>
          <w:szCs w:val="20"/>
        </w:rPr>
        <w:t>w</w:t>
      </w:r>
      <w:r w:rsidR="00763B47">
        <w:rPr>
          <w:rFonts w:asciiTheme="minorHAnsi" w:eastAsiaTheme="minorHAnsi" w:hAnsiTheme="minorHAnsi" w:cstheme="minorBidi"/>
          <w:sz w:val="20"/>
          <w:szCs w:val="20"/>
        </w:rPr>
        <w:t>here the road user charge needs</w:t>
      </w:r>
      <w:r>
        <w:rPr>
          <w:rFonts w:asciiTheme="minorHAnsi" w:eastAsiaTheme="minorHAnsi" w:hAnsiTheme="minorHAnsi" w:cstheme="minorBidi"/>
          <w:sz w:val="20"/>
          <w:szCs w:val="20"/>
        </w:rPr>
        <w:t xml:space="preserve"> to be altered</w:t>
      </w:r>
      <w:r w:rsidR="00A26CD2" w:rsidRPr="00384AED">
        <w:rPr>
          <w:rFonts w:asciiTheme="minorHAnsi" w:eastAsiaTheme="minorHAnsi" w:hAnsiTheme="minorHAnsi" w:cstheme="minorBidi"/>
          <w:sz w:val="20"/>
          <w:szCs w:val="20"/>
        </w:rPr>
        <w:t>.</w:t>
      </w:r>
    </w:p>
    <w:p w:rsidR="00A26CD2" w:rsidRPr="00384AED" w:rsidRDefault="00A26CD2" w:rsidP="00A26CD2">
      <w:pPr>
        <w:rPr>
          <w:rFonts w:asciiTheme="minorHAnsi" w:eastAsiaTheme="minorHAnsi" w:hAnsiTheme="minorHAnsi" w:cstheme="minorBidi"/>
          <w:sz w:val="20"/>
          <w:szCs w:val="20"/>
        </w:rPr>
      </w:pPr>
    </w:p>
    <w:p w:rsidR="00A26CD2" w:rsidRPr="0047357F" w:rsidRDefault="00A26CD2" w:rsidP="0047357F">
      <w:pPr>
        <w:rPr>
          <w:rFonts w:asciiTheme="minorHAnsi" w:eastAsiaTheme="minorHAnsi" w:hAnsiTheme="minorHAnsi" w:cstheme="minorBidi"/>
          <w:sz w:val="20"/>
          <w:szCs w:val="20"/>
        </w:rPr>
      </w:pPr>
      <w:r w:rsidRPr="00384AED">
        <w:rPr>
          <w:rFonts w:asciiTheme="minorHAnsi" w:eastAsiaTheme="minorHAnsi" w:hAnsiTheme="minorHAnsi" w:cstheme="minorBidi"/>
          <w:sz w:val="20"/>
          <w:szCs w:val="20"/>
        </w:rPr>
        <w:t xml:space="preserve">To </w:t>
      </w:r>
      <w:r w:rsidR="00763B47">
        <w:rPr>
          <w:rFonts w:asciiTheme="minorHAnsi" w:eastAsiaTheme="minorHAnsi" w:hAnsiTheme="minorHAnsi" w:cstheme="minorBidi"/>
          <w:sz w:val="20"/>
          <w:szCs w:val="20"/>
        </w:rPr>
        <w:t>enable this to occur</w:t>
      </w:r>
      <w:r w:rsidR="0047357F">
        <w:rPr>
          <w:rFonts w:asciiTheme="minorHAnsi" w:eastAsiaTheme="minorHAnsi" w:hAnsiTheme="minorHAnsi" w:cstheme="minorBidi"/>
          <w:sz w:val="20"/>
          <w:szCs w:val="20"/>
        </w:rPr>
        <w:t xml:space="preserve">, there would need to be </w:t>
      </w:r>
      <w:r w:rsidRPr="0047357F">
        <w:rPr>
          <w:rFonts w:asciiTheme="minorHAnsi" w:eastAsiaTheme="minorHAnsi" w:hAnsiTheme="minorHAnsi" w:cstheme="minorBidi"/>
          <w:sz w:val="20"/>
          <w:szCs w:val="20"/>
        </w:rPr>
        <w:t xml:space="preserve">a technical amendment to section 43-10(6) of the </w:t>
      </w:r>
      <w:r w:rsidRPr="0047357F">
        <w:rPr>
          <w:rFonts w:asciiTheme="minorHAnsi" w:eastAsiaTheme="minorHAnsi" w:hAnsiTheme="minorHAnsi" w:cstheme="minorBidi"/>
          <w:i/>
          <w:sz w:val="20"/>
          <w:szCs w:val="20"/>
        </w:rPr>
        <w:t>Fuel Tax Act</w:t>
      </w:r>
      <w:r w:rsidRPr="0047357F">
        <w:rPr>
          <w:rFonts w:asciiTheme="minorHAnsi" w:eastAsiaTheme="minorHAnsi" w:hAnsiTheme="minorHAnsi" w:cstheme="minorBidi"/>
          <w:sz w:val="20"/>
          <w:szCs w:val="20"/>
        </w:rPr>
        <w:t xml:space="preserve">. </w:t>
      </w:r>
      <w:r w:rsidR="00592D33">
        <w:rPr>
          <w:rFonts w:asciiTheme="minorHAnsi" w:eastAsiaTheme="minorHAnsi" w:hAnsiTheme="minorHAnsi" w:cstheme="minorBidi"/>
          <w:sz w:val="20"/>
          <w:szCs w:val="20"/>
        </w:rPr>
        <w:t>This section</w:t>
      </w:r>
      <w:r w:rsidRPr="0047357F">
        <w:rPr>
          <w:rFonts w:asciiTheme="minorHAnsi" w:eastAsiaTheme="minorHAnsi" w:hAnsiTheme="minorHAnsi" w:cstheme="minorBidi"/>
          <w:sz w:val="20"/>
          <w:szCs w:val="20"/>
        </w:rPr>
        <w:t xml:space="preserve"> provides that a business’s entitlement to fuel tax credits is reduced by the road user charge that applied at the </w:t>
      </w:r>
      <w:r w:rsidRPr="0047357F">
        <w:rPr>
          <w:rFonts w:asciiTheme="minorHAnsi" w:eastAsiaTheme="minorHAnsi" w:hAnsiTheme="minorHAnsi" w:cstheme="minorBidi"/>
          <w:b/>
          <w:sz w:val="20"/>
          <w:szCs w:val="20"/>
        </w:rPr>
        <w:t>beginning of the tax period to which is the credit is attributable</w:t>
      </w:r>
      <w:r w:rsidRPr="0047357F">
        <w:rPr>
          <w:rFonts w:asciiTheme="minorHAnsi" w:eastAsiaTheme="minorHAnsi" w:hAnsiTheme="minorHAnsi" w:cstheme="minorBidi"/>
          <w:sz w:val="20"/>
          <w:szCs w:val="20"/>
        </w:rPr>
        <w:t xml:space="preserve">. </w:t>
      </w:r>
    </w:p>
    <w:p w:rsidR="0047357F" w:rsidRDefault="0047357F" w:rsidP="0047357F">
      <w:pPr>
        <w:rPr>
          <w:rFonts w:asciiTheme="minorHAnsi" w:eastAsiaTheme="minorHAnsi" w:hAnsiTheme="minorHAnsi" w:cstheme="minorBidi"/>
          <w:sz w:val="20"/>
          <w:szCs w:val="20"/>
        </w:rPr>
      </w:pPr>
    </w:p>
    <w:p w:rsidR="00A26CD2" w:rsidRPr="0047357F" w:rsidRDefault="00A26CD2" w:rsidP="0047357F">
      <w:pPr>
        <w:rPr>
          <w:rFonts w:asciiTheme="minorHAnsi" w:eastAsiaTheme="minorHAnsi" w:hAnsiTheme="minorHAnsi" w:cstheme="minorBidi"/>
          <w:sz w:val="20"/>
          <w:szCs w:val="20"/>
        </w:rPr>
      </w:pPr>
      <w:r w:rsidRPr="0047357F">
        <w:rPr>
          <w:rFonts w:asciiTheme="minorHAnsi" w:eastAsiaTheme="minorHAnsi" w:hAnsiTheme="minorHAnsi" w:cstheme="minorBidi"/>
          <w:sz w:val="20"/>
          <w:szCs w:val="20"/>
        </w:rPr>
        <w:t xml:space="preserve">If the Government adjusted the road user charge on 1 August, monthly BAS payers would be </w:t>
      </w:r>
      <w:r w:rsidR="00216F19">
        <w:rPr>
          <w:rFonts w:asciiTheme="minorHAnsi" w:eastAsiaTheme="minorHAnsi" w:hAnsiTheme="minorHAnsi" w:cstheme="minorBidi"/>
          <w:sz w:val="20"/>
          <w:szCs w:val="20"/>
        </w:rPr>
        <w:t>subject to the adjusted rate</w:t>
      </w:r>
      <w:r w:rsidR="00592D33">
        <w:rPr>
          <w:rFonts w:asciiTheme="minorHAnsi" w:eastAsiaTheme="minorHAnsi" w:hAnsiTheme="minorHAnsi" w:cstheme="minorBidi"/>
          <w:sz w:val="20"/>
          <w:szCs w:val="20"/>
        </w:rPr>
        <w:t xml:space="preserve"> immediately</w:t>
      </w:r>
      <w:r w:rsidR="00216F19">
        <w:rPr>
          <w:rFonts w:asciiTheme="minorHAnsi" w:eastAsiaTheme="minorHAnsi" w:hAnsiTheme="minorHAnsi" w:cstheme="minorBidi"/>
          <w:sz w:val="20"/>
          <w:szCs w:val="20"/>
        </w:rPr>
        <w:t>. Q</w:t>
      </w:r>
      <w:r w:rsidRPr="0047357F">
        <w:rPr>
          <w:rFonts w:asciiTheme="minorHAnsi" w:eastAsiaTheme="minorHAnsi" w:hAnsiTheme="minorHAnsi" w:cstheme="minorBidi"/>
          <w:sz w:val="20"/>
          <w:szCs w:val="20"/>
        </w:rPr>
        <w:t xml:space="preserve">uarterly BAS payers would not become subject to the adjusted rate until 1 October (the start of their next tax period). </w:t>
      </w:r>
    </w:p>
    <w:p w:rsidR="0047357F" w:rsidRDefault="0047357F" w:rsidP="0047357F">
      <w:pPr>
        <w:rPr>
          <w:rFonts w:asciiTheme="minorHAnsi" w:eastAsiaTheme="minorHAnsi" w:hAnsiTheme="minorHAnsi" w:cstheme="minorBidi"/>
          <w:sz w:val="20"/>
          <w:szCs w:val="20"/>
        </w:rPr>
      </w:pPr>
    </w:p>
    <w:p w:rsidR="00A26CD2" w:rsidRPr="0047357F" w:rsidRDefault="00A26CD2" w:rsidP="0047357F">
      <w:pPr>
        <w:rPr>
          <w:rFonts w:asciiTheme="minorHAnsi" w:eastAsiaTheme="minorHAnsi" w:hAnsiTheme="minorHAnsi" w:cstheme="minorBidi"/>
          <w:sz w:val="20"/>
          <w:szCs w:val="20"/>
        </w:rPr>
      </w:pPr>
      <w:r w:rsidRPr="0047357F">
        <w:rPr>
          <w:rFonts w:asciiTheme="minorHAnsi" w:eastAsiaTheme="minorHAnsi" w:hAnsiTheme="minorHAnsi" w:cstheme="minorBidi"/>
          <w:sz w:val="20"/>
          <w:szCs w:val="20"/>
        </w:rPr>
        <w:t>To make a 1 August road user charge adjustment date work, the section would need to be amended to provide that road user charge adjustments take effect</w:t>
      </w:r>
      <w:r w:rsidR="00592D33">
        <w:rPr>
          <w:rFonts w:asciiTheme="minorHAnsi" w:eastAsiaTheme="minorHAnsi" w:hAnsiTheme="minorHAnsi" w:cstheme="minorBidi"/>
          <w:sz w:val="20"/>
          <w:szCs w:val="20"/>
        </w:rPr>
        <w:t xml:space="preserve"> immediately</w:t>
      </w:r>
      <w:r w:rsidRPr="0047357F">
        <w:rPr>
          <w:rFonts w:asciiTheme="minorHAnsi" w:eastAsiaTheme="minorHAnsi" w:hAnsiTheme="minorHAnsi" w:cstheme="minorBidi"/>
          <w:sz w:val="20"/>
          <w:szCs w:val="20"/>
        </w:rPr>
        <w:t>.</w:t>
      </w:r>
    </w:p>
    <w:p w:rsidR="001D3D04" w:rsidRDefault="001D3D04" w:rsidP="00A26CD2">
      <w:pPr>
        <w:rPr>
          <w:rFonts w:asciiTheme="minorHAnsi" w:hAnsiTheme="minorHAnsi" w:cs="Arial"/>
          <w:sz w:val="20"/>
          <w:szCs w:val="20"/>
        </w:rPr>
      </w:pPr>
    </w:p>
    <w:p w:rsidR="0047357F" w:rsidRPr="00A26CD2" w:rsidRDefault="0047357F" w:rsidP="00A26CD2">
      <w:pPr>
        <w:rPr>
          <w:rFonts w:asciiTheme="minorHAnsi" w:hAnsiTheme="minorHAnsi" w:cs="Arial"/>
          <w:sz w:val="20"/>
          <w:szCs w:val="20"/>
        </w:rPr>
      </w:pPr>
    </w:p>
    <w:p w:rsidR="00A26CD2" w:rsidRPr="00A26CD2" w:rsidRDefault="00A26CD2" w:rsidP="00F544FD">
      <w:pPr>
        <w:pStyle w:val="Heading1"/>
        <w:keepNext/>
        <w:jc w:val="both"/>
        <w:rPr>
          <w:rFonts w:asciiTheme="minorHAnsi" w:hAnsiTheme="minorHAnsi"/>
          <w:szCs w:val="20"/>
        </w:rPr>
      </w:pPr>
      <w:bookmarkStart w:id="19" w:name="_Toc391627972"/>
      <w:r w:rsidRPr="00A26CD2">
        <w:rPr>
          <w:rFonts w:asciiTheme="minorHAnsi" w:hAnsiTheme="minorHAnsi"/>
          <w:szCs w:val="20"/>
        </w:rPr>
        <w:t>H</w:t>
      </w:r>
      <w:r w:rsidR="009A6D18">
        <w:rPr>
          <w:rFonts w:asciiTheme="minorHAnsi" w:hAnsiTheme="minorHAnsi"/>
          <w:szCs w:val="20"/>
        </w:rPr>
        <w:t>ow the Bill</w:t>
      </w:r>
      <w:r w:rsidRPr="00A26CD2">
        <w:rPr>
          <w:rFonts w:asciiTheme="minorHAnsi" w:hAnsiTheme="minorHAnsi"/>
          <w:szCs w:val="20"/>
        </w:rPr>
        <w:t xml:space="preserve"> address</w:t>
      </w:r>
      <w:r w:rsidR="009A6D18">
        <w:rPr>
          <w:rFonts w:asciiTheme="minorHAnsi" w:hAnsiTheme="minorHAnsi"/>
          <w:szCs w:val="20"/>
        </w:rPr>
        <w:t>es</w:t>
      </w:r>
      <w:r w:rsidRPr="00A26CD2">
        <w:rPr>
          <w:rFonts w:asciiTheme="minorHAnsi" w:hAnsiTheme="minorHAnsi"/>
          <w:szCs w:val="20"/>
        </w:rPr>
        <w:t xml:space="preserve"> these issues</w:t>
      </w:r>
      <w:bookmarkEnd w:id="19"/>
    </w:p>
    <w:p w:rsidR="00A26CD2" w:rsidRPr="00A26CD2" w:rsidRDefault="00A26CD2" w:rsidP="00F544FD">
      <w:pPr>
        <w:keepNext/>
        <w:rPr>
          <w:rFonts w:asciiTheme="minorHAnsi" w:hAnsiTheme="minorHAnsi"/>
        </w:rPr>
      </w:pPr>
    </w:p>
    <w:p w:rsidR="00A26CD2" w:rsidRPr="009A6D18" w:rsidRDefault="00A26CD2" w:rsidP="00F544FD">
      <w:pPr>
        <w:keepNext/>
        <w:rPr>
          <w:rFonts w:asciiTheme="minorHAnsi" w:hAnsiTheme="minorHAnsi"/>
          <w:sz w:val="20"/>
          <w:szCs w:val="20"/>
        </w:rPr>
      </w:pPr>
      <w:r w:rsidRPr="009A6D18">
        <w:rPr>
          <w:rFonts w:asciiTheme="minorHAnsi" w:hAnsiTheme="minorHAnsi"/>
          <w:sz w:val="20"/>
          <w:szCs w:val="20"/>
        </w:rPr>
        <w:t xml:space="preserve">The ATA raised these issues </w:t>
      </w:r>
      <w:r w:rsidR="00216F19">
        <w:rPr>
          <w:rFonts w:asciiTheme="minorHAnsi" w:hAnsiTheme="minorHAnsi"/>
          <w:sz w:val="20"/>
          <w:szCs w:val="20"/>
        </w:rPr>
        <w:t xml:space="preserve">after the Budget </w:t>
      </w:r>
      <w:r w:rsidRPr="009A6D18">
        <w:rPr>
          <w:rFonts w:asciiTheme="minorHAnsi" w:hAnsiTheme="minorHAnsi"/>
          <w:sz w:val="20"/>
          <w:szCs w:val="20"/>
        </w:rPr>
        <w:t xml:space="preserve">with the </w:t>
      </w:r>
      <w:r w:rsidR="00592D33">
        <w:rPr>
          <w:rFonts w:asciiTheme="minorHAnsi" w:hAnsiTheme="minorHAnsi"/>
          <w:sz w:val="20"/>
          <w:szCs w:val="20"/>
        </w:rPr>
        <w:t xml:space="preserve">ATO </w:t>
      </w:r>
      <w:r w:rsidR="00C33777">
        <w:rPr>
          <w:rFonts w:asciiTheme="minorHAnsi" w:hAnsiTheme="minorHAnsi"/>
          <w:sz w:val="20"/>
          <w:szCs w:val="20"/>
        </w:rPr>
        <w:t xml:space="preserve">through the Fuel Schemes Stakeholder Group </w:t>
      </w:r>
      <w:r w:rsidR="0047357F">
        <w:rPr>
          <w:rFonts w:asciiTheme="minorHAnsi" w:hAnsiTheme="minorHAnsi"/>
          <w:sz w:val="20"/>
          <w:szCs w:val="20"/>
        </w:rPr>
        <w:t>and Treasury</w:t>
      </w:r>
      <w:r w:rsidRPr="009A6D18">
        <w:rPr>
          <w:rFonts w:asciiTheme="minorHAnsi" w:hAnsiTheme="minorHAnsi"/>
          <w:sz w:val="20"/>
          <w:szCs w:val="20"/>
        </w:rPr>
        <w:t xml:space="preserve">. As a result of the ATA’s advocacy, </w:t>
      </w:r>
      <w:r w:rsidR="0047357F">
        <w:rPr>
          <w:rFonts w:asciiTheme="minorHAnsi" w:hAnsiTheme="minorHAnsi"/>
          <w:sz w:val="20"/>
          <w:szCs w:val="20"/>
        </w:rPr>
        <w:t xml:space="preserve">the </w:t>
      </w:r>
      <w:r w:rsidR="00384AED" w:rsidRPr="0047357F">
        <w:rPr>
          <w:rFonts w:asciiTheme="minorHAnsi" w:hAnsiTheme="minorHAnsi"/>
          <w:sz w:val="20"/>
          <w:szCs w:val="20"/>
        </w:rPr>
        <w:t xml:space="preserve">Fuel Indexation (Road Funding) Bill 2014 </w:t>
      </w:r>
      <w:r w:rsidRPr="009A6D18">
        <w:rPr>
          <w:rFonts w:asciiTheme="minorHAnsi" w:hAnsiTheme="minorHAnsi"/>
          <w:sz w:val="20"/>
          <w:szCs w:val="20"/>
        </w:rPr>
        <w:t xml:space="preserve">addresses both these issues. </w:t>
      </w:r>
    </w:p>
    <w:p w:rsidR="00A26CD2" w:rsidRDefault="00A26CD2" w:rsidP="00A26CD2">
      <w:pPr>
        <w:rPr>
          <w:rFonts w:asciiTheme="minorHAnsi" w:hAnsiTheme="minorHAnsi"/>
          <w:sz w:val="20"/>
          <w:szCs w:val="20"/>
        </w:rPr>
      </w:pPr>
    </w:p>
    <w:p w:rsidR="009A40A2" w:rsidRDefault="0047357F" w:rsidP="00C33777">
      <w:pPr>
        <w:rPr>
          <w:rFonts w:asciiTheme="minorHAnsi" w:hAnsiTheme="minorHAnsi"/>
          <w:sz w:val="20"/>
          <w:szCs w:val="20"/>
        </w:rPr>
      </w:pPr>
      <w:r>
        <w:rPr>
          <w:rFonts w:asciiTheme="minorHAnsi" w:hAnsiTheme="minorHAnsi"/>
          <w:sz w:val="20"/>
          <w:szCs w:val="20"/>
        </w:rPr>
        <w:t xml:space="preserve">Schedule 4, </w:t>
      </w:r>
      <w:r w:rsidR="00C33777">
        <w:rPr>
          <w:rFonts w:asciiTheme="minorHAnsi" w:hAnsiTheme="minorHAnsi"/>
          <w:sz w:val="20"/>
          <w:szCs w:val="20"/>
        </w:rPr>
        <w:t xml:space="preserve">item </w:t>
      </w:r>
      <w:r>
        <w:rPr>
          <w:rFonts w:asciiTheme="minorHAnsi" w:hAnsiTheme="minorHAnsi"/>
          <w:sz w:val="20"/>
          <w:szCs w:val="20"/>
        </w:rPr>
        <w:t>1 of the Bill replaces the table in s</w:t>
      </w:r>
      <w:r w:rsidR="00C33777">
        <w:rPr>
          <w:rFonts w:asciiTheme="minorHAnsi" w:hAnsiTheme="minorHAnsi"/>
          <w:sz w:val="20"/>
          <w:szCs w:val="20"/>
        </w:rPr>
        <w:t xml:space="preserve">43-5(2A) of the </w:t>
      </w:r>
      <w:r w:rsidR="00C33777" w:rsidRPr="00C33777">
        <w:rPr>
          <w:rFonts w:asciiTheme="minorHAnsi" w:hAnsiTheme="minorHAnsi"/>
          <w:i/>
          <w:sz w:val="20"/>
          <w:szCs w:val="20"/>
        </w:rPr>
        <w:t>Fuel Tax Act</w:t>
      </w:r>
      <w:r w:rsidR="00C33777">
        <w:rPr>
          <w:rFonts w:asciiTheme="minorHAnsi" w:hAnsiTheme="minorHAnsi"/>
          <w:sz w:val="20"/>
          <w:szCs w:val="20"/>
        </w:rPr>
        <w:t xml:space="preserve"> to remove the 1 July 2015 changeover. As a result, businesses would continue to calculate their fuel tax credits based on the fuel tax rate applying on the day they acquired or imported the </w:t>
      </w:r>
      <w:r w:rsidR="00216F19">
        <w:rPr>
          <w:rFonts w:asciiTheme="minorHAnsi" w:hAnsiTheme="minorHAnsi"/>
          <w:sz w:val="20"/>
          <w:szCs w:val="20"/>
        </w:rPr>
        <w:t xml:space="preserve">relevant </w:t>
      </w:r>
      <w:r w:rsidR="00C33777">
        <w:rPr>
          <w:rFonts w:asciiTheme="minorHAnsi" w:hAnsiTheme="minorHAnsi"/>
          <w:sz w:val="20"/>
          <w:szCs w:val="20"/>
        </w:rPr>
        <w:t>fuel.</w:t>
      </w:r>
    </w:p>
    <w:p w:rsidR="00C33777" w:rsidRDefault="00C33777" w:rsidP="00C33777">
      <w:pPr>
        <w:rPr>
          <w:rFonts w:asciiTheme="minorHAnsi" w:hAnsiTheme="minorHAnsi"/>
          <w:sz w:val="20"/>
          <w:szCs w:val="20"/>
        </w:rPr>
      </w:pPr>
    </w:p>
    <w:p w:rsidR="00C33777" w:rsidRPr="009A40A2" w:rsidRDefault="00C33777" w:rsidP="00C33777">
      <w:pPr>
        <w:rPr>
          <w:sz w:val="16"/>
        </w:rPr>
      </w:pPr>
      <w:r>
        <w:rPr>
          <w:rFonts w:asciiTheme="minorHAnsi" w:hAnsiTheme="minorHAnsi"/>
          <w:sz w:val="20"/>
          <w:szCs w:val="20"/>
        </w:rPr>
        <w:t xml:space="preserve">Schedule 4, item 2 would make a similar change to how businesses would determine the </w:t>
      </w:r>
      <w:r w:rsidR="00592D33">
        <w:rPr>
          <w:rFonts w:asciiTheme="minorHAnsi" w:hAnsiTheme="minorHAnsi"/>
          <w:sz w:val="20"/>
          <w:szCs w:val="20"/>
        </w:rPr>
        <w:t xml:space="preserve">relevant </w:t>
      </w:r>
      <w:r>
        <w:rPr>
          <w:rFonts w:asciiTheme="minorHAnsi" w:hAnsiTheme="minorHAnsi"/>
          <w:sz w:val="20"/>
          <w:szCs w:val="20"/>
        </w:rPr>
        <w:t xml:space="preserve">road user charge </w:t>
      </w:r>
      <w:r w:rsidR="00592D33">
        <w:rPr>
          <w:rFonts w:asciiTheme="minorHAnsi" w:hAnsiTheme="minorHAnsi"/>
          <w:sz w:val="20"/>
          <w:szCs w:val="20"/>
        </w:rPr>
        <w:t>rate</w:t>
      </w:r>
      <w:r>
        <w:rPr>
          <w:rFonts w:asciiTheme="minorHAnsi" w:hAnsiTheme="minorHAnsi"/>
          <w:sz w:val="20"/>
          <w:szCs w:val="20"/>
        </w:rPr>
        <w:t xml:space="preserve">. They would </w:t>
      </w:r>
      <w:r w:rsidR="00592D33">
        <w:rPr>
          <w:rFonts w:asciiTheme="minorHAnsi" w:hAnsiTheme="minorHAnsi"/>
          <w:sz w:val="20"/>
          <w:szCs w:val="20"/>
        </w:rPr>
        <w:t>use the road user charge rate in force on the day prescribed by the amended table in s43-5(2A).</w:t>
      </w:r>
    </w:p>
    <w:p w:rsidR="00040727" w:rsidRPr="00216F19" w:rsidRDefault="00040727" w:rsidP="00A26CD2">
      <w:pPr>
        <w:rPr>
          <w:rFonts w:asciiTheme="minorHAnsi" w:hAnsiTheme="minorHAnsi"/>
          <w:sz w:val="20"/>
          <w:szCs w:val="20"/>
        </w:rPr>
      </w:pPr>
    </w:p>
    <w:p w:rsidR="00136219" w:rsidRPr="00216F19" w:rsidRDefault="00C33777" w:rsidP="00136219">
      <w:pPr>
        <w:rPr>
          <w:rFonts w:asciiTheme="minorHAnsi" w:hAnsiTheme="minorHAnsi"/>
          <w:sz w:val="20"/>
          <w:szCs w:val="20"/>
        </w:rPr>
      </w:pPr>
      <w:r w:rsidRPr="00216F19">
        <w:rPr>
          <w:rFonts w:asciiTheme="minorHAnsi" w:hAnsiTheme="minorHAnsi"/>
          <w:sz w:val="20"/>
          <w:szCs w:val="20"/>
        </w:rPr>
        <w:t>As a result of these amendments:</w:t>
      </w:r>
    </w:p>
    <w:p w:rsidR="00C33777" w:rsidRPr="00216F19" w:rsidRDefault="00C33777" w:rsidP="00C33777">
      <w:pPr>
        <w:rPr>
          <w:rFonts w:asciiTheme="minorHAnsi" w:hAnsiTheme="minorHAnsi"/>
          <w:sz w:val="20"/>
          <w:szCs w:val="20"/>
        </w:rPr>
      </w:pPr>
    </w:p>
    <w:p w:rsidR="00C33777" w:rsidRPr="00216F19" w:rsidRDefault="00C33777" w:rsidP="00C33777">
      <w:pPr>
        <w:pStyle w:val="ListParagraph"/>
        <w:numPr>
          <w:ilvl w:val="0"/>
          <w:numId w:val="23"/>
        </w:numPr>
        <w:spacing w:after="0" w:line="240" w:lineRule="auto"/>
        <w:rPr>
          <w:rFonts w:asciiTheme="minorHAnsi" w:hAnsiTheme="minorHAnsi"/>
          <w:sz w:val="20"/>
          <w:szCs w:val="20"/>
        </w:rPr>
      </w:pPr>
      <w:r w:rsidRPr="00216F19">
        <w:rPr>
          <w:rFonts w:asciiTheme="minorHAnsi" w:hAnsiTheme="minorHAnsi"/>
          <w:sz w:val="20"/>
          <w:szCs w:val="20"/>
        </w:rPr>
        <w:t>quarterly BAS payers would be able to claim fuel tax credits at the correct rate; and</w:t>
      </w:r>
    </w:p>
    <w:p w:rsidR="00C33777" w:rsidRPr="00216F19" w:rsidRDefault="00C33777" w:rsidP="00C33777">
      <w:pPr>
        <w:pStyle w:val="ListParagraph"/>
        <w:numPr>
          <w:ilvl w:val="0"/>
          <w:numId w:val="23"/>
        </w:numPr>
        <w:spacing w:after="0" w:line="240" w:lineRule="auto"/>
        <w:rPr>
          <w:rFonts w:asciiTheme="minorHAnsi" w:hAnsiTheme="minorHAnsi"/>
          <w:sz w:val="20"/>
          <w:szCs w:val="20"/>
        </w:rPr>
      </w:pPr>
      <w:proofErr w:type="gramStart"/>
      <w:r w:rsidRPr="00216F19">
        <w:rPr>
          <w:rFonts w:asciiTheme="minorHAnsi" w:hAnsiTheme="minorHAnsi"/>
          <w:sz w:val="20"/>
          <w:szCs w:val="20"/>
        </w:rPr>
        <w:t>the</w:t>
      </w:r>
      <w:proofErr w:type="gramEnd"/>
      <w:r w:rsidRPr="00216F19">
        <w:rPr>
          <w:rFonts w:asciiTheme="minorHAnsi" w:hAnsiTheme="minorHAnsi"/>
          <w:sz w:val="20"/>
          <w:szCs w:val="20"/>
        </w:rPr>
        <w:t xml:space="preserve"> Government would have the scope</w:t>
      </w:r>
      <w:r w:rsidR="00216F19">
        <w:rPr>
          <w:rFonts w:asciiTheme="minorHAnsi" w:hAnsiTheme="minorHAnsi"/>
          <w:sz w:val="20"/>
          <w:szCs w:val="20"/>
        </w:rPr>
        <w:t>, if it wished,</w:t>
      </w:r>
      <w:r w:rsidRPr="00216F19">
        <w:rPr>
          <w:rFonts w:asciiTheme="minorHAnsi" w:hAnsiTheme="minorHAnsi"/>
          <w:sz w:val="20"/>
          <w:szCs w:val="20"/>
        </w:rPr>
        <w:t xml:space="preserve"> to adjust the road user charge on 1 August</w:t>
      </w:r>
      <w:r w:rsidR="00216F19">
        <w:rPr>
          <w:rFonts w:asciiTheme="minorHAnsi" w:hAnsiTheme="minorHAnsi"/>
          <w:sz w:val="20"/>
          <w:szCs w:val="20"/>
        </w:rPr>
        <w:t xml:space="preserve"> </w:t>
      </w:r>
      <w:r w:rsidRPr="00216F19">
        <w:rPr>
          <w:rFonts w:asciiTheme="minorHAnsi" w:hAnsiTheme="minorHAnsi"/>
          <w:sz w:val="20"/>
          <w:szCs w:val="20"/>
        </w:rPr>
        <w:t xml:space="preserve">without </w:t>
      </w:r>
      <w:r w:rsidR="00216F19">
        <w:rPr>
          <w:rFonts w:asciiTheme="minorHAnsi" w:hAnsiTheme="minorHAnsi"/>
          <w:sz w:val="20"/>
          <w:szCs w:val="20"/>
        </w:rPr>
        <w:t xml:space="preserve">the adjustment </w:t>
      </w:r>
      <w:r w:rsidRPr="00216F19">
        <w:rPr>
          <w:rFonts w:asciiTheme="minorHAnsi" w:hAnsiTheme="minorHAnsi"/>
          <w:sz w:val="20"/>
          <w:szCs w:val="20"/>
        </w:rPr>
        <w:t>causing issues for quarterly BAS payers.</w:t>
      </w:r>
    </w:p>
    <w:p w:rsidR="009A40A2" w:rsidRDefault="009A40A2" w:rsidP="00A26CD2">
      <w:pPr>
        <w:rPr>
          <w:rFonts w:asciiTheme="minorHAnsi" w:hAnsiTheme="minorHAnsi"/>
          <w:sz w:val="20"/>
          <w:szCs w:val="20"/>
        </w:rPr>
      </w:pPr>
    </w:p>
    <w:p w:rsidR="00216F19" w:rsidRDefault="00C33777" w:rsidP="00A26CD2">
      <w:pPr>
        <w:rPr>
          <w:rFonts w:asciiTheme="minorHAnsi" w:hAnsiTheme="minorHAnsi"/>
          <w:sz w:val="20"/>
          <w:szCs w:val="20"/>
        </w:rPr>
      </w:pPr>
      <w:r>
        <w:rPr>
          <w:rFonts w:asciiTheme="minorHAnsi" w:hAnsiTheme="minorHAnsi"/>
          <w:sz w:val="20"/>
          <w:szCs w:val="20"/>
        </w:rPr>
        <w:t xml:space="preserve">The amendments fully address the </w:t>
      </w:r>
      <w:r w:rsidR="00216F19">
        <w:rPr>
          <w:rFonts w:asciiTheme="minorHAnsi" w:hAnsiTheme="minorHAnsi"/>
          <w:sz w:val="20"/>
          <w:szCs w:val="20"/>
        </w:rPr>
        <w:t xml:space="preserve">concerns </w:t>
      </w:r>
      <w:r>
        <w:rPr>
          <w:rFonts w:asciiTheme="minorHAnsi" w:hAnsiTheme="minorHAnsi"/>
          <w:sz w:val="20"/>
          <w:szCs w:val="20"/>
        </w:rPr>
        <w:t>that the ATA r</w:t>
      </w:r>
      <w:r w:rsidR="00216F19">
        <w:rPr>
          <w:rFonts w:asciiTheme="minorHAnsi" w:hAnsiTheme="minorHAnsi"/>
          <w:sz w:val="20"/>
          <w:szCs w:val="20"/>
        </w:rPr>
        <w:t xml:space="preserve">aised with the ATO and Treasury. </w:t>
      </w:r>
    </w:p>
    <w:p w:rsidR="00216F19" w:rsidRDefault="00216F19" w:rsidP="00A26CD2">
      <w:pPr>
        <w:rPr>
          <w:rFonts w:asciiTheme="minorHAnsi" w:hAnsiTheme="minorHAnsi"/>
          <w:sz w:val="20"/>
          <w:szCs w:val="20"/>
        </w:rPr>
      </w:pPr>
    </w:p>
    <w:p w:rsidR="00C33777" w:rsidRPr="009A6D18" w:rsidRDefault="00C33777" w:rsidP="00A26CD2">
      <w:pPr>
        <w:rPr>
          <w:rFonts w:asciiTheme="minorHAnsi" w:hAnsiTheme="minorHAnsi"/>
          <w:sz w:val="20"/>
          <w:szCs w:val="20"/>
        </w:rPr>
      </w:pPr>
      <w:r>
        <w:rPr>
          <w:rFonts w:asciiTheme="minorHAnsi" w:hAnsiTheme="minorHAnsi"/>
          <w:sz w:val="20"/>
          <w:szCs w:val="20"/>
        </w:rPr>
        <w:t>Accordingly, the ATA recommends the Senate should pass schedule 4 of the Fuel Indexation (Road Funding) Bill 2014</w:t>
      </w:r>
      <w:r w:rsidR="00216F19">
        <w:rPr>
          <w:rFonts w:asciiTheme="minorHAnsi" w:hAnsiTheme="minorHAnsi"/>
          <w:sz w:val="20"/>
          <w:szCs w:val="20"/>
        </w:rPr>
        <w:t xml:space="preserve"> as introduced</w:t>
      </w:r>
      <w:r>
        <w:rPr>
          <w:rFonts w:asciiTheme="minorHAnsi" w:hAnsiTheme="minorHAnsi"/>
          <w:sz w:val="20"/>
          <w:szCs w:val="20"/>
        </w:rPr>
        <w:t>.</w:t>
      </w:r>
    </w:p>
    <w:p w:rsidR="00A26CD2" w:rsidRPr="009A6D18" w:rsidRDefault="00A26CD2" w:rsidP="00A26CD2">
      <w:pPr>
        <w:rPr>
          <w:rFonts w:asciiTheme="minorHAnsi" w:hAnsiTheme="minorHAnsi"/>
          <w:sz w:val="20"/>
          <w:szCs w:val="20"/>
        </w:rPr>
      </w:pPr>
    </w:p>
    <w:p w:rsidR="00A26CD2" w:rsidRPr="009A6D18" w:rsidRDefault="00A26CD2" w:rsidP="00A26CD2">
      <w:pPr>
        <w:rPr>
          <w:rFonts w:asciiTheme="minorHAnsi" w:hAnsiTheme="minorHAnsi"/>
          <w:sz w:val="20"/>
          <w:szCs w:val="20"/>
        </w:rPr>
      </w:pPr>
    </w:p>
    <w:p w:rsidR="00A26CD2" w:rsidRPr="009A6D18" w:rsidRDefault="00A26CD2" w:rsidP="00A26CD2">
      <w:pPr>
        <w:rPr>
          <w:rFonts w:asciiTheme="minorHAnsi" w:hAnsiTheme="minorHAnsi"/>
          <w:sz w:val="20"/>
          <w:szCs w:val="20"/>
        </w:rPr>
      </w:pPr>
    </w:p>
    <w:sectPr w:rsidR="00A26CD2" w:rsidRPr="009A6D18" w:rsidSect="00CE77AE">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567" w:left="1134" w:header="703" w:footer="2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9E" w:rsidRDefault="00BB3B9E" w:rsidP="000F3D9F">
      <w:r>
        <w:separator/>
      </w:r>
    </w:p>
  </w:endnote>
  <w:endnote w:type="continuationSeparator" w:id="0">
    <w:p w:rsidR="00BB3B9E" w:rsidRDefault="00BB3B9E" w:rsidP="000F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1F" w:rsidRDefault="00F51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8" w:rsidRPr="0062031D" w:rsidRDefault="00DA1C78" w:rsidP="0062031D">
    <w:pPr>
      <w:ind w:right="-426"/>
      <w:jc w:val="center"/>
      <w:rPr>
        <w:rFonts w:ascii="Arial" w:hAnsi="Arial" w:cs="Arial"/>
        <w:smallCaps/>
        <w:noProof/>
        <w:sz w:val="18"/>
        <w:szCs w:val="18"/>
        <w:lang w:eastAsia="en-AU"/>
      </w:rPr>
    </w:pPr>
    <w:r>
      <w:rPr>
        <w:rFonts w:ascii="Arial" w:hAnsi="Arial" w:cs="Arial"/>
        <w:color w:val="17365D"/>
        <w:sz w:val="18"/>
        <w:szCs w:val="18"/>
      </w:rPr>
      <w:t xml:space="preserve"> </w:t>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Pr>
        <w:rFonts w:ascii="Arial" w:hAnsi="Arial" w:cs="Arial"/>
        <w:color w:val="17365D"/>
        <w:sz w:val="18"/>
        <w:szCs w:val="18"/>
      </w:rPr>
      <w:tab/>
    </w:r>
    <w:r w:rsidRPr="0062031D">
      <w:rPr>
        <w:rFonts w:ascii="Arial" w:hAnsi="Arial" w:cs="Arial"/>
        <w:color w:val="17365D"/>
        <w:sz w:val="18"/>
        <w:szCs w:val="18"/>
      </w:rPr>
      <w:t xml:space="preserve"> </w:t>
    </w:r>
    <w:r w:rsidRPr="0062031D">
      <w:rPr>
        <w:rFonts w:ascii="Arial" w:hAnsi="Arial" w:cs="Arial"/>
        <w:smallCaps/>
        <w:noProof/>
        <w:sz w:val="18"/>
        <w:szCs w:val="18"/>
        <w:lang w:eastAsia="en-AU"/>
      </w:rPr>
      <w:drawing>
        <wp:inline distT="0" distB="0" distL="0" distR="0">
          <wp:extent cx="1951355" cy="846455"/>
          <wp:effectExtent l="19050" t="0" r="0" b="0"/>
          <wp:docPr id="8" name="Picture 1" descr="LHead Logo AC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ad Logo ACT RGB"/>
                  <pic:cNvPicPr>
                    <a:picLocks noChangeAspect="1" noChangeArrowheads="1"/>
                  </pic:cNvPicPr>
                </pic:nvPicPr>
                <pic:blipFill>
                  <a:blip r:embed="rId1"/>
                  <a:srcRect/>
                  <a:stretch>
                    <a:fillRect/>
                  </a:stretch>
                </pic:blipFill>
                <pic:spPr bwMode="auto">
                  <a:xfrm>
                    <a:off x="0" y="0"/>
                    <a:ext cx="1951355" cy="846455"/>
                  </a:xfrm>
                  <a:prstGeom prst="rect">
                    <a:avLst/>
                  </a:prstGeom>
                  <a:noFill/>
                  <a:ln w="9525">
                    <a:noFill/>
                    <a:miter lim="800000"/>
                    <a:headEnd/>
                    <a:tailEnd/>
                  </a:ln>
                </pic:spPr>
              </pic:pic>
            </a:graphicData>
          </a:graphic>
        </wp:inline>
      </w:drawing>
    </w:r>
  </w:p>
  <w:p w:rsidR="00DA1C78" w:rsidRPr="0062031D" w:rsidRDefault="00DA1C78" w:rsidP="0062031D">
    <w:pPr>
      <w:ind w:right="-426"/>
      <w:jc w:val="right"/>
      <w:rPr>
        <w:rFonts w:ascii="Arial" w:hAnsi="Arial" w:cs="Arial"/>
        <w:smallCaps/>
        <w:noProof/>
        <w:sz w:val="18"/>
        <w:szCs w:val="18"/>
        <w:lang w:eastAsia="en-AU"/>
      </w:rPr>
    </w:pPr>
    <w:r w:rsidRPr="0062031D">
      <w:rPr>
        <w:rFonts w:ascii="Arial" w:hAnsi="Arial" w:cs="Arial"/>
        <w:smallCaps/>
        <w:noProof/>
        <w:sz w:val="18"/>
        <w:szCs w:val="18"/>
        <w:lang w:eastAsia="en-AU"/>
      </w:rPr>
      <w:t>Minter Ellison Building, 25 National Circuit, Forrest ACT 2603</w:t>
    </w:r>
  </w:p>
  <w:p w:rsidR="00DA1C78" w:rsidRPr="0062031D" w:rsidRDefault="00DA1C78" w:rsidP="0062031D">
    <w:pPr>
      <w:ind w:right="-426"/>
      <w:jc w:val="right"/>
      <w:rPr>
        <w:rFonts w:ascii="Arial" w:hAnsi="Arial" w:cs="Arial"/>
        <w:smallCaps/>
        <w:noProof/>
        <w:sz w:val="18"/>
        <w:szCs w:val="18"/>
        <w:lang w:eastAsia="en-AU"/>
      </w:rPr>
    </w:pPr>
    <w:r w:rsidRPr="0062031D">
      <w:rPr>
        <w:rFonts w:ascii="Arial" w:hAnsi="Arial" w:cs="Arial"/>
        <w:b/>
        <w:smallCaps/>
        <w:noProof/>
        <w:sz w:val="18"/>
        <w:szCs w:val="18"/>
        <w:lang w:eastAsia="en-AU"/>
      </w:rPr>
      <w:t>P</w:t>
    </w:r>
    <w:r w:rsidRPr="0062031D">
      <w:rPr>
        <w:rFonts w:ascii="Arial" w:hAnsi="Arial" w:cs="Arial"/>
        <w:smallCaps/>
        <w:noProof/>
        <w:sz w:val="18"/>
        <w:szCs w:val="18"/>
        <w:lang w:eastAsia="en-AU"/>
      </w:rPr>
      <w:t xml:space="preserve"> 02 6253 6900 </w:t>
    </w:r>
    <w:r w:rsidRPr="0062031D">
      <w:rPr>
        <w:rFonts w:ascii="Arial" w:hAnsi="Arial" w:cs="Arial"/>
        <w:b/>
        <w:smallCaps/>
        <w:noProof/>
        <w:sz w:val="18"/>
        <w:szCs w:val="18"/>
        <w:lang w:eastAsia="en-AU"/>
      </w:rPr>
      <w:t>F</w:t>
    </w:r>
    <w:r w:rsidRPr="0062031D">
      <w:rPr>
        <w:rFonts w:ascii="Arial" w:hAnsi="Arial" w:cs="Arial"/>
        <w:smallCaps/>
        <w:noProof/>
        <w:sz w:val="18"/>
        <w:szCs w:val="18"/>
        <w:lang w:eastAsia="en-AU"/>
      </w:rPr>
      <w:t xml:space="preserve"> 02 6253 6999 </w:t>
    </w:r>
    <w:r w:rsidRPr="0062031D">
      <w:rPr>
        <w:rFonts w:ascii="Arial" w:hAnsi="Arial" w:cs="Arial"/>
        <w:b/>
        <w:smallCaps/>
        <w:noProof/>
        <w:sz w:val="18"/>
        <w:szCs w:val="18"/>
        <w:lang w:eastAsia="en-AU"/>
      </w:rPr>
      <w:t>E</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ata@truck.net.au</w:t>
    </w:r>
    <w:r w:rsidRPr="0062031D">
      <w:rPr>
        <w:rFonts w:ascii="Arial" w:hAnsi="Arial" w:cs="Arial"/>
        <w:b/>
        <w:smallCaps/>
        <w:noProof/>
        <w:sz w:val="18"/>
        <w:szCs w:val="18"/>
        <w:lang w:eastAsia="en-AU"/>
      </w:rPr>
      <w:t xml:space="preserve"> W</w:t>
    </w:r>
    <w:r w:rsidRPr="0062031D">
      <w:rPr>
        <w:rFonts w:ascii="Arial" w:hAnsi="Arial" w:cs="Arial"/>
        <w:smallCaps/>
        <w:noProof/>
        <w:sz w:val="18"/>
        <w:szCs w:val="18"/>
        <w:lang w:eastAsia="en-AU"/>
      </w:rPr>
      <w:t xml:space="preserve"> </w:t>
    </w:r>
    <w:r w:rsidRPr="0062031D">
      <w:rPr>
        <w:rFonts w:ascii="Arial" w:hAnsi="Arial" w:cs="Arial"/>
        <w:bCs/>
        <w:smallCaps/>
        <w:noProof/>
        <w:sz w:val="18"/>
        <w:szCs w:val="18"/>
        <w:lang w:eastAsia="en-AU"/>
      </w:rPr>
      <w:t>www.truck.net.au</w:t>
    </w:r>
  </w:p>
  <w:p w:rsidR="00DA1C78" w:rsidRPr="00E8056B" w:rsidRDefault="00DA1C78" w:rsidP="0062031D">
    <w:pPr>
      <w:ind w:right="-426"/>
      <w:jc w:val="right"/>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8" w:rsidRDefault="00127BC0">
    <w:pPr>
      <w:pStyle w:val="Footer"/>
      <w:jc w:val="right"/>
    </w:pPr>
    <w:r>
      <w:fldChar w:fldCharType="begin"/>
    </w:r>
    <w:r>
      <w:instrText xml:space="preserve"> PAGE   \* MERGEFORMAT </w:instrText>
    </w:r>
    <w:r>
      <w:fldChar w:fldCharType="separate"/>
    </w:r>
    <w:r w:rsidR="00DA1C78">
      <w:rPr>
        <w:noProof/>
      </w:rPr>
      <w:t>7</w:t>
    </w:r>
    <w:r>
      <w:rPr>
        <w:noProof/>
      </w:rPr>
      <w:fldChar w:fldCharType="end"/>
    </w:r>
  </w:p>
  <w:p w:rsidR="00DA1C78" w:rsidRDefault="00DA1C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8" w:rsidRDefault="00DA1C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55"/>
      <w:gridCol w:w="1983"/>
    </w:tblGrid>
    <w:tr w:rsidR="00DA1C78" w:rsidRPr="007C0B37" w:rsidTr="00592D33">
      <w:trPr>
        <w:trHeight w:val="278"/>
      </w:trPr>
      <w:tc>
        <w:tcPr>
          <w:tcW w:w="7655" w:type="dxa"/>
          <w:vAlign w:val="center"/>
        </w:tcPr>
        <w:p w:rsidR="00DA1C78" w:rsidRPr="007C0B37" w:rsidRDefault="00DA1C78" w:rsidP="00592D33">
          <w:pPr>
            <w:pStyle w:val="Footer"/>
            <w:rPr>
              <w:rFonts w:asciiTheme="minorHAnsi" w:hAnsiTheme="minorHAnsi" w:cs="Arial"/>
              <w:sz w:val="18"/>
              <w:szCs w:val="18"/>
            </w:rPr>
          </w:pPr>
          <w:r w:rsidRPr="007C0B37">
            <w:rPr>
              <w:rFonts w:asciiTheme="minorHAnsi" w:hAnsiTheme="minorHAnsi" w:cs="Arial"/>
              <w:sz w:val="18"/>
              <w:szCs w:val="18"/>
            </w:rPr>
            <w:t>ATA Submission :</w:t>
          </w:r>
          <w:r w:rsidR="00365CB8" w:rsidRPr="007C0B37">
            <w:rPr>
              <w:rFonts w:asciiTheme="minorHAnsi" w:hAnsiTheme="minorHAnsi" w:cs="Arial"/>
              <w:sz w:val="18"/>
              <w:szCs w:val="18"/>
            </w:rPr>
            <w:t xml:space="preserve"> </w:t>
          </w:r>
          <w:r w:rsidR="00592D33">
            <w:rPr>
              <w:rFonts w:asciiTheme="minorHAnsi" w:hAnsiTheme="minorHAnsi" w:cs="Arial"/>
              <w:sz w:val="18"/>
              <w:szCs w:val="18"/>
            </w:rPr>
            <w:t>Fuel Indexation (Road Funding)</w:t>
          </w:r>
          <w:r w:rsidR="003C0A38" w:rsidRPr="007C0B37">
            <w:rPr>
              <w:rFonts w:asciiTheme="minorHAnsi" w:hAnsiTheme="minorHAnsi" w:cs="Arial"/>
              <w:sz w:val="18"/>
              <w:szCs w:val="18"/>
            </w:rPr>
            <w:t xml:space="preserve"> Bill 2014 and related bills</w:t>
          </w:r>
          <w:r w:rsidR="00A26CD2" w:rsidRPr="007C0B37">
            <w:rPr>
              <w:rFonts w:asciiTheme="minorHAnsi" w:hAnsiTheme="minorHAnsi" w:cs="Arial"/>
              <w:sz w:val="18"/>
              <w:szCs w:val="18"/>
            </w:rPr>
            <w:t xml:space="preserve"> </w:t>
          </w:r>
        </w:p>
      </w:tc>
      <w:tc>
        <w:tcPr>
          <w:tcW w:w="1983" w:type="dxa"/>
        </w:tcPr>
        <w:p w:rsidR="00DA1C78" w:rsidRPr="007C0B37" w:rsidRDefault="00DA1C78" w:rsidP="007C0B37">
          <w:pPr>
            <w:pStyle w:val="Footer"/>
            <w:jc w:val="right"/>
            <w:rPr>
              <w:rFonts w:asciiTheme="minorHAnsi" w:hAnsiTheme="minorHAnsi" w:cs="Arial"/>
              <w:sz w:val="18"/>
              <w:szCs w:val="18"/>
            </w:rPr>
          </w:pPr>
          <w:r w:rsidRPr="007C0B37">
            <w:rPr>
              <w:rFonts w:asciiTheme="minorHAnsi" w:hAnsiTheme="minorHAnsi" w:cs="Arial"/>
              <w:sz w:val="18"/>
              <w:szCs w:val="18"/>
            </w:rPr>
            <w:t xml:space="preserve">Page </w:t>
          </w:r>
          <w:r w:rsidR="0004142E" w:rsidRPr="007C0B37">
            <w:rPr>
              <w:rFonts w:asciiTheme="minorHAnsi" w:hAnsiTheme="minorHAnsi" w:cs="Arial"/>
              <w:sz w:val="18"/>
              <w:szCs w:val="18"/>
            </w:rPr>
            <w:fldChar w:fldCharType="begin"/>
          </w:r>
          <w:r w:rsidRPr="007C0B37">
            <w:rPr>
              <w:rFonts w:asciiTheme="minorHAnsi" w:hAnsiTheme="minorHAnsi" w:cs="Arial"/>
              <w:sz w:val="18"/>
              <w:szCs w:val="18"/>
            </w:rPr>
            <w:instrText xml:space="preserve"> PAGE   \* MERGEFORMAT </w:instrText>
          </w:r>
          <w:r w:rsidR="0004142E" w:rsidRPr="007C0B37">
            <w:rPr>
              <w:rFonts w:asciiTheme="minorHAnsi" w:hAnsiTheme="minorHAnsi" w:cs="Arial"/>
              <w:sz w:val="18"/>
              <w:szCs w:val="18"/>
            </w:rPr>
            <w:fldChar w:fldCharType="separate"/>
          </w:r>
          <w:r w:rsidR="00310B35">
            <w:rPr>
              <w:rFonts w:asciiTheme="minorHAnsi" w:hAnsiTheme="minorHAnsi" w:cs="Arial"/>
              <w:noProof/>
              <w:sz w:val="18"/>
              <w:szCs w:val="18"/>
            </w:rPr>
            <w:t>5</w:t>
          </w:r>
          <w:r w:rsidR="0004142E" w:rsidRPr="007C0B37">
            <w:rPr>
              <w:rFonts w:asciiTheme="minorHAnsi" w:hAnsiTheme="minorHAnsi" w:cs="Arial"/>
              <w:sz w:val="18"/>
              <w:szCs w:val="18"/>
            </w:rPr>
            <w:fldChar w:fldCharType="end"/>
          </w:r>
        </w:p>
      </w:tc>
    </w:tr>
  </w:tbl>
  <w:p w:rsidR="00DA1C78" w:rsidRPr="00A91411" w:rsidRDefault="00DA1C78">
    <w:pP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8" w:rsidRDefault="00DA1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9E" w:rsidRDefault="00BB3B9E" w:rsidP="000F3D9F">
      <w:r>
        <w:separator/>
      </w:r>
    </w:p>
  </w:footnote>
  <w:footnote w:type="continuationSeparator" w:id="0">
    <w:p w:rsidR="00BB3B9E" w:rsidRDefault="00BB3B9E" w:rsidP="000F3D9F">
      <w:r>
        <w:continuationSeparator/>
      </w:r>
    </w:p>
  </w:footnote>
  <w:footnote w:id="1">
    <w:p w:rsidR="007C0B37" w:rsidRPr="007C0B37" w:rsidRDefault="007C0B37">
      <w:pPr>
        <w:pStyle w:val="FootnoteText"/>
        <w:rPr>
          <w:sz w:val="18"/>
          <w:szCs w:val="18"/>
        </w:rPr>
      </w:pPr>
      <w:r w:rsidRPr="007C0B37">
        <w:rPr>
          <w:rStyle w:val="FootnoteReference"/>
          <w:sz w:val="18"/>
          <w:szCs w:val="18"/>
        </w:rPr>
        <w:footnoteRef/>
      </w:r>
      <w:r w:rsidRPr="007C0B37">
        <w:rPr>
          <w:sz w:val="18"/>
          <w:szCs w:val="18"/>
        </w:rPr>
        <w:t xml:space="preserve"> Explanatory memorandum, p11.</w:t>
      </w:r>
    </w:p>
  </w:footnote>
  <w:footnote w:id="2">
    <w:p w:rsidR="007C0B37" w:rsidRPr="007C0B37" w:rsidRDefault="007C0B37">
      <w:pPr>
        <w:pStyle w:val="FootnoteText"/>
        <w:rPr>
          <w:sz w:val="18"/>
          <w:szCs w:val="18"/>
        </w:rPr>
      </w:pPr>
      <w:r>
        <w:rPr>
          <w:rStyle w:val="FootnoteReference"/>
        </w:rPr>
        <w:footnoteRef/>
      </w:r>
      <w:r>
        <w:t xml:space="preserve"> </w:t>
      </w:r>
      <w:r>
        <w:rPr>
          <w:sz w:val="18"/>
          <w:szCs w:val="18"/>
        </w:rPr>
        <w:t>Explanatory memorandum, p10.</w:t>
      </w:r>
    </w:p>
  </w:footnote>
  <w:footnote w:id="3">
    <w:p w:rsidR="003C0A38" w:rsidRPr="00F768EC" w:rsidRDefault="003C0A38">
      <w:pPr>
        <w:pStyle w:val="FootnoteText"/>
        <w:rPr>
          <w:sz w:val="18"/>
          <w:szCs w:val="18"/>
        </w:rPr>
      </w:pPr>
      <w:r w:rsidRPr="003C0A38">
        <w:rPr>
          <w:rStyle w:val="FootnoteReference"/>
          <w:sz w:val="18"/>
          <w:szCs w:val="18"/>
        </w:rPr>
        <w:footnoteRef/>
      </w:r>
      <w:r w:rsidRPr="003C0A38">
        <w:rPr>
          <w:sz w:val="18"/>
          <w:szCs w:val="18"/>
        </w:rPr>
        <w:t xml:space="preserve"> Australian Trucking Association. “Fuel tax indexation will not affect grocery prices.” Media</w:t>
      </w:r>
      <w:r w:rsidR="007C0B37">
        <w:rPr>
          <w:sz w:val="18"/>
          <w:szCs w:val="18"/>
        </w:rPr>
        <w:t xml:space="preserve"> release, 13 May 2014. Accessible</w:t>
      </w:r>
      <w:r w:rsidRPr="003C0A38">
        <w:rPr>
          <w:sz w:val="18"/>
          <w:szCs w:val="18"/>
        </w:rPr>
        <w:t xml:space="preserve"> at www.truck.net.au.</w:t>
      </w:r>
    </w:p>
  </w:footnote>
  <w:footnote w:id="4">
    <w:p w:rsidR="00F768EC" w:rsidRDefault="00F768EC">
      <w:pPr>
        <w:pStyle w:val="FootnoteText"/>
      </w:pPr>
      <w:r w:rsidRPr="00F768EC">
        <w:rPr>
          <w:rStyle w:val="FootnoteReference"/>
          <w:sz w:val="18"/>
          <w:szCs w:val="18"/>
        </w:rPr>
        <w:footnoteRef/>
      </w:r>
      <w:r w:rsidRPr="00F768EC">
        <w:rPr>
          <w:sz w:val="18"/>
          <w:szCs w:val="18"/>
        </w:rPr>
        <w:t xml:space="preserve"> Transport and Infrastructure Council</w:t>
      </w:r>
      <w:r>
        <w:rPr>
          <w:sz w:val="18"/>
          <w:szCs w:val="18"/>
        </w:rPr>
        <w:t xml:space="preserve"> communique, 9 May 2014. </w:t>
      </w:r>
      <w:r w:rsidR="00216F19">
        <w:rPr>
          <w:sz w:val="18"/>
          <w:szCs w:val="18"/>
        </w:rPr>
        <w:t>Accessible</w:t>
      </w:r>
      <w:r>
        <w:rPr>
          <w:sz w:val="18"/>
          <w:szCs w:val="18"/>
        </w:rPr>
        <w:t xml:space="preserve"> at </w:t>
      </w:r>
      <w:r w:rsidRPr="00F768EC">
        <w:rPr>
          <w:sz w:val="18"/>
          <w:szCs w:val="18"/>
        </w:rPr>
        <w:t>www.transportinfrastructurecouncil.gov.au</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1F" w:rsidRDefault="00F51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1F" w:rsidRDefault="00F51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8" w:rsidRPr="00E8056B" w:rsidRDefault="00DA1C78" w:rsidP="001C3659">
    <w:pPr>
      <w:jc w:val="right"/>
      <w:rPr>
        <w:rFonts w:ascii="Arial" w:hAnsi="Arial" w:cs="Arial"/>
        <w:color w:val="FF0000"/>
        <w:sz w:val="18"/>
        <w:szCs w:val="18"/>
      </w:rPr>
    </w:pPr>
    <w:r w:rsidRPr="00E8056B">
      <w:rPr>
        <w:rFonts w:ascii="Arial" w:hAnsi="Arial" w:cs="Arial"/>
        <w:color w:val="000064"/>
        <w:sz w:val="18"/>
        <w:szCs w:val="18"/>
      </w:rPr>
      <w:t xml:space="preserve">AUSTRALIAN TRUCKING </w:t>
    </w:r>
    <w:r w:rsidRPr="00E8056B">
      <w:rPr>
        <w:rFonts w:ascii="Arial" w:hAnsi="Arial" w:cs="Arial"/>
        <w:color w:val="FF0000"/>
        <w:sz w:val="18"/>
        <w:szCs w:val="18"/>
      </w:rPr>
      <w:t>ASSOCIATION</w:t>
    </w:r>
  </w:p>
  <w:p w:rsidR="00DA1C78" w:rsidRDefault="00DA1C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8" w:rsidRDefault="00DA1C7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8" w:rsidRPr="0062031D" w:rsidRDefault="00DA1C78" w:rsidP="0062031D">
    <w:pPr>
      <w:pStyle w:val="Header"/>
      <w:rPr>
        <w:rFonts w:ascii="Arial" w:hAnsi="Arial" w:cs="Arial"/>
        <w:color w:val="000064"/>
        <w:sz w:val="18"/>
        <w:szCs w:val="18"/>
      </w:rPr>
    </w:pPr>
    <w:r>
      <w:rPr>
        <w:rFonts w:ascii="Arial" w:hAnsi="Arial" w:cs="Arial"/>
        <w:color w:val="000064"/>
        <w:sz w:val="18"/>
        <w:szCs w:val="18"/>
      </w:rPr>
      <w:tab/>
    </w:r>
    <w:r>
      <w:rPr>
        <w:rFonts w:ascii="Arial" w:hAnsi="Arial" w:cs="Arial"/>
        <w:color w:val="000064"/>
        <w:sz w:val="18"/>
        <w:szCs w:val="18"/>
      </w:rPr>
      <w:tab/>
      <w:t xml:space="preserve">   </w:t>
    </w:r>
    <w:r w:rsidRPr="0062031D">
      <w:rPr>
        <w:rFonts w:ascii="Arial" w:hAnsi="Arial" w:cs="Arial"/>
        <w:color w:val="000064"/>
        <w:sz w:val="18"/>
        <w:szCs w:val="18"/>
      </w:rPr>
      <w:t xml:space="preserve">AUSTRALIAN TRUCKING </w:t>
    </w:r>
    <w:r w:rsidRPr="0062031D">
      <w:rPr>
        <w:rFonts w:ascii="Arial" w:hAnsi="Arial" w:cs="Arial"/>
        <w:color w:val="FF0000"/>
        <w:sz w:val="18"/>
        <w:szCs w:val="18"/>
      </w:rPr>
      <w:t>ASSOCIATION</w:t>
    </w:r>
  </w:p>
  <w:p w:rsidR="00DA1C78" w:rsidRPr="0062031D" w:rsidRDefault="00DA1C78" w:rsidP="0062031D">
    <w:pPr>
      <w:pStyle w:val="Header"/>
      <w:rPr>
        <w:szCs w:val="1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78" w:rsidRDefault="00DA1C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856"/>
    <w:multiLevelType w:val="hybridMultilevel"/>
    <w:tmpl w:val="266EC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591B05"/>
    <w:multiLevelType w:val="hybridMultilevel"/>
    <w:tmpl w:val="7DACD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65889"/>
    <w:multiLevelType w:val="hybridMultilevel"/>
    <w:tmpl w:val="8D66E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67C775E"/>
    <w:multiLevelType w:val="multilevel"/>
    <w:tmpl w:val="5D00416A"/>
    <w:lvl w:ilvl="0">
      <w:start w:val="5"/>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3A9512F0"/>
    <w:multiLevelType w:val="hybridMultilevel"/>
    <w:tmpl w:val="F790FF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DA35423"/>
    <w:multiLevelType w:val="hybridMultilevel"/>
    <w:tmpl w:val="8968C0E4"/>
    <w:lvl w:ilvl="0" w:tplc="815878FA">
      <w:start w:val="1"/>
      <w:numFmt w:val="decimal"/>
      <w:pStyle w:val="RecommendationStyle"/>
      <w:lvlText w:val="Recommendation %1"/>
      <w:lvlJc w:val="left"/>
      <w:pPr>
        <w:tabs>
          <w:tab w:val="num" w:pos="1192"/>
        </w:tabs>
      </w:pPr>
      <w:rPr>
        <w:rFonts w:ascii="Arial" w:hAnsi="Arial" w:cs="Times New Roman" w:hint="default"/>
        <w:b/>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nsid w:val="459F2C95"/>
    <w:multiLevelType w:val="hybridMultilevel"/>
    <w:tmpl w:val="1F3A7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331B98"/>
    <w:multiLevelType w:val="hybridMultilevel"/>
    <w:tmpl w:val="4752A186"/>
    <w:lvl w:ilvl="0" w:tplc="D0ACF64C">
      <w:start w:val="2"/>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554ED9"/>
    <w:multiLevelType w:val="multilevel"/>
    <w:tmpl w:val="652E1C90"/>
    <w:lvl w:ilvl="0">
      <w:start w:val="1"/>
      <w:numFmt w:val="decimal"/>
      <w:pStyle w:val="Heading1"/>
      <w:lvlText w:val="%1."/>
      <w:lvlJc w:val="left"/>
      <w:pPr>
        <w:ind w:left="502" w:hanging="360"/>
      </w:pPr>
      <w:rPr>
        <w:rFonts w:cs="Times New Roman" w:hint="default"/>
      </w:rPr>
    </w:lvl>
    <w:lvl w:ilvl="1">
      <w:start w:val="1"/>
      <w:numFmt w:val="decimal"/>
      <w:pStyle w:val="ATAHeading2"/>
      <w:lvlText w:val="%1.%2."/>
      <w:lvlJc w:val="left"/>
      <w:pPr>
        <w:ind w:left="792" w:hanging="432"/>
      </w:pPr>
      <w:rPr>
        <w:rFonts w:cs="Times New Roman" w:hint="default"/>
      </w:rPr>
    </w:lvl>
    <w:lvl w:ilvl="2">
      <w:start w:val="1"/>
      <w:numFmt w:val="decimal"/>
      <w:pStyle w:val="ATAHeading3"/>
      <w:lvlText w:val="%1.%2.%3."/>
      <w:lvlJc w:val="left"/>
      <w:pPr>
        <w:ind w:left="1224" w:hanging="504"/>
      </w:pPr>
      <w:rPr>
        <w:rFonts w:cs="Times New Roman" w:hint="default"/>
        <w:b/>
        <w:color w:val="00006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6AB91A83"/>
    <w:multiLevelType w:val="multilevel"/>
    <w:tmpl w:val="6FFA4322"/>
    <w:lvl w:ilvl="0">
      <w:start w:val="4"/>
      <w:numFmt w:val="decimal"/>
      <w:lvlText w:val="%1"/>
      <w:lvlJc w:val="left"/>
      <w:pPr>
        <w:ind w:left="547" w:hanging="40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22"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1582" w:hanging="1440"/>
      </w:pPr>
      <w:rPr>
        <w:rFonts w:hint="default"/>
      </w:rPr>
    </w:lvl>
    <w:lvl w:ilvl="6">
      <w:start w:val="1"/>
      <w:numFmt w:val="decimal"/>
      <w:lvlText w:val="%1.%2.%3.%4.%5.%6.%7"/>
      <w:lvlJc w:val="left"/>
      <w:pPr>
        <w:ind w:left="1942" w:hanging="1800"/>
      </w:pPr>
      <w:rPr>
        <w:rFonts w:hint="default"/>
      </w:rPr>
    </w:lvl>
    <w:lvl w:ilvl="7">
      <w:start w:val="1"/>
      <w:numFmt w:val="decimal"/>
      <w:lvlText w:val="%1.%2.%3.%4.%5.%6.%7.%8"/>
      <w:lvlJc w:val="left"/>
      <w:pPr>
        <w:ind w:left="1942" w:hanging="1800"/>
      </w:pPr>
      <w:rPr>
        <w:rFonts w:hint="default"/>
      </w:rPr>
    </w:lvl>
    <w:lvl w:ilvl="8">
      <w:start w:val="1"/>
      <w:numFmt w:val="decimal"/>
      <w:lvlText w:val="%1.%2.%3.%4.%5.%6.%7.%8.%9"/>
      <w:lvlJc w:val="left"/>
      <w:pPr>
        <w:ind w:left="2302" w:hanging="2160"/>
      </w:pPr>
      <w:rPr>
        <w:rFonts w:hint="default"/>
      </w:rPr>
    </w:lvl>
  </w:abstractNum>
  <w:abstractNum w:abstractNumId="10">
    <w:nsid w:val="6ABB5BCF"/>
    <w:multiLevelType w:val="hybridMultilevel"/>
    <w:tmpl w:val="816A2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0826933"/>
    <w:multiLevelType w:val="hybridMultilevel"/>
    <w:tmpl w:val="87E01B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7"/>
  </w:num>
  <w:num w:numId="5">
    <w:abstractNumId w:val="8"/>
  </w:num>
  <w:num w:numId="6">
    <w:abstractNumId w:val="8"/>
  </w:num>
  <w:num w:numId="7">
    <w:abstractNumId w:val="8"/>
  </w:num>
  <w:num w:numId="8">
    <w:abstractNumId w:val="2"/>
  </w:num>
  <w:num w:numId="9">
    <w:abstractNumId w:val="8"/>
  </w:num>
  <w:num w:numId="10">
    <w:abstractNumId w:val="8"/>
  </w:num>
  <w:num w:numId="11">
    <w:abstractNumId w:val="8"/>
  </w:num>
  <w:num w:numId="12">
    <w:abstractNumId w:val="8"/>
  </w:num>
  <w:num w:numId="13">
    <w:abstractNumId w:val="8"/>
  </w:num>
  <w:num w:numId="14">
    <w:abstractNumId w:val="8"/>
  </w:num>
  <w:num w:numId="15">
    <w:abstractNumId w:val="3"/>
  </w:num>
  <w:num w:numId="16">
    <w:abstractNumId w:val="8"/>
  </w:num>
  <w:num w:numId="17">
    <w:abstractNumId w:val="8"/>
  </w:num>
  <w:num w:numId="18">
    <w:abstractNumId w:val="8"/>
  </w:num>
  <w:num w:numId="19">
    <w:abstractNumId w:val="6"/>
  </w:num>
  <w:num w:numId="20">
    <w:abstractNumId w:val="10"/>
  </w:num>
  <w:num w:numId="21">
    <w:abstractNumId w:val="4"/>
  </w:num>
  <w:num w:numId="22">
    <w:abstractNumId w:val="11"/>
  </w:num>
  <w:num w:numId="23">
    <w:abstractNumId w:val="0"/>
  </w:num>
  <w:num w:numId="2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7A"/>
    <w:rsid w:val="0000159D"/>
    <w:rsid w:val="00004DB4"/>
    <w:rsid w:val="00005E0D"/>
    <w:rsid w:val="000118F7"/>
    <w:rsid w:val="00011D52"/>
    <w:rsid w:val="00014B23"/>
    <w:rsid w:val="000156D1"/>
    <w:rsid w:val="000223CC"/>
    <w:rsid w:val="00023B28"/>
    <w:rsid w:val="00025C3E"/>
    <w:rsid w:val="00035CFC"/>
    <w:rsid w:val="00040727"/>
    <w:rsid w:val="0004076B"/>
    <w:rsid w:val="00040876"/>
    <w:rsid w:val="00040D17"/>
    <w:rsid w:val="00040D26"/>
    <w:rsid w:val="0004142E"/>
    <w:rsid w:val="0004192B"/>
    <w:rsid w:val="00042462"/>
    <w:rsid w:val="00042746"/>
    <w:rsid w:val="00043430"/>
    <w:rsid w:val="00043AF0"/>
    <w:rsid w:val="00044533"/>
    <w:rsid w:val="00046042"/>
    <w:rsid w:val="000500EB"/>
    <w:rsid w:val="00050881"/>
    <w:rsid w:val="00052E9C"/>
    <w:rsid w:val="000561A5"/>
    <w:rsid w:val="00056848"/>
    <w:rsid w:val="000614BF"/>
    <w:rsid w:val="0006283B"/>
    <w:rsid w:val="000630C3"/>
    <w:rsid w:val="0007542B"/>
    <w:rsid w:val="00075E7B"/>
    <w:rsid w:val="00076C90"/>
    <w:rsid w:val="00080037"/>
    <w:rsid w:val="00083C15"/>
    <w:rsid w:val="000848A1"/>
    <w:rsid w:val="00085055"/>
    <w:rsid w:val="000868C6"/>
    <w:rsid w:val="000875E7"/>
    <w:rsid w:val="00095C3B"/>
    <w:rsid w:val="000963BE"/>
    <w:rsid w:val="000A102A"/>
    <w:rsid w:val="000A151F"/>
    <w:rsid w:val="000A2BCF"/>
    <w:rsid w:val="000A3F4E"/>
    <w:rsid w:val="000A4E76"/>
    <w:rsid w:val="000A4EB0"/>
    <w:rsid w:val="000A62F7"/>
    <w:rsid w:val="000A7880"/>
    <w:rsid w:val="000B069A"/>
    <w:rsid w:val="000B351D"/>
    <w:rsid w:val="000B4161"/>
    <w:rsid w:val="000B4942"/>
    <w:rsid w:val="000B6CAC"/>
    <w:rsid w:val="000B6D2A"/>
    <w:rsid w:val="000B773A"/>
    <w:rsid w:val="000B7D23"/>
    <w:rsid w:val="000C01AC"/>
    <w:rsid w:val="000C0C35"/>
    <w:rsid w:val="000C15B7"/>
    <w:rsid w:val="000C19AA"/>
    <w:rsid w:val="000C30F1"/>
    <w:rsid w:val="000C310A"/>
    <w:rsid w:val="000C58B5"/>
    <w:rsid w:val="000C594D"/>
    <w:rsid w:val="000D0FE5"/>
    <w:rsid w:val="000D274C"/>
    <w:rsid w:val="000D528B"/>
    <w:rsid w:val="000D6381"/>
    <w:rsid w:val="000D6454"/>
    <w:rsid w:val="000E408F"/>
    <w:rsid w:val="000E67CA"/>
    <w:rsid w:val="000E7B14"/>
    <w:rsid w:val="000F0116"/>
    <w:rsid w:val="000F080E"/>
    <w:rsid w:val="000F0F7B"/>
    <w:rsid w:val="000F30FF"/>
    <w:rsid w:val="000F349D"/>
    <w:rsid w:val="000F3D9F"/>
    <w:rsid w:val="000F4057"/>
    <w:rsid w:val="000F53C2"/>
    <w:rsid w:val="000F566E"/>
    <w:rsid w:val="000F7F6F"/>
    <w:rsid w:val="00100ED4"/>
    <w:rsid w:val="001016E8"/>
    <w:rsid w:val="001019C0"/>
    <w:rsid w:val="00101EAF"/>
    <w:rsid w:val="001023CB"/>
    <w:rsid w:val="001025C9"/>
    <w:rsid w:val="001071A4"/>
    <w:rsid w:val="00110610"/>
    <w:rsid w:val="001202C1"/>
    <w:rsid w:val="00121418"/>
    <w:rsid w:val="00121A53"/>
    <w:rsid w:val="00121A86"/>
    <w:rsid w:val="00121E1A"/>
    <w:rsid w:val="00122558"/>
    <w:rsid w:val="00125795"/>
    <w:rsid w:val="00127712"/>
    <w:rsid w:val="00127BC0"/>
    <w:rsid w:val="0013041A"/>
    <w:rsid w:val="001332F2"/>
    <w:rsid w:val="00134A9F"/>
    <w:rsid w:val="00136219"/>
    <w:rsid w:val="001368EB"/>
    <w:rsid w:val="0013765E"/>
    <w:rsid w:val="00137794"/>
    <w:rsid w:val="00141274"/>
    <w:rsid w:val="0014437E"/>
    <w:rsid w:val="00145022"/>
    <w:rsid w:val="001463C2"/>
    <w:rsid w:val="0014683D"/>
    <w:rsid w:val="001475F7"/>
    <w:rsid w:val="00150065"/>
    <w:rsid w:val="0015168F"/>
    <w:rsid w:val="00151950"/>
    <w:rsid w:val="00151F88"/>
    <w:rsid w:val="00152A71"/>
    <w:rsid w:val="001533EC"/>
    <w:rsid w:val="00153D10"/>
    <w:rsid w:val="001555C9"/>
    <w:rsid w:val="00155B97"/>
    <w:rsid w:val="00156060"/>
    <w:rsid w:val="00160FE3"/>
    <w:rsid w:val="001611AB"/>
    <w:rsid w:val="0016265F"/>
    <w:rsid w:val="00164A4D"/>
    <w:rsid w:val="00165C3E"/>
    <w:rsid w:val="00170107"/>
    <w:rsid w:val="00170FC2"/>
    <w:rsid w:val="001727E8"/>
    <w:rsid w:val="00172D5B"/>
    <w:rsid w:val="001811B8"/>
    <w:rsid w:val="0018136A"/>
    <w:rsid w:val="001817F5"/>
    <w:rsid w:val="00182648"/>
    <w:rsid w:val="00183923"/>
    <w:rsid w:val="00184A28"/>
    <w:rsid w:val="001922E5"/>
    <w:rsid w:val="001943BE"/>
    <w:rsid w:val="0019542E"/>
    <w:rsid w:val="001A024F"/>
    <w:rsid w:val="001A0DC3"/>
    <w:rsid w:val="001A2840"/>
    <w:rsid w:val="001A33CC"/>
    <w:rsid w:val="001A3AAA"/>
    <w:rsid w:val="001A5FE2"/>
    <w:rsid w:val="001A6510"/>
    <w:rsid w:val="001A66A5"/>
    <w:rsid w:val="001A7BF4"/>
    <w:rsid w:val="001B3E52"/>
    <w:rsid w:val="001B46F6"/>
    <w:rsid w:val="001B5564"/>
    <w:rsid w:val="001B6B29"/>
    <w:rsid w:val="001B7B44"/>
    <w:rsid w:val="001C121B"/>
    <w:rsid w:val="001C125D"/>
    <w:rsid w:val="001C13A5"/>
    <w:rsid w:val="001C150C"/>
    <w:rsid w:val="001C3659"/>
    <w:rsid w:val="001C52FE"/>
    <w:rsid w:val="001D038B"/>
    <w:rsid w:val="001D15A1"/>
    <w:rsid w:val="001D1836"/>
    <w:rsid w:val="001D3D04"/>
    <w:rsid w:val="001D46D2"/>
    <w:rsid w:val="001D50C7"/>
    <w:rsid w:val="001D5BA0"/>
    <w:rsid w:val="001D77A8"/>
    <w:rsid w:val="001D7817"/>
    <w:rsid w:val="001E0A75"/>
    <w:rsid w:val="001E1665"/>
    <w:rsid w:val="001E232E"/>
    <w:rsid w:val="001E3126"/>
    <w:rsid w:val="001F024C"/>
    <w:rsid w:val="001F187C"/>
    <w:rsid w:val="001F2FD4"/>
    <w:rsid w:val="001F32AB"/>
    <w:rsid w:val="001F5A9B"/>
    <w:rsid w:val="001F5BCB"/>
    <w:rsid w:val="001F5CDF"/>
    <w:rsid w:val="00201A96"/>
    <w:rsid w:val="00202A6B"/>
    <w:rsid w:val="002041FF"/>
    <w:rsid w:val="00205D00"/>
    <w:rsid w:val="0020791B"/>
    <w:rsid w:val="0020796A"/>
    <w:rsid w:val="0021180A"/>
    <w:rsid w:val="00212465"/>
    <w:rsid w:val="00212936"/>
    <w:rsid w:val="00213C59"/>
    <w:rsid w:val="002158C8"/>
    <w:rsid w:val="00216CE6"/>
    <w:rsid w:val="00216F19"/>
    <w:rsid w:val="002208FB"/>
    <w:rsid w:val="00225056"/>
    <w:rsid w:val="00225F89"/>
    <w:rsid w:val="00230598"/>
    <w:rsid w:val="00230DFC"/>
    <w:rsid w:val="002317DA"/>
    <w:rsid w:val="002327F8"/>
    <w:rsid w:val="0023296D"/>
    <w:rsid w:val="0023571B"/>
    <w:rsid w:val="002374B4"/>
    <w:rsid w:val="00240467"/>
    <w:rsid w:val="00241C15"/>
    <w:rsid w:val="00243126"/>
    <w:rsid w:val="00243F7B"/>
    <w:rsid w:val="00244543"/>
    <w:rsid w:val="00245CE4"/>
    <w:rsid w:val="002502E0"/>
    <w:rsid w:val="002502EF"/>
    <w:rsid w:val="00250E06"/>
    <w:rsid w:val="00252BD7"/>
    <w:rsid w:val="0025356A"/>
    <w:rsid w:val="00253E0B"/>
    <w:rsid w:val="002543DF"/>
    <w:rsid w:val="002550E9"/>
    <w:rsid w:val="00262C0A"/>
    <w:rsid w:val="0026620C"/>
    <w:rsid w:val="00266915"/>
    <w:rsid w:val="00267830"/>
    <w:rsid w:val="00273325"/>
    <w:rsid w:val="002742EF"/>
    <w:rsid w:val="00274BA8"/>
    <w:rsid w:val="00277F32"/>
    <w:rsid w:val="002819AA"/>
    <w:rsid w:val="00281EFE"/>
    <w:rsid w:val="00286DB5"/>
    <w:rsid w:val="002875B7"/>
    <w:rsid w:val="0029330A"/>
    <w:rsid w:val="00294E3C"/>
    <w:rsid w:val="00296633"/>
    <w:rsid w:val="002A00F5"/>
    <w:rsid w:val="002A010F"/>
    <w:rsid w:val="002A0424"/>
    <w:rsid w:val="002A237B"/>
    <w:rsid w:val="002A43F0"/>
    <w:rsid w:val="002A455A"/>
    <w:rsid w:val="002A4859"/>
    <w:rsid w:val="002A4ACA"/>
    <w:rsid w:val="002A5A99"/>
    <w:rsid w:val="002B1F61"/>
    <w:rsid w:val="002B2136"/>
    <w:rsid w:val="002B381D"/>
    <w:rsid w:val="002B3AEF"/>
    <w:rsid w:val="002B5D65"/>
    <w:rsid w:val="002B618E"/>
    <w:rsid w:val="002B6CC2"/>
    <w:rsid w:val="002C0C38"/>
    <w:rsid w:val="002C1799"/>
    <w:rsid w:val="002C6E2E"/>
    <w:rsid w:val="002C6F4E"/>
    <w:rsid w:val="002C7AB9"/>
    <w:rsid w:val="002C7D3E"/>
    <w:rsid w:val="002C7FF6"/>
    <w:rsid w:val="002D592D"/>
    <w:rsid w:val="002D5D45"/>
    <w:rsid w:val="002D7FDB"/>
    <w:rsid w:val="002E06E3"/>
    <w:rsid w:val="002E06EB"/>
    <w:rsid w:val="002E453E"/>
    <w:rsid w:val="002E4E20"/>
    <w:rsid w:val="002E5D82"/>
    <w:rsid w:val="002E782F"/>
    <w:rsid w:val="002E7897"/>
    <w:rsid w:val="002E7F28"/>
    <w:rsid w:val="002F00C9"/>
    <w:rsid w:val="002F0EBE"/>
    <w:rsid w:val="002F1339"/>
    <w:rsid w:val="002F2F65"/>
    <w:rsid w:val="002F42BE"/>
    <w:rsid w:val="002F6212"/>
    <w:rsid w:val="002F632C"/>
    <w:rsid w:val="002F6D63"/>
    <w:rsid w:val="003016C4"/>
    <w:rsid w:val="00303296"/>
    <w:rsid w:val="00306FBF"/>
    <w:rsid w:val="00307AF8"/>
    <w:rsid w:val="00310B35"/>
    <w:rsid w:val="0031301A"/>
    <w:rsid w:val="003168CE"/>
    <w:rsid w:val="00320AFE"/>
    <w:rsid w:val="00320F07"/>
    <w:rsid w:val="00321554"/>
    <w:rsid w:val="003215A3"/>
    <w:rsid w:val="00321A43"/>
    <w:rsid w:val="00322C31"/>
    <w:rsid w:val="0032308F"/>
    <w:rsid w:val="00324459"/>
    <w:rsid w:val="00325A6C"/>
    <w:rsid w:val="00333BA6"/>
    <w:rsid w:val="003340FB"/>
    <w:rsid w:val="00334926"/>
    <w:rsid w:val="00336254"/>
    <w:rsid w:val="00336760"/>
    <w:rsid w:val="00341AE8"/>
    <w:rsid w:val="00341FEC"/>
    <w:rsid w:val="00342826"/>
    <w:rsid w:val="0034321B"/>
    <w:rsid w:val="00344D53"/>
    <w:rsid w:val="00352490"/>
    <w:rsid w:val="003533CA"/>
    <w:rsid w:val="00354394"/>
    <w:rsid w:val="0035493A"/>
    <w:rsid w:val="00360759"/>
    <w:rsid w:val="00365CB8"/>
    <w:rsid w:val="003669CC"/>
    <w:rsid w:val="00372153"/>
    <w:rsid w:val="00374216"/>
    <w:rsid w:val="00380E64"/>
    <w:rsid w:val="00384772"/>
    <w:rsid w:val="00384AED"/>
    <w:rsid w:val="00387729"/>
    <w:rsid w:val="0039063B"/>
    <w:rsid w:val="003911E4"/>
    <w:rsid w:val="00391557"/>
    <w:rsid w:val="003958D9"/>
    <w:rsid w:val="003A19A5"/>
    <w:rsid w:val="003A2034"/>
    <w:rsid w:val="003A269C"/>
    <w:rsid w:val="003A447E"/>
    <w:rsid w:val="003A6A3B"/>
    <w:rsid w:val="003B0AAE"/>
    <w:rsid w:val="003B0E35"/>
    <w:rsid w:val="003B1682"/>
    <w:rsid w:val="003B1937"/>
    <w:rsid w:val="003B6150"/>
    <w:rsid w:val="003B660D"/>
    <w:rsid w:val="003B74E4"/>
    <w:rsid w:val="003C03EB"/>
    <w:rsid w:val="003C0A38"/>
    <w:rsid w:val="003C0A77"/>
    <w:rsid w:val="003C142B"/>
    <w:rsid w:val="003C1F90"/>
    <w:rsid w:val="003C2311"/>
    <w:rsid w:val="003D0D26"/>
    <w:rsid w:val="003D4283"/>
    <w:rsid w:val="003D6219"/>
    <w:rsid w:val="003D6FA8"/>
    <w:rsid w:val="003E022B"/>
    <w:rsid w:val="003E1F3D"/>
    <w:rsid w:val="003E269D"/>
    <w:rsid w:val="003E2B20"/>
    <w:rsid w:val="003F1027"/>
    <w:rsid w:val="003F6CA9"/>
    <w:rsid w:val="004008C7"/>
    <w:rsid w:val="004011BA"/>
    <w:rsid w:val="00403823"/>
    <w:rsid w:val="00403AB5"/>
    <w:rsid w:val="00404731"/>
    <w:rsid w:val="004053D4"/>
    <w:rsid w:val="00406847"/>
    <w:rsid w:val="004115B6"/>
    <w:rsid w:val="00413868"/>
    <w:rsid w:val="00413F6B"/>
    <w:rsid w:val="00414BA7"/>
    <w:rsid w:val="00415126"/>
    <w:rsid w:val="004152D6"/>
    <w:rsid w:val="004164B0"/>
    <w:rsid w:val="00417A6F"/>
    <w:rsid w:val="0042014B"/>
    <w:rsid w:val="004205EF"/>
    <w:rsid w:val="00421306"/>
    <w:rsid w:val="00422328"/>
    <w:rsid w:val="00422BB7"/>
    <w:rsid w:val="00423CCC"/>
    <w:rsid w:val="00424D3E"/>
    <w:rsid w:val="0042557B"/>
    <w:rsid w:val="004318DC"/>
    <w:rsid w:val="004347C9"/>
    <w:rsid w:val="004353C2"/>
    <w:rsid w:val="00436D3D"/>
    <w:rsid w:val="00436DF5"/>
    <w:rsid w:val="00440231"/>
    <w:rsid w:val="00440E22"/>
    <w:rsid w:val="00440F44"/>
    <w:rsid w:val="004456CC"/>
    <w:rsid w:val="00445CDC"/>
    <w:rsid w:val="00450702"/>
    <w:rsid w:val="00450FF8"/>
    <w:rsid w:val="004533ED"/>
    <w:rsid w:val="004552A2"/>
    <w:rsid w:val="00456D91"/>
    <w:rsid w:val="00461C8E"/>
    <w:rsid w:val="004640D1"/>
    <w:rsid w:val="0046717F"/>
    <w:rsid w:val="0047036B"/>
    <w:rsid w:val="00470721"/>
    <w:rsid w:val="00470B99"/>
    <w:rsid w:val="00472115"/>
    <w:rsid w:val="0047357F"/>
    <w:rsid w:val="00475C39"/>
    <w:rsid w:val="004803E5"/>
    <w:rsid w:val="00482A22"/>
    <w:rsid w:val="00484068"/>
    <w:rsid w:val="00486626"/>
    <w:rsid w:val="00487F0F"/>
    <w:rsid w:val="0049414B"/>
    <w:rsid w:val="004977DE"/>
    <w:rsid w:val="004A1760"/>
    <w:rsid w:val="004A2115"/>
    <w:rsid w:val="004A2F6F"/>
    <w:rsid w:val="004B10F5"/>
    <w:rsid w:val="004B26EB"/>
    <w:rsid w:val="004B48AF"/>
    <w:rsid w:val="004B50BC"/>
    <w:rsid w:val="004B6187"/>
    <w:rsid w:val="004B7FFA"/>
    <w:rsid w:val="004C0182"/>
    <w:rsid w:val="004C03D5"/>
    <w:rsid w:val="004C21BB"/>
    <w:rsid w:val="004C2EB3"/>
    <w:rsid w:val="004C3CC3"/>
    <w:rsid w:val="004C4418"/>
    <w:rsid w:val="004C5006"/>
    <w:rsid w:val="004C625A"/>
    <w:rsid w:val="004C64D9"/>
    <w:rsid w:val="004C697F"/>
    <w:rsid w:val="004D43D2"/>
    <w:rsid w:val="004D652E"/>
    <w:rsid w:val="004E0529"/>
    <w:rsid w:val="004E0CAD"/>
    <w:rsid w:val="004E1EBB"/>
    <w:rsid w:val="004E3959"/>
    <w:rsid w:val="004E5EA3"/>
    <w:rsid w:val="004E7F7D"/>
    <w:rsid w:val="004F0DFD"/>
    <w:rsid w:val="004F112A"/>
    <w:rsid w:val="004F1B89"/>
    <w:rsid w:val="004F3B07"/>
    <w:rsid w:val="004F42DC"/>
    <w:rsid w:val="004F6CE4"/>
    <w:rsid w:val="0050428E"/>
    <w:rsid w:val="00510952"/>
    <w:rsid w:val="00512224"/>
    <w:rsid w:val="005223FD"/>
    <w:rsid w:val="00525303"/>
    <w:rsid w:val="00527304"/>
    <w:rsid w:val="0053137B"/>
    <w:rsid w:val="00532423"/>
    <w:rsid w:val="00532BFB"/>
    <w:rsid w:val="00533E29"/>
    <w:rsid w:val="00535B95"/>
    <w:rsid w:val="005365E0"/>
    <w:rsid w:val="00542479"/>
    <w:rsid w:val="00543AEF"/>
    <w:rsid w:val="00544362"/>
    <w:rsid w:val="00547CA9"/>
    <w:rsid w:val="00550256"/>
    <w:rsid w:val="0055055C"/>
    <w:rsid w:val="0055577C"/>
    <w:rsid w:val="00557D15"/>
    <w:rsid w:val="00560034"/>
    <w:rsid w:val="00560171"/>
    <w:rsid w:val="00560BE3"/>
    <w:rsid w:val="0056179B"/>
    <w:rsid w:val="0056448B"/>
    <w:rsid w:val="00565F92"/>
    <w:rsid w:val="00571E75"/>
    <w:rsid w:val="00573408"/>
    <w:rsid w:val="00573E0F"/>
    <w:rsid w:val="00576ED0"/>
    <w:rsid w:val="00576F0D"/>
    <w:rsid w:val="00580BDF"/>
    <w:rsid w:val="00583EC7"/>
    <w:rsid w:val="00586C72"/>
    <w:rsid w:val="00587C8F"/>
    <w:rsid w:val="00592D33"/>
    <w:rsid w:val="00593217"/>
    <w:rsid w:val="0059367E"/>
    <w:rsid w:val="005959F9"/>
    <w:rsid w:val="00596AD2"/>
    <w:rsid w:val="00597798"/>
    <w:rsid w:val="005A0D15"/>
    <w:rsid w:val="005A18D7"/>
    <w:rsid w:val="005A2A86"/>
    <w:rsid w:val="005A4466"/>
    <w:rsid w:val="005A5392"/>
    <w:rsid w:val="005A540F"/>
    <w:rsid w:val="005A6891"/>
    <w:rsid w:val="005A6A2D"/>
    <w:rsid w:val="005B3729"/>
    <w:rsid w:val="005B5ADE"/>
    <w:rsid w:val="005C154E"/>
    <w:rsid w:val="005C31A0"/>
    <w:rsid w:val="005C35BE"/>
    <w:rsid w:val="005C4952"/>
    <w:rsid w:val="005C63F7"/>
    <w:rsid w:val="005C74C9"/>
    <w:rsid w:val="005D0EE2"/>
    <w:rsid w:val="005D2355"/>
    <w:rsid w:val="005D2565"/>
    <w:rsid w:val="005D6CD2"/>
    <w:rsid w:val="005D6E23"/>
    <w:rsid w:val="005E11FC"/>
    <w:rsid w:val="005E16F9"/>
    <w:rsid w:val="005E28FB"/>
    <w:rsid w:val="005E5130"/>
    <w:rsid w:val="005E6294"/>
    <w:rsid w:val="005E6A30"/>
    <w:rsid w:val="005E6D8B"/>
    <w:rsid w:val="005E7C51"/>
    <w:rsid w:val="005E7C87"/>
    <w:rsid w:val="005F1009"/>
    <w:rsid w:val="005F1298"/>
    <w:rsid w:val="005F21D1"/>
    <w:rsid w:val="005F5ACC"/>
    <w:rsid w:val="005F6288"/>
    <w:rsid w:val="005F69CC"/>
    <w:rsid w:val="005F76B2"/>
    <w:rsid w:val="00603FF6"/>
    <w:rsid w:val="00605DDD"/>
    <w:rsid w:val="00605E06"/>
    <w:rsid w:val="00607663"/>
    <w:rsid w:val="006104D6"/>
    <w:rsid w:val="006109E9"/>
    <w:rsid w:val="00610CFE"/>
    <w:rsid w:val="00611D83"/>
    <w:rsid w:val="00611ED6"/>
    <w:rsid w:val="00613278"/>
    <w:rsid w:val="006144AD"/>
    <w:rsid w:val="0061556B"/>
    <w:rsid w:val="00617B32"/>
    <w:rsid w:val="0062031D"/>
    <w:rsid w:val="006231E7"/>
    <w:rsid w:val="0062389F"/>
    <w:rsid w:val="006244DA"/>
    <w:rsid w:val="0062473C"/>
    <w:rsid w:val="0063160F"/>
    <w:rsid w:val="00634850"/>
    <w:rsid w:val="00635D66"/>
    <w:rsid w:val="00640940"/>
    <w:rsid w:val="00640AF8"/>
    <w:rsid w:val="00640DAD"/>
    <w:rsid w:val="00640F10"/>
    <w:rsid w:val="0064190A"/>
    <w:rsid w:val="00642DBA"/>
    <w:rsid w:val="00646310"/>
    <w:rsid w:val="00650891"/>
    <w:rsid w:val="00655B53"/>
    <w:rsid w:val="00662536"/>
    <w:rsid w:val="006663BD"/>
    <w:rsid w:val="00670210"/>
    <w:rsid w:val="006724CC"/>
    <w:rsid w:val="00674463"/>
    <w:rsid w:val="006754D2"/>
    <w:rsid w:val="00683D7C"/>
    <w:rsid w:val="006859F7"/>
    <w:rsid w:val="0069019B"/>
    <w:rsid w:val="00690B97"/>
    <w:rsid w:val="00693363"/>
    <w:rsid w:val="00693D92"/>
    <w:rsid w:val="0069518F"/>
    <w:rsid w:val="00696A94"/>
    <w:rsid w:val="00697A4F"/>
    <w:rsid w:val="006A386A"/>
    <w:rsid w:val="006A41AF"/>
    <w:rsid w:val="006A5E3E"/>
    <w:rsid w:val="006A797E"/>
    <w:rsid w:val="006B0C72"/>
    <w:rsid w:val="006B4380"/>
    <w:rsid w:val="006B7D84"/>
    <w:rsid w:val="006B7FC7"/>
    <w:rsid w:val="006C1B88"/>
    <w:rsid w:val="006C38AD"/>
    <w:rsid w:val="006C6B74"/>
    <w:rsid w:val="006D09EF"/>
    <w:rsid w:val="006D4B39"/>
    <w:rsid w:val="006D4D41"/>
    <w:rsid w:val="006E35F7"/>
    <w:rsid w:val="006E6527"/>
    <w:rsid w:val="006F050F"/>
    <w:rsid w:val="006F2940"/>
    <w:rsid w:val="006F2CC8"/>
    <w:rsid w:val="006F3537"/>
    <w:rsid w:val="006F3F1B"/>
    <w:rsid w:val="006F513F"/>
    <w:rsid w:val="006F6450"/>
    <w:rsid w:val="006F73DA"/>
    <w:rsid w:val="007005CD"/>
    <w:rsid w:val="00703EBF"/>
    <w:rsid w:val="007055B2"/>
    <w:rsid w:val="007069EB"/>
    <w:rsid w:val="00712ED5"/>
    <w:rsid w:val="007162A5"/>
    <w:rsid w:val="0071762D"/>
    <w:rsid w:val="007231E9"/>
    <w:rsid w:val="00725BC0"/>
    <w:rsid w:val="00726797"/>
    <w:rsid w:val="00726CB4"/>
    <w:rsid w:val="007320EE"/>
    <w:rsid w:val="00733700"/>
    <w:rsid w:val="007360B9"/>
    <w:rsid w:val="00740005"/>
    <w:rsid w:val="0074020C"/>
    <w:rsid w:val="00740DF8"/>
    <w:rsid w:val="00744A2C"/>
    <w:rsid w:val="007471C7"/>
    <w:rsid w:val="00750F7C"/>
    <w:rsid w:val="00751B9F"/>
    <w:rsid w:val="00753381"/>
    <w:rsid w:val="0075427A"/>
    <w:rsid w:val="00756AB3"/>
    <w:rsid w:val="0076304F"/>
    <w:rsid w:val="00763B47"/>
    <w:rsid w:val="00764BCB"/>
    <w:rsid w:val="00773899"/>
    <w:rsid w:val="00780473"/>
    <w:rsid w:val="00784200"/>
    <w:rsid w:val="00784B86"/>
    <w:rsid w:val="00786AF7"/>
    <w:rsid w:val="007907E5"/>
    <w:rsid w:val="00791216"/>
    <w:rsid w:val="00792CEB"/>
    <w:rsid w:val="00795D7B"/>
    <w:rsid w:val="00797654"/>
    <w:rsid w:val="007A0AE5"/>
    <w:rsid w:val="007A3E56"/>
    <w:rsid w:val="007A5771"/>
    <w:rsid w:val="007A69C1"/>
    <w:rsid w:val="007A69E2"/>
    <w:rsid w:val="007B0238"/>
    <w:rsid w:val="007B1879"/>
    <w:rsid w:val="007B2559"/>
    <w:rsid w:val="007B3B54"/>
    <w:rsid w:val="007B3BE2"/>
    <w:rsid w:val="007B5566"/>
    <w:rsid w:val="007B6A76"/>
    <w:rsid w:val="007B711A"/>
    <w:rsid w:val="007C0B37"/>
    <w:rsid w:val="007C3F49"/>
    <w:rsid w:val="007C434F"/>
    <w:rsid w:val="007C5B64"/>
    <w:rsid w:val="007C65D4"/>
    <w:rsid w:val="007C6F7F"/>
    <w:rsid w:val="007D0647"/>
    <w:rsid w:val="007D0E21"/>
    <w:rsid w:val="007D1EFA"/>
    <w:rsid w:val="007D532E"/>
    <w:rsid w:val="007D608A"/>
    <w:rsid w:val="007D7069"/>
    <w:rsid w:val="007E242D"/>
    <w:rsid w:val="007E257F"/>
    <w:rsid w:val="007E68E9"/>
    <w:rsid w:val="007E7452"/>
    <w:rsid w:val="007F0BC0"/>
    <w:rsid w:val="007F33DA"/>
    <w:rsid w:val="007F4404"/>
    <w:rsid w:val="007F44BE"/>
    <w:rsid w:val="007F46BC"/>
    <w:rsid w:val="007F4C48"/>
    <w:rsid w:val="00802108"/>
    <w:rsid w:val="008021B1"/>
    <w:rsid w:val="00802A51"/>
    <w:rsid w:val="00802CA7"/>
    <w:rsid w:val="00804BE3"/>
    <w:rsid w:val="00806377"/>
    <w:rsid w:val="00806EFF"/>
    <w:rsid w:val="00812636"/>
    <w:rsid w:val="0082056F"/>
    <w:rsid w:val="00821537"/>
    <w:rsid w:val="008258CA"/>
    <w:rsid w:val="00825C08"/>
    <w:rsid w:val="00826A1C"/>
    <w:rsid w:val="0083058C"/>
    <w:rsid w:val="0083363C"/>
    <w:rsid w:val="008344FF"/>
    <w:rsid w:val="00834ACA"/>
    <w:rsid w:val="00834B1C"/>
    <w:rsid w:val="008354D5"/>
    <w:rsid w:val="00835DE7"/>
    <w:rsid w:val="00836304"/>
    <w:rsid w:val="0083631A"/>
    <w:rsid w:val="00840E08"/>
    <w:rsid w:val="0084540A"/>
    <w:rsid w:val="00846097"/>
    <w:rsid w:val="008474A2"/>
    <w:rsid w:val="00850F11"/>
    <w:rsid w:val="00852A83"/>
    <w:rsid w:val="00852CAE"/>
    <w:rsid w:val="00853473"/>
    <w:rsid w:val="00853B8B"/>
    <w:rsid w:val="00853E1F"/>
    <w:rsid w:val="00854D3E"/>
    <w:rsid w:val="00854F65"/>
    <w:rsid w:val="00861D20"/>
    <w:rsid w:val="008622E4"/>
    <w:rsid w:val="00865F30"/>
    <w:rsid w:val="00867A12"/>
    <w:rsid w:val="00871BB7"/>
    <w:rsid w:val="00872E19"/>
    <w:rsid w:val="00874AAE"/>
    <w:rsid w:val="00875708"/>
    <w:rsid w:val="00875BF1"/>
    <w:rsid w:val="00875E89"/>
    <w:rsid w:val="00877FD8"/>
    <w:rsid w:val="00881557"/>
    <w:rsid w:val="00881A97"/>
    <w:rsid w:val="00883D46"/>
    <w:rsid w:val="00884122"/>
    <w:rsid w:val="00884504"/>
    <w:rsid w:val="00885F8A"/>
    <w:rsid w:val="00890346"/>
    <w:rsid w:val="00891979"/>
    <w:rsid w:val="0089433D"/>
    <w:rsid w:val="008952ED"/>
    <w:rsid w:val="00896DE6"/>
    <w:rsid w:val="008A2027"/>
    <w:rsid w:val="008A2CD6"/>
    <w:rsid w:val="008A343E"/>
    <w:rsid w:val="008A5088"/>
    <w:rsid w:val="008A5590"/>
    <w:rsid w:val="008A58A6"/>
    <w:rsid w:val="008A61F2"/>
    <w:rsid w:val="008A723F"/>
    <w:rsid w:val="008A7C6F"/>
    <w:rsid w:val="008B0D6E"/>
    <w:rsid w:val="008B0EEF"/>
    <w:rsid w:val="008B20CD"/>
    <w:rsid w:val="008B2BD8"/>
    <w:rsid w:val="008B4328"/>
    <w:rsid w:val="008B4B63"/>
    <w:rsid w:val="008B64B9"/>
    <w:rsid w:val="008B72CA"/>
    <w:rsid w:val="008B7312"/>
    <w:rsid w:val="008B7F9F"/>
    <w:rsid w:val="008C1818"/>
    <w:rsid w:val="008C1A63"/>
    <w:rsid w:val="008C2AA4"/>
    <w:rsid w:val="008C3057"/>
    <w:rsid w:val="008C38B7"/>
    <w:rsid w:val="008C3EF1"/>
    <w:rsid w:val="008D3CDC"/>
    <w:rsid w:val="008D4CD3"/>
    <w:rsid w:val="008D5426"/>
    <w:rsid w:val="008D5815"/>
    <w:rsid w:val="008E1721"/>
    <w:rsid w:val="008E3865"/>
    <w:rsid w:val="008E3CD2"/>
    <w:rsid w:val="008E3D9E"/>
    <w:rsid w:val="008E4E38"/>
    <w:rsid w:val="008E55FF"/>
    <w:rsid w:val="008F11A3"/>
    <w:rsid w:val="008F3744"/>
    <w:rsid w:val="008F7F78"/>
    <w:rsid w:val="0090183B"/>
    <w:rsid w:val="00902544"/>
    <w:rsid w:val="00905A43"/>
    <w:rsid w:val="00905C0A"/>
    <w:rsid w:val="00907060"/>
    <w:rsid w:val="00907274"/>
    <w:rsid w:val="00907971"/>
    <w:rsid w:val="00910C5A"/>
    <w:rsid w:val="009132E3"/>
    <w:rsid w:val="009148AC"/>
    <w:rsid w:val="00914C1D"/>
    <w:rsid w:val="00914E57"/>
    <w:rsid w:val="00927553"/>
    <w:rsid w:val="0093297A"/>
    <w:rsid w:val="009333F1"/>
    <w:rsid w:val="00934CC8"/>
    <w:rsid w:val="0093720E"/>
    <w:rsid w:val="00937832"/>
    <w:rsid w:val="00940D05"/>
    <w:rsid w:val="0094128A"/>
    <w:rsid w:val="00941339"/>
    <w:rsid w:val="00941F1D"/>
    <w:rsid w:val="00943829"/>
    <w:rsid w:val="009441ED"/>
    <w:rsid w:val="00944508"/>
    <w:rsid w:val="009445FD"/>
    <w:rsid w:val="00945910"/>
    <w:rsid w:val="0094622B"/>
    <w:rsid w:val="00946E17"/>
    <w:rsid w:val="00955AD3"/>
    <w:rsid w:val="00960FE0"/>
    <w:rsid w:val="00964194"/>
    <w:rsid w:val="00964D25"/>
    <w:rsid w:val="00966A2E"/>
    <w:rsid w:val="00966E35"/>
    <w:rsid w:val="00970BBB"/>
    <w:rsid w:val="00973AF4"/>
    <w:rsid w:val="009828B2"/>
    <w:rsid w:val="0098465E"/>
    <w:rsid w:val="00986804"/>
    <w:rsid w:val="00990F9E"/>
    <w:rsid w:val="00992BD3"/>
    <w:rsid w:val="00993BAE"/>
    <w:rsid w:val="0099546D"/>
    <w:rsid w:val="009960F9"/>
    <w:rsid w:val="0099770C"/>
    <w:rsid w:val="00997A56"/>
    <w:rsid w:val="009A0227"/>
    <w:rsid w:val="009A3853"/>
    <w:rsid w:val="009A40A2"/>
    <w:rsid w:val="009A58E6"/>
    <w:rsid w:val="009A690F"/>
    <w:rsid w:val="009A6D18"/>
    <w:rsid w:val="009A6EB9"/>
    <w:rsid w:val="009B029F"/>
    <w:rsid w:val="009B0520"/>
    <w:rsid w:val="009B19FF"/>
    <w:rsid w:val="009B4220"/>
    <w:rsid w:val="009B785D"/>
    <w:rsid w:val="009C2A3C"/>
    <w:rsid w:val="009C3D48"/>
    <w:rsid w:val="009C4CAC"/>
    <w:rsid w:val="009C5B73"/>
    <w:rsid w:val="009C5B87"/>
    <w:rsid w:val="009C5CA8"/>
    <w:rsid w:val="009D07EF"/>
    <w:rsid w:val="009D23E9"/>
    <w:rsid w:val="009D2BC0"/>
    <w:rsid w:val="009D2F28"/>
    <w:rsid w:val="009D327F"/>
    <w:rsid w:val="009D3731"/>
    <w:rsid w:val="009D4E07"/>
    <w:rsid w:val="009D56D7"/>
    <w:rsid w:val="009D7F5D"/>
    <w:rsid w:val="009E41D3"/>
    <w:rsid w:val="009E5E25"/>
    <w:rsid w:val="009E77F2"/>
    <w:rsid w:val="009F2FF9"/>
    <w:rsid w:val="009F3DF5"/>
    <w:rsid w:val="00A0156A"/>
    <w:rsid w:val="00A02972"/>
    <w:rsid w:val="00A0493F"/>
    <w:rsid w:val="00A05C28"/>
    <w:rsid w:val="00A06C96"/>
    <w:rsid w:val="00A072AE"/>
    <w:rsid w:val="00A10889"/>
    <w:rsid w:val="00A109D4"/>
    <w:rsid w:val="00A12126"/>
    <w:rsid w:val="00A12A25"/>
    <w:rsid w:val="00A12D57"/>
    <w:rsid w:val="00A12D70"/>
    <w:rsid w:val="00A1430A"/>
    <w:rsid w:val="00A14A82"/>
    <w:rsid w:val="00A1518E"/>
    <w:rsid w:val="00A17C7A"/>
    <w:rsid w:val="00A21469"/>
    <w:rsid w:val="00A21B50"/>
    <w:rsid w:val="00A2215A"/>
    <w:rsid w:val="00A2275D"/>
    <w:rsid w:val="00A22F48"/>
    <w:rsid w:val="00A256C3"/>
    <w:rsid w:val="00A25AFB"/>
    <w:rsid w:val="00A26CD2"/>
    <w:rsid w:val="00A300E2"/>
    <w:rsid w:val="00A31C8A"/>
    <w:rsid w:val="00A36B6F"/>
    <w:rsid w:val="00A36C35"/>
    <w:rsid w:val="00A37A93"/>
    <w:rsid w:val="00A438B7"/>
    <w:rsid w:val="00A44995"/>
    <w:rsid w:val="00A44D65"/>
    <w:rsid w:val="00A45F83"/>
    <w:rsid w:val="00A463BE"/>
    <w:rsid w:val="00A51C30"/>
    <w:rsid w:val="00A5226D"/>
    <w:rsid w:val="00A5361C"/>
    <w:rsid w:val="00A53730"/>
    <w:rsid w:val="00A54132"/>
    <w:rsid w:val="00A54248"/>
    <w:rsid w:val="00A5704A"/>
    <w:rsid w:val="00A57687"/>
    <w:rsid w:val="00A57D2F"/>
    <w:rsid w:val="00A61231"/>
    <w:rsid w:val="00A6297F"/>
    <w:rsid w:val="00A65515"/>
    <w:rsid w:val="00A71876"/>
    <w:rsid w:val="00A7345B"/>
    <w:rsid w:val="00A76D9B"/>
    <w:rsid w:val="00A832A0"/>
    <w:rsid w:val="00A83CCD"/>
    <w:rsid w:val="00A87317"/>
    <w:rsid w:val="00A873DD"/>
    <w:rsid w:val="00A91411"/>
    <w:rsid w:val="00A94647"/>
    <w:rsid w:val="00A95D43"/>
    <w:rsid w:val="00A95F6F"/>
    <w:rsid w:val="00A960F1"/>
    <w:rsid w:val="00AA0612"/>
    <w:rsid w:val="00AA2D57"/>
    <w:rsid w:val="00AA3F14"/>
    <w:rsid w:val="00AA3F39"/>
    <w:rsid w:val="00AA6325"/>
    <w:rsid w:val="00AB0EDB"/>
    <w:rsid w:val="00AB29C7"/>
    <w:rsid w:val="00AB2BF1"/>
    <w:rsid w:val="00AB48CD"/>
    <w:rsid w:val="00AB538B"/>
    <w:rsid w:val="00AB6931"/>
    <w:rsid w:val="00AB6D11"/>
    <w:rsid w:val="00AB75B8"/>
    <w:rsid w:val="00AC1142"/>
    <w:rsid w:val="00AC2FD9"/>
    <w:rsid w:val="00AC3266"/>
    <w:rsid w:val="00AC72F0"/>
    <w:rsid w:val="00AD0E7C"/>
    <w:rsid w:val="00AD29E4"/>
    <w:rsid w:val="00AD32D0"/>
    <w:rsid w:val="00AD3A50"/>
    <w:rsid w:val="00AD51CE"/>
    <w:rsid w:val="00AD735D"/>
    <w:rsid w:val="00AD7650"/>
    <w:rsid w:val="00AE061A"/>
    <w:rsid w:val="00AE4FFB"/>
    <w:rsid w:val="00AE51CF"/>
    <w:rsid w:val="00AE565F"/>
    <w:rsid w:val="00AE7959"/>
    <w:rsid w:val="00AF327F"/>
    <w:rsid w:val="00AF3626"/>
    <w:rsid w:val="00AF76B9"/>
    <w:rsid w:val="00B005E5"/>
    <w:rsid w:val="00B01724"/>
    <w:rsid w:val="00B04623"/>
    <w:rsid w:val="00B05F83"/>
    <w:rsid w:val="00B07BC7"/>
    <w:rsid w:val="00B107DE"/>
    <w:rsid w:val="00B11307"/>
    <w:rsid w:val="00B1368B"/>
    <w:rsid w:val="00B13B6B"/>
    <w:rsid w:val="00B14E27"/>
    <w:rsid w:val="00B15CA5"/>
    <w:rsid w:val="00B221AD"/>
    <w:rsid w:val="00B27371"/>
    <w:rsid w:val="00B30061"/>
    <w:rsid w:val="00B30162"/>
    <w:rsid w:val="00B31461"/>
    <w:rsid w:val="00B31649"/>
    <w:rsid w:val="00B37596"/>
    <w:rsid w:val="00B37B7F"/>
    <w:rsid w:val="00B42ECE"/>
    <w:rsid w:val="00B43E2A"/>
    <w:rsid w:val="00B44D4B"/>
    <w:rsid w:val="00B4550A"/>
    <w:rsid w:val="00B50C38"/>
    <w:rsid w:val="00B51BDB"/>
    <w:rsid w:val="00B53589"/>
    <w:rsid w:val="00B55023"/>
    <w:rsid w:val="00B55488"/>
    <w:rsid w:val="00B556AC"/>
    <w:rsid w:val="00B56443"/>
    <w:rsid w:val="00B615F9"/>
    <w:rsid w:val="00B63232"/>
    <w:rsid w:val="00B632B4"/>
    <w:rsid w:val="00B634C6"/>
    <w:rsid w:val="00B636DC"/>
    <w:rsid w:val="00B64B1F"/>
    <w:rsid w:val="00B64C58"/>
    <w:rsid w:val="00B668E7"/>
    <w:rsid w:val="00B70A6F"/>
    <w:rsid w:val="00B72075"/>
    <w:rsid w:val="00B72F22"/>
    <w:rsid w:val="00B73302"/>
    <w:rsid w:val="00B73CD8"/>
    <w:rsid w:val="00B749C9"/>
    <w:rsid w:val="00B751A7"/>
    <w:rsid w:val="00B75AB6"/>
    <w:rsid w:val="00B8083A"/>
    <w:rsid w:val="00B81F04"/>
    <w:rsid w:val="00B81FCB"/>
    <w:rsid w:val="00B867DD"/>
    <w:rsid w:val="00B90EA0"/>
    <w:rsid w:val="00B914D3"/>
    <w:rsid w:val="00B9375A"/>
    <w:rsid w:val="00B96747"/>
    <w:rsid w:val="00B97112"/>
    <w:rsid w:val="00BA0CE8"/>
    <w:rsid w:val="00BA19BE"/>
    <w:rsid w:val="00BA4B0C"/>
    <w:rsid w:val="00BB1D59"/>
    <w:rsid w:val="00BB3B9E"/>
    <w:rsid w:val="00BB4E99"/>
    <w:rsid w:val="00BB5EA5"/>
    <w:rsid w:val="00BB5FBA"/>
    <w:rsid w:val="00BC0B49"/>
    <w:rsid w:val="00BC63F3"/>
    <w:rsid w:val="00BD1864"/>
    <w:rsid w:val="00BD2E15"/>
    <w:rsid w:val="00BD751C"/>
    <w:rsid w:val="00BE3964"/>
    <w:rsid w:val="00BE46AC"/>
    <w:rsid w:val="00BE639D"/>
    <w:rsid w:val="00BF44C4"/>
    <w:rsid w:val="00BF5081"/>
    <w:rsid w:val="00BF5C66"/>
    <w:rsid w:val="00BF6BE2"/>
    <w:rsid w:val="00C01C01"/>
    <w:rsid w:val="00C02F16"/>
    <w:rsid w:val="00C04619"/>
    <w:rsid w:val="00C05A4F"/>
    <w:rsid w:val="00C05E5B"/>
    <w:rsid w:val="00C061E3"/>
    <w:rsid w:val="00C119C2"/>
    <w:rsid w:val="00C122D5"/>
    <w:rsid w:val="00C12B1C"/>
    <w:rsid w:val="00C14967"/>
    <w:rsid w:val="00C1627A"/>
    <w:rsid w:val="00C22F4C"/>
    <w:rsid w:val="00C23789"/>
    <w:rsid w:val="00C23DBC"/>
    <w:rsid w:val="00C26866"/>
    <w:rsid w:val="00C26E47"/>
    <w:rsid w:val="00C2750C"/>
    <w:rsid w:val="00C30253"/>
    <w:rsid w:val="00C304C9"/>
    <w:rsid w:val="00C3083F"/>
    <w:rsid w:val="00C33404"/>
    <w:rsid w:val="00C33777"/>
    <w:rsid w:val="00C34A8C"/>
    <w:rsid w:val="00C41927"/>
    <w:rsid w:val="00C42CE4"/>
    <w:rsid w:val="00C43BDE"/>
    <w:rsid w:val="00C446BD"/>
    <w:rsid w:val="00C502B8"/>
    <w:rsid w:val="00C53EDB"/>
    <w:rsid w:val="00C62334"/>
    <w:rsid w:val="00C6311E"/>
    <w:rsid w:val="00C652AA"/>
    <w:rsid w:val="00C676E5"/>
    <w:rsid w:val="00C7079D"/>
    <w:rsid w:val="00C71638"/>
    <w:rsid w:val="00C71A96"/>
    <w:rsid w:val="00C7374A"/>
    <w:rsid w:val="00C81D29"/>
    <w:rsid w:val="00C86566"/>
    <w:rsid w:val="00C90DDF"/>
    <w:rsid w:val="00C917EB"/>
    <w:rsid w:val="00C926AD"/>
    <w:rsid w:val="00C92CFB"/>
    <w:rsid w:val="00C93193"/>
    <w:rsid w:val="00C97FF4"/>
    <w:rsid w:val="00CA0643"/>
    <w:rsid w:val="00CA0ADF"/>
    <w:rsid w:val="00CA3A14"/>
    <w:rsid w:val="00CA5938"/>
    <w:rsid w:val="00CA5EBF"/>
    <w:rsid w:val="00CA6C07"/>
    <w:rsid w:val="00CB027B"/>
    <w:rsid w:val="00CB04F8"/>
    <w:rsid w:val="00CB642F"/>
    <w:rsid w:val="00CB7F0D"/>
    <w:rsid w:val="00CC1DF7"/>
    <w:rsid w:val="00CC28C6"/>
    <w:rsid w:val="00CC4808"/>
    <w:rsid w:val="00CC4C0C"/>
    <w:rsid w:val="00CD1B6F"/>
    <w:rsid w:val="00CD30AA"/>
    <w:rsid w:val="00CD3D90"/>
    <w:rsid w:val="00CD3F5B"/>
    <w:rsid w:val="00CD4A55"/>
    <w:rsid w:val="00CD56F8"/>
    <w:rsid w:val="00CD5923"/>
    <w:rsid w:val="00CD67E1"/>
    <w:rsid w:val="00CE0D2C"/>
    <w:rsid w:val="00CE0EFD"/>
    <w:rsid w:val="00CE1B8A"/>
    <w:rsid w:val="00CE4936"/>
    <w:rsid w:val="00CE5A65"/>
    <w:rsid w:val="00CE5BE1"/>
    <w:rsid w:val="00CE77AE"/>
    <w:rsid w:val="00CF0867"/>
    <w:rsid w:val="00CF17E9"/>
    <w:rsid w:val="00CF2D63"/>
    <w:rsid w:val="00CF32F4"/>
    <w:rsid w:val="00CF34A0"/>
    <w:rsid w:val="00CF3600"/>
    <w:rsid w:val="00CF5206"/>
    <w:rsid w:val="00CF65B7"/>
    <w:rsid w:val="00CF70FA"/>
    <w:rsid w:val="00D003B0"/>
    <w:rsid w:val="00D03610"/>
    <w:rsid w:val="00D06F27"/>
    <w:rsid w:val="00D07271"/>
    <w:rsid w:val="00D104D6"/>
    <w:rsid w:val="00D14EC0"/>
    <w:rsid w:val="00D15807"/>
    <w:rsid w:val="00D17563"/>
    <w:rsid w:val="00D2234D"/>
    <w:rsid w:val="00D24520"/>
    <w:rsid w:val="00D262EA"/>
    <w:rsid w:val="00D31595"/>
    <w:rsid w:val="00D31DFE"/>
    <w:rsid w:val="00D34A5C"/>
    <w:rsid w:val="00D378A3"/>
    <w:rsid w:val="00D404A8"/>
    <w:rsid w:val="00D40AAD"/>
    <w:rsid w:val="00D40DEC"/>
    <w:rsid w:val="00D4403D"/>
    <w:rsid w:val="00D4482D"/>
    <w:rsid w:val="00D4526A"/>
    <w:rsid w:val="00D454E8"/>
    <w:rsid w:val="00D47ACC"/>
    <w:rsid w:val="00D51066"/>
    <w:rsid w:val="00D51FE7"/>
    <w:rsid w:val="00D52F32"/>
    <w:rsid w:val="00D53831"/>
    <w:rsid w:val="00D55E90"/>
    <w:rsid w:val="00D55FAC"/>
    <w:rsid w:val="00D60807"/>
    <w:rsid w:val="00D61332"/>
    <w:rsid w:val="00D62292"/>
    <w:rsid w:val="00D64D1F"/>
    <w:rsid w:val="00D66519"/>
    <w:rsid w:val="00D7160E"/>
    <w:rsid w:val="00D72CE4"/>
    <w:rsid w:val="00D73280"/>
    <w:rsid w:val="00D735FF"/>
    <w:rsid w:val="00D73A3C"/>
    <w:rsid w:val="00D74FF1"/>
    <w:rsid w:val="00D80545"/>
    <w:rsid w:val="00D82E72"/>
    <w:rsid w:val="00D903A6"/>
    <w:rsid w:val="00D9098B"/>
    <w:rsid w:val="00D91BC7"/>
    <w:rsid w:val="00D9288B"/>
    <w:rsid w:val="00D938F7"/>
    <w:rsid w:val="00D93A62"/>
    <w:rsid w:val="00D953AA"/>
    <w:rsid w:val="00D961B4"/>
    <w:rsid w:val="00DA0765"/>
    <w:rsid w:val="00DA1C78"/>
    <w:rsid w:val="00DA3060"/>
    <w:rsid w:val="00DA4390"/>
    <w:rsid w:val="00DA62A2"/>
    <w:rsid w:val="00DA6F20"/>
    <w:rsid w:val="00DB17ED"/>
    <w:rsid w:val="00DB33D5"/>
    <w:rsid w:val="00DB5B5B"/>
    <w:rsid w:val="00DC2D7A"/>
    <w:rsid w:val="00DD14E1"/>
    <w:rsid w:val="00DE0959"/>
    <w:rsid w:val="00DE1245"/>
    <w:rsid w:val="00DE3A75"/>
    <w:rsid w:val="00DF08B1"/>
    <w:rsid w:val="00DF0E82"/>
    <w:rsid w:val="00DF53D7"/>
    <w:rsid w:val="00DF54C2"/>
    <w:rsid w:val="00DF5787"/>
    <w:rsid w:val="00E019D5"/>
    <w:rsid w:val="00E02771"/>
    <w:rsid w:val="00E02DF9"/>
    <w:rsid w:val="00E03E14"/>
    <w:rsid w:val="00E06474"/>
    <w:rsid w:val="00E06511"/>
    <w:rsid w:val="00E10948"/>
    <w:rsid w:val="00E1193F"/>
    <w:rsid w:val="00E138B2"/>
    <w:rsid w:val="00E13A95"/>
    <w:rsid w:val="00E1446D"/>
    <w:rsid w:val="00E146ED"/>
    <w:rsid w:val="00E14F64"/>
    <w:rsid w:val="00E15FD6"/>
    <w:rsid w:val="00E1630A"/>
    <w:rsid w:val="00E16787"/>
    <w:rsid w:val="00E16AED"/>
    <w:rsid w:val="00E205B3"/>
    <w:rsid w:val="00E22DA3"/>
    <w:rsid w:val="00E23208"/>
    <w:rsid w:val="00E24A15"/>
    <w:rsid w:val="00E24F4E"/>
    <w:rsid w:val="00E275CC"/>
    <w:rsid w:val="00E2768A"/>
    <w:rsid w:val="00E3023E"/>
    <w:rsid w:val="00E338FA"/>
    <w:rsid w:val="00E33CB2"/>
    <w:rsid w:val="00E34B78"/>
    <w:rsid w:val="00E42723"/>
    <w:rsid w:val="00E46F71"/>
    <w:rsid w:val="00E47019"/>
    <w:rsid w:val="00E50A44"/>
    <w:rsid w:val="00E51E6B"/>
    <w:rsid w:val="00E51FE7"/>
    <w:rsid w:val="00E52C7E"/>
    <w:rsid w:val="00E53AD3"/>
    <w:rsid w:val="00E56A2C"/>
    <w:rsid w:val="00E56F98"/>
    <w:rsid w:val="00E62220"/>
    <w:rsid w:val="00E6281F"/>
    <w:rsid w:val="00E67F9B"/>
    <w:rsid w:val="00E710BE"/>
    <w:rsid w:val="00E7585E"/>
    <w:rsid w:val="00E760B6"/>
    <w:rsid w:val="00E7692F"/>
    <w:rsid w:val="00E8056B"/>
    <w:rsid w:val="00E80A1A"/>
    <w:rsid w:val="00E8228A"/>
    <w:rsid w:val="00E85C83"/>
    <w:rsid w:val="00E8626D"/>
    <w:rsid w:val="00E95091"/>
    <w:rsid w:val="00E96A18"/>
    <w:rsid w:val="00E96AA4"/>
    <w:rsid w:val="00EA1831"/>
    <w:rsid w:val="00EA2204"/>
    <w:rsid w:val="00EA2746"/>
    <w:rsid w:val="00EA3251"/>
    <w:rsid w:val="00EA76CC"/>
    <w:rsid w:val="00EB0C47"/>
    <w:rsid w:val="00EB0E80"/>
    <w:rsid w:val="00EB1FE0"/>
    <w:rsid w:val="00EB39FF"/>
    <w:rsid w:val="00EB52D8"/>
    <w:rsid w:val="00EC3571"/>
    <w:rsid w:val="00EC6498"/>
    <w:rsid w:val="00EC7FDA"/>
    <w:rsid w:val="00ED06E4"/>
    <w:rsid w:val="00ED0B80"/>
    <w:rsid w:val="00ED0D3C"/>
    <w:rsid w:val="00ED1DB0"/>
    <w:rsid w:val="00ED2995"/>
    <w:rsid w:val="00ED41E0"/>
    <w:rsid w:val="00ED4667"/>
    <w:rsid w:val="00ED582F"/>
    <w:rsid w:val="00ED6831"/>
    <w:rsid w:val="00EE07EE"/>
    <w:rsid w:val="00EE1242"/>
    <w:rsid w:val="00EE275D"/>
    <w:rsid w:val="00EE3F5C"/>
    <w:rsid w:val="00EE4129"/>
    <w:rsid w:val="00EE4228"/>
    <w:rsid w:val="00EE6684"/>
    <w:rsid w:val="00EF014A"/>
    <w:rsid w:val="00EF0EA3"/>
    <w:rsid w:val="00EF6EED"/>
    <w:rsid w:val="00F00BBD"/>
    <w:rsid w:val="00F00C11"/>
    <w:rsid w:val="00F019AA"/>
    <w:rsid w:val="00F042CA"/>
    <w:rsid w:val="00F050A9"/>
    <w:rsid w:val="00F0610C"/>
    <w:rsid w:val="00F06E9C"/>
    <w:rsid w:val="00F07114"/>
    <w:rsid w:val="00F105BF"/>
    <w:rsid w:val="00F12173"/>
    <w:rsid w:val="00F1550C"/>
    <w:rsid w:val="00F16C2D"/>
    <w:rsid w:val="00F17E6F"/>
    <w:rsid w:val="00F17EC7"/>
    <w:rsid w:val="00F20633"/>
    <w:rsid w:val="00F21CE8"/>
    <w:rsid w:val="00F23F7C"/>
    <w:rsid w:val="00F24101"/>
    <w:rsid w:val="00F24AA1"/>
    <w:rsid w:val="00F26132"/>
    <w:rsid w:val="00F26CFA"/>
    <w:rsid w:val="00F26D5F"/>
    <w:rsid w:val="00F31C8B"/>
    <w:rsid w:val="00F322F1"/>
    <w:rsid w:val="00F32BD9"/>
    <w:rsid w:val="00F33008"/>
    <w:rsid w:val="00F37828"/>
    <w:rsid w:val="00F448EA"/>
    <w:rsid w:val="00F475EC"/>
    <w:rsid w:val="00F506FD"/>
    <w:rsid w:val="00F51B8C"/>
    <w:rsid w:val="00F51D1F"/>
    <w:rsid w:val="00F51D63"/>
    <w:rsid w:val="00F52310"/>
    <w:rsid w:val="00F544FD"/>
    <w:rsid w:val="00F56935"/>
    <w:rsid w:val="00F637DB"/>
    <w:rsid w:val="00F662E2"/>
    <w:rsid w:val="00F66A3C"/>
    <w:rsid w:val="00F67C91"/>
    <w:rsid w:val="00F70859"/>
    <w:rsid w:val="00F729E0"/>
    <w:rsid w:val="00F748B9"/>
    <w:rsid w:val="00F74A6D"/>
    <w:rsid w:val="00F768EC"/>
    <w:rsid w:val="00F769BB"/>
    <w:rsid w:val="00F76AF2"/>
    <w:rsid w:val="00F80E00"/>
    <w:rsid w:val="00F839CF"/>
    <w:rsid w:val="00F83C66"/>
    <w:rsid w:val="00F83E5B"/>
    <w:rsid w:val="00F85530"/>
    <w:rsid w:val="00F91F03"/>
    <w:rsid w:val="00F9546E"/>
    <w:rsid w:val="00F971D6"/>
    <w:rsid w:val="00F97363"/>
    <w:rsid w:val="00F973F0"/>
    <w:rsid w:val="00FA1E1F"/>
    <w:rsid w:val="00FA26A5"/>
    <w:rsid w:val="00FA4249"/>
    <w:rsid w:val="00FA4F10"/>
    <w:rsid w:val="00FB2CC5"/>
    <w:rsid w:val="00FB3029"/>
    <w:rsid w:val="00FB3E18"/>
    <w:rsid w:val="00FB5163"/>
    <w:rsid w:val="00FC1688"/>
    <w:rsid w:val="00FC3859"/>
    <w:rsid w:val="00FC561A"/>
    <w:rsid w:val="00FC69C6"/>
    <w:rsid w:val="00FD1B33"/>
    <w:rsid w:val="00FD2E25"/>
    <w:rsid w:val="00FD4C85"/>
    <w:rsid w:val="00FD681D"/>
    <w:rsid w:val="00FE1834"/>
    <w:rsid w:val="00FE2695"/>
    <w:rsid w:val="00FF114D"/>
    <w:rsid w:val="00FF3F1D"/>
    <w:rsid w:val="00FF4F15"/>
    <w:rsid w:val="00FF5EBB"/>
    <w:rsid w:val="00FF6962"/>
    <w:rsid w:val="00FF6A2B"/>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27A"/>
    <w:rPr>
      <w:sz w:val="22"/>
      <w:szCs w:val="22"/>
      <w:lang w:eastAsia="en-US"/>
    </w:rPr>
  </w:style>
  <w:style w:type="paragraph" w:styleId="Heading1">
    <w:name w:val="heading 1"/>
    <w:aliases w:val="ATA Submission Heading 1"/>
    <w:basedOn w:val="Normal"/>
    <w:next w:val="Normal"/>
    <w:link w:val="Heading1Char"/>
    <w:uiPriority w:val="99"/>
    <w:qFormat/>
    <w:rsid w:val="003B74E4"/>
    <w:pPr>
      <w:numPr>
        <w:numId w:val="1"/>
      </w:numPr>
      <w:outlineLvl w:val="0"/>
    </w:pPr>
    <w:rPr>
      <w:rFonts w:ascii="Arial" w:hAnsi="Arial" w:cs="Arial"/>
      <w:b/>
      <w:color w:val="000064"/>
      <w:sz w:val="28"/>
      <w:szCs w:val="28"/>
    </w:rPr>
  </w:style>
  <w:style w:type="paragraph" w:styleId="Heading2">
    <w:name w:val="heading 2"/>
    <w:basedOn w:val="Normal"/>
    <w:next w:val="Normal"/>
    <w:link w:val="Heading2Char"/>
    <w:semiHidden/>
    <w:unhideWhenUsed/>
    <w:qFormat/>
    <w:locked/>
    <w:rsid w:val="006859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F53C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TA Submission Heading 1 Char"/>
    <w:basedOn w:val="DefaultParagraphFont"/>
    <w:link w:val="Heading1"/>
    <w:uiPriority w:val="99"/>
    <w:locked/>
    <w:rsid w:val="003B74E4"/>
    <w:rPr>
      <w:rFonts w:ascii="Arial" w:hAnsi="Arial" w:cs="Arial"/>
      <w:b/>
      <w:color w:val="000064"/>
      <w:sz w:val="28"/>
      <w:szCs w:val="28"/>
      <w:lang w:eastAsia="en-US"/>
    </w:rPr>
  </w:style>
  <w:style w:type="character" w:customStyle="1" w:styleId="Heading2Char">
    <w:name w:val="Heading 2 Char"/>
    <w:basedOn w:val="DefaultParagraphFont"/>
    <w:link w:val="Heading2"/>
    <w:semiHidden/>
    <w:rsid w:val="006859F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uiPriority w:val="99"/>
    <w:locked/>
    <w:rsid w:val="000F53C2"/>
    <w:rPr>
      <w:rFonts w:ascii="Cambria" w:hAnsi="Cambria" w:cs="Times New Roman"/>
      <w:b/>
      <w:bCs/>
      <w:sz w:val="26"/>
      <w:szCs w:val="26"/>
      <w:lang w:eastAsia="en-US"/>
    </w:rPr>
  </w:style>
  <w:style w:type="table" w:styleId="TableGrid">
    <w:name w:val="Table Grid"/>
    <w:basedOn w:val="TableNormal"/>
    <w:uiPriority w:val="59"/>
    <w:rsid w:val="00C162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4B6187"/>
    <w:rPr>
      <w:rFonts w:ascii="Arial" w:eastAsia="Times New Roman" w:hAnsi="Arial" w:cs="Arial"/>
      <w:b/>
      <w:bCs/>
      <w:szCs w:val="20"/>
    </w:rPr>
  </w:style>
  <w:style w:type="character" w:customStyle="1" w:styleId="BodyText2Char">
    <w:name w:val="Body Text 2 Char"/>
    <w:basedOn w:val="DefaultParagraphFont"/>
    <w:link w:val="BodyText2"/>
    <w:uiPriority w:val="99"/>
    <w:semiHidden/>
    <w:locked/>
    <w:rsid w:val="004B6187"/>
    <w:rPr>
      <w:rFonts w:ascii="Arial" w:hAnsi="Arial" w:cs="Arial"/>
      <w:b/>
      <w:bCs/>
      <w:sz w:val="20"/>
      <w:szCs w:val="20"/>
    </w:rPr>
  </w:style>
  <w:style w:type="paragraph" w:styleId="Header">
    <w:name w:val="header"/>
    <w:basedOn w:val="Normal"/>
    <w:link w:val="HeaderChar"/>
    <w:uiPriority w:val="99"/>
    <w:rsid w:val="000F3D9F"/>
    <w:pPr>
      <w:tabs>
        <w:tab w:val="center" w:pos="4513"/>
        <w:tab w:val="right" w:pos="9026"/>
      </w:tabs>
    </w:pPr>
  </w:style>
  <w:style w:type="character" w:customStyle="1" w:styleId="HeaderChar">
    <w:name w:val="Header Char"/>
    <w:basedOn w:val="DefaultParagraphFont"/>
    <w:link w:val="Header"/>
    <w:uiPriority w:val="99"/>
    <w:locked/>
    <w:rsid w:val="000F3D9F"/>
    <w:rPr>
      <w:rFonts w:cs="Times New Roman"/>
      <w:sz w:val="22"/>
      <w:szCs w:val="22"/>
      <w:lang w:eastAsia="en-US"/>
    </w:rPr>
  </w:style>
  <w:style w:type="paragraph" w:styleId="Footer">
    <w:name w:val="footer"/>
    <w:basedOn w:val="Normal"/>
    <w:link w:val="FooterChar"/>
    <w:uiPriority w:val="99"/>
    <w:rsid w:val="000F3D9F"/>
    <w:pPr>
      <w:tabs>
        <w:tab w:val="center" w:pos="4513"/>
        <w:tab w:val="right" w:pos="9026"/>
      </w:tabs>
    </w:pPr>
  </w:style>
  <w:style w:type="character" w:customStyle="1" w:styleId="FooterChar">
    <w:name w:val="Footer Char"/>
    <w:basedOn w:val="DefaultParagraphFont"/>
    <w:link w:val="Footer"/>
    <w:uiPriority w:val="99"/>
    <w:locked/>
    <w:rsid w:val="000F3D9F"/>
    <w:rPr>
      <w:rFonts w:cs="Times New Roman"/>
      <w:sz w:val="22"/>
      <w:szCs w:val="22"/>
      <w:lang w:eastAsia="en-US"/>
    </w:rPr>
  </w:style>
  <w:style w:type="paragraph" w:styleId="ListParagraph">
    <w:name w:val="List Paragraph"/>
    <w:basedOn w:val="Normal"/>
    <w:uiPriority w:val="34"/>
    <w:qFormat/>
    <w:rsid w:val="000F53C2"/>
    <w:pPr>
      <w:spacing w:after="200" w:line="276" w:lineRule="auto"/>
      <w:ind w:left="720"/>
      <w:contextualSpacing/>
    </w:pPr>
  </w:style>
  <w:style w:type="paragraph" w:styleId="FootnoteText">
    <w:name w:val="footnote text"/>
    <w:basedOn w:val="Normal"/>
    <w:link w:val="FootnoteTextChar"/>
    <w:uiPriority w:val="99"/>
    <w:semiHidden/>
    <w:rsid w:val="000F53C2"/>
    <w:rPr>
      <w:sz w:val="20"/>
      <w:szCs w:val="20"/>
    </w:rPr>
  </w:style>
  <w:style w:type="character" w:customStyle="1" w:styleId="FootnoteTextChar">
    <w:name w:val="Footnote Text Char"/>
    <w:basedOn w:val="DefaultParagraphFont"/>
    <w:link w:val="FootnoteText"/>
    <w:uiPriority w:val="99"/>
    <w:semiHidden/>
    <w:locked/>
    <w:rsid w:val="000F53C2"/>
    <w:rPr>
      <w:rFonts w:cs="Times New Roman"/>
      <w:lang w:eastAsia="en-US"/>
    </w:rPr>
  </w:style>
  <w:style w:type="character" w:styleId="FootnoteReference">
    <w:name w:val="footnote reference"/>
    <w:basedOn w:val="DefaultParagraphFont"/>
    <w:uiPriority w:val="99"/>
    <w:semiHidden/>
    <w:rsid w:val="000F53C2"/>
    <w:rPr>
      <w:rFonts w:cs="Times New Roman"/>
      <w:vertAlign w:val="superscript"/>
    </w:rPr>
  </w:style>
  <w:style w:type="paragraph" w:customStyle="1" w:styleId="Default">
    <w:name w:val="Default"/>
    <w:link w:val="DefaultChar"/>
    <w:rsid w:val="000F53C2"/>
    <w:pPr>
      <w:autoSpaceDE w:val="0"/>
      <w:autoSpaceDN w:val="0"/>
      <w:adjustRightInd w:val="0"/>
    </w:pPr>
    <w:rPr>
      <w:rFonts w:ascii="Times New Roman" w:hAnsi="Times New Roman"/>
      <w:color w:val="000000"/>
      <w:sz w:val="24"/>
      <w:szCs w:val="24"/>
    </w:rPr>
  </w:style>
  <w:style w:type="character" w:customStyle="1" w:styleId="DefaultChar">
    <w:name w:val="Default Char"/>
    <w:basedOn w:val="DefaultParagraphFont"/>
    <w:link w:val="Default"/>
    <w:uiPriority w:val="99"/>
    <w:locked/>
    <w:rsid w:val="000F53C2"/>
    <w:rPr>
      <w:rFonts w:ascii="Times New Roman" w:hAnsi="Times New Roman"/>
      <w:color w:val="000000"/>
      <w:sz w:val="24"/>
      <w:szCs w:val="24"/>
      <w:lang w:val="en-AU" w:eastAsia="en-AU" w:bidi="ar-SA"/>
    </w:rPr>
  </w:style>
  <w:style w:type="paragraph" w:customStyle="1" w:styleId="ATAHeading2">
    <w:name w:val="ATA Heading 2"/>
    <w:basedOn w:val="Normal"/>
    <w:link w:val="ATAHeading2Char"/>
    <w:uiPriority w:val="99"/>
    <w:rsid w:val="00B13B6B"/>
    <w:pPr>
      <w:numPr>
        <w:ilvl w:val="1"/>
        <w:numId w:val="1"/>
      </w:numPr>
      <w:spacing w:before="120" w:after="120" w:line="276" w:lineRule="auto"/>
    </w:pPr>
    <w:rPr>
      <w:rFonts w:ascii="Arial" w:hAnsi="Arial" w:cs="Arial"/>
      <w:b/>
      <w:color w:val="000064"/>
      <w:sz w:val="26"/>
      <w:szCs w:val="26"/>
    </w:rPr>
  </w:style>
  <w:style w:type="character" w:customStyle="1" w:styleId="ATAHeading2Char">
    <w:name w:val="ATA Heading 2 Char"/>
    <w:basedOn w:val="DefaultParagraphFont"/>
    <w:link w:val="ATAHeading2"/>
    <w:uiPriority w:val="99"/>
    <w:locked/>
    <w:rsid w:val="00B13B6B"/>
    <w:rPr>
      <w:rFonts w:ascii="Arial" w:hAnsi="Arial" w:cs="Arial"/>
      <w:b/>
      <w:color w:val="000064"/>
      <w:sz w:val="26"/>
      <w:szCs w:val="26"/>
      <w:lang w:eastAsia="en-US"/>
    </w:rPr>
  </w:style>
  <w:style w:type="paragraph" w:customStyle="1" w:styleId="ATAHeading3">
    <w:name w:val="ATA Heading 3"/>
    <w:basedOn w:val="ATAHeading2"/>
    <w:link w:val="ATAHeading3Char"/>
    <w:uiPriority w:val="99"/>
    <w:rsid w:val="00D40AAD"/>
    <w:pPr>
      <w:numPr>
        <w:ilvl w:val="2"/>
      </w:numPr>
      <w:tabs>
        <w:tab w:val="left" w:pos="992"/>
      </w:tabs>
    </w:pPr>
    <w:rPr>
      <w:i/>
      <w:color w:val="0D0D0D" w:themeColor="text1" w:themeTint="F2"/>
      <w:sz w:val="22"/>
      <w:szCs w:val="22"/>
    </w:rPr>
  </w:style>
  <w:style w:type="character" w:customStyle="1" w:styleId="ATAHeading3Char">
    <w:name w:val="ATA Heading 3 Char"/>
    <w:basedOn w:val="DefaultParagraphFont"/>
    <w:link w:val="ATAHeading3"/>
    <w:uiPriority w:val="99"/>
    <w:locked/>
    <w:rsid w:val="00D40AAD"/>
    <w:rPr>
      <w:rFonts w:ascii="Arial" w:hAnsi="Arial" w:cs="Arial"/>
      <w:b/>
      <w:i/>
      <w:color w:val="0D0D0D" w:themeColor="text1" w:themeTint="F2"/>
      <w:sz w:val="22"/>
      <w:szCs w:val="22"/>
      <w:lang w:eastAsia="en-US"/>
    </w:rPr>
  </w:style>
  <w:style w:type="paragraph" w:customStyle="1" w:styleId="Quotes">
    <w:name w:val="Quotes"/>
    <w:basedOn w:val="Default"/>
    <w:link w:val="QuotesChar"/>
    <w:uiPriority w:val="99"/>
    <w:rsid w:val="000F53C2"/>
    <w:pPr>
      <w:ind w:left="851"/>
    </w:pPr>
    <w:rPr>
      <w:sz w:val="22"/>
      <w:szCs w:val="22"/>
    </w:rPr>
  </w:style>
  <w:style w:type="character" w:customStyle="1" w:styleId="QuotesChar">
    <w:name w:val="Quotes Char"/>
    <w:basedOn w:val="DefaultChar"/>
    <w:link w:val="Quotes"/>
    <w:uiPriority w:val="99"/>
    <w:locked/>
    <w:rsid w:val="000F53C2"/>
    <w:rPr>
      <w:rFonts w:ascii="Times New Roman" w:hAnsi="Times New Roman"/>
      <w:color w:val="000000"/>
      <w:sz w:val="22"/>
      <w:szCs w:val="22"/>
      <w:lang w:val="en-AU" w:eastAsia="en-AU" w:bidi="ar-SA"/>
    </w:rPr>
  </w:style>
  <w:style w:type="paragraph" w:customStyle="1" w:styleId="ATARecommendationHeading">
    <w:name w:val="ATA Recommendation Heading"/>
    <w:basedOn w:val="Normal"/>
    <w:link w:val="ATARecommendationHeadingChar"/>
    <w:uiPriority w:val="99"/>
    <w:rsid w:val="00740005"/>
    <w:rPr>
      <w:rFonts w:ascii="Arial" w:hAnsi="Arial" w:cs="Arial"/>
      <w:i/>
    </w:rPr>
  </w:style>
  <w:style w:type="character" w:customStyle="1" w:styleId="ATARecommendationHeadingChar">
    <w:name w:val="ATA Recommendation Heading Char"/>
    <w:basedOn w:val="DefaultParagraphFont"/>
    <w:link w:val="ATARecommendationHeading"/>
    <w:uiPriority w:val="99"/>
    <w:rsid w:val="006859F7"/>
    <w:rPr>
      <w:rFonts w:ascii="Arial" w:hAnsi="Arial" w:cs="Arial"/>
      <w:i/>
      <w:sz w:val="22"/>
      <w:szCs w:val="22"/>
      <w:lang w:eastAsia="en-US"/>
    </w:rPr>
  </w:style>
  <w:style w:type="paragraph" w:styleId="BalloonText">
    <w:name w:val="Balloon Text"/>
    <w:basedOn w:val="Normal"/>
    <w:link w:val="BalloonTextChar"/>
    <w:uiPriority w:val="99"/>
    <w:semiHidden/>
    <w:rsid w:val="007400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0005"/>
    <w:rPr>
      <w:rFonts w:ascii="Tahoma" w:hAnsi="Tahoma" w:cs="Tahoma"/>
      <w:sz w:val="16"/>
      <w:szCs w:val="16"/>
      <w:lang w:eastAsia="en-US"/>
    </w:rPr>
  </w:style>
  <w:style w:type="character" w:styleId="Strong">
    <w:name w:val="Strong"/>
    <w:basedOn w:val="DefaultParagraphFont"/>
    <w:uiPriority w:val="22"/>
    <w:qFormat/>
    <w:locked/>
    <w:rsid w:val="00960FE0"/>
    <w:rPr>
      <w:b/>
      <w:bCs/>
    </w:rPr>
  </w:style>
  <w:style w:type="paragraph" w:styleId="EndnoteText">
    <w:name w:val="endnote text"/>
    <w:basedOn w:val="Normal"/>
    <w:link w:val="EndnoteTextChar"/>
    <w:uiPriority w:val="99"/>
    <w:semiHidden/>
    <w:unhideWhenUsed/>
    <w:rsid w:val="00EE4129"/>
    <w:rPr>
      <w:sz w:val="20"/>
      <w:szCs w:val="20"/>
    </w:rPr>
  </w:style>
  <w:style w:type="character" w:customStyle="1" w:styleId="EndnoteTextChar">
    <w:name w:val="Endnote Text Char"/>
    <w:basedOn w:val="DefaultParagraphFont"/>
    <w:link w:val="EndnoteText"/>
    <w:uiPriority w:val="99"/>
    <w:semiHidden/>
    <w:rsid w:val="00EE4129"/>
    <w:rPr>
      <w:lang w:eastAsia="en-US"/>
    </w:rPr>
  </w:style>
  <w:style w:type="character" w:styleId="EndnoteReference">
    <w:name w:val="endnote reference"/>
    <w:basedOn w:val="DefaultParagraphFont"/>
    <w:uiPriority w:val="99"/>
    <w:semiHidden/>
    <w:unhideWhenUsed/>
    <w:rsid w:val="00EE4129"/>
    <w:rPr>
      <w:vertAlign w:val="superscript"/>
    </w:rPr>
  </w:style>
  <w:style w:type="paragraph" w:styleId="TOC1">
    <w:name w:val="toc 1"/>
    <w:basedOn w:val="Normal"/>
    <w:next w:val="Normal"/>
    <w:autoRedefine/>
    <w:uiPriority w:val="39"/>
    <w:locked/>
    <w:rsid w:val="00CF0867"/>
    <w:pPr>
      <w:tabs>
        <w:tab w:val="left" w:pos="442"/>
        <w:tab w:val="right" w:leader="dot" w:pos="9628"/>
      </w:tabs>
      <w:spacing w:before="360" w:after="100"/>
    </w:pPr>
    <w:rPr>
      <w:rFonts w:ascii="Arial" w:hAnsi="Arial"/>
      <w:b/>
      <w:noProof/>
      <w:color w:val="000000" w:themeColor="text1"/>
      <w:sz w:val="20"/>
      <w:szCs w:val="20"/>
    </w:rPr>
  </w:style>
  <w:style w:type="paragraph" w:styleId="TOC2">
    <w:name w:val="toc 2"/>
    <w:basedOn w:val="Normal"/>
    <w:next w:val="Normal"/>
    <w:autoRedefine/>
    <w:uiPriority w:val="39"/>
    <w:locked/>
    <w:rsid w:val="00C86566"/>
    <w:pPr>
      <w:tabs>
        <w:tab w:val="left" w:pos="880"/>
        <w:tab w:val="right" w:leader="dot" w:pos="9628"/>
      </w:tabs>
      <w:spacing w:after="120"/>
      <w:ind w:left="851" w:hanging="630"/>
    </w:pPr>
    <w:rPr>
      <w:rFonts w:ascii="Arial" w:hAnsi="Arial"/>
      <w:sz w:val="20"/>
    </w:rPr>
  </w:style>
  <w:style w:type="paragraph" w:customStyle="1" w:styleId="RecommendationStyle">
    <w:name w:val="Recommendation Style"/>
    <w:basedOn w:val="ATARecommendationHeading"/>
    <w:link w:val="RecommendationStyleChar"/>
    <w:qFormat/>
    <w:rsid w:val="00907971"/>
    <w:pPr>
      <w:numPr>
        <w:numId w:val="2"/>
      </w:numPr>
      <w:tabs>
        <w:tab w:val="left" w:pos="2098"/>
      </w:tabs>
      <w:spacing w:before="240" w:after="120"/>
    </w:pPr>
    <w:rPr>
      <w:b/>
      <w:sz w:val="20"/>
      <w:szCs w:val="20"/>
    </w:rPr>
  </w:style>
  <w:style w:type="character" w:customStyle="1" w:styleId="RecommendationStyleChar">
    <w:name w:val="Recommendation Style Char"/>
    <w:basedOn w:val="ATARecommendationHeadingChar"/>
    <w:link w:val="RecommendationStyle"/>
    <w:rsid w:val="00907971"/>
    <w:rPr>
      <w:rFonts w:ascii="Arial" w:hAnsi="Arial" w:cs="Arial"/>
      <w:b/>
      <w:i/>
      <w:sz w:val="22"/>
      <w:szCs w:val="22"/>
      <w:lang w:eastAsia="en-US"/>
    </w:rPr>
  </w:style>
  <w:style w:type="paragraph" w:customStyle="1" w:styleId="RecommendationStyle2">
    <w:name w:val="Recommendation Style 2"/>
    <w:basedOn w:val="Normal"/>
    <w:link w:val="RecommendationStyle2Char"/>
    <w:qFormat/>
    <w:rsid w:val="006859F7"/>
    <w:pPr>
      <w:jc w:val="both"/>
    </w:pPr>
    <w:rPr>
      <w:rFonts w:ascii="Arial" w:hAnsi="Arial" w:cs="Arial"/>
      <w:b/>
      <w:sz w:val="20"/>
      <w:szCs w:val="20"/>
    </w:rPr>
  </w:style>
  <w:style w:type="character" w:customStyle="1" w:styleId="RecommendationStyle2Char">
    <w:name w:val="Recommendation Style 2 Char"/>
    <w:basedOn w:val="DefaultParagraphFont"/>
    <w:link w:val="RecommendationStyle2"/>
    <w:rsid w:val="006859F7"/>
    <w:rPr>
      <w:rFonts w:ascii="Arial" w:hAnsi="Arial" w:cs="Arial"/>
      <w:b/>
      <w:lang w:eastAsia="en-US"/>
    </w:rPr>
  </w:style>
  <w:style w:type="character" w:styleId="Hyperlink">
    <w:name w:val="Hyperlink"/>
    <w:basedOn w:val="DefaultParagraphFont"/>
    <w:uiPriority w:val="99"/>
    <w:unhideWhenUsed/>
    <w:rsid w:val="009E77F2"/>
    <w:rPr>
      <w:color w:val="0000FF" w:themeColor="hyperlink"/>
      <w:u w:val="single"/>
    </w:rPr>
  </w:style>
  <w:style w:type="paragraph" w:customStyle="1" w:styleId="RecommendationStyle3">
    <w:name w:val="Recommendation Style 3"/>
    <w:basedOn w:val="RecommendationStyle2"/>
    <w:link w:val="RecommendationStyle3Char"/>
    <w:qFormat/>
    <w:rsid w:val="00907971"/>
    <w:rPr>
      <w:color w:val="FFFFFF" w:themeColor="background1"/>
    </w:rPr>
  </w:style>
  <w:style w:type="paragraph" w:styleId="TOC3">
    <w:name w:val="toc 3"/>
    <w:basedOn w:val="Normal"/>
    <w:next w:val="Normal"/>
    <w:autoRedefine/>
    <w:uiPriority w:val="39"/>
    <w:locked/>
    <w:rsid w:val="00907971"/>
    <w:pPr>
      <w:tabs>
        <w:tab w:val="right" w:leader="dot" w:pos="9628"/>
      </w:tabs>
      <w:ind w:left="442"/>
    </w:pPr>
    <w:rPr>
      <w:noProof/>
      <w:color w:val="FFFFFF" w:themeColor="background1"/>
    </w:rPr>
  </w:style>
  <w:style w:type="character" w:customStyle="1" w:styleId="RecommendationStyle3Char">
    <w:name w:val="Recommendation Style 3 Char"/>
    <w:basedOn w:val="RecommendationStyle2Char"/>
    <w:link w:val="RecommendationStyle3"/>
    <w:rsid w:val="00907971"/>
    <w:rPr>
      <w:rFonts w:ascii="Arial" w:hAnsi="Arial" w:cs="Arial"/>
      <w:b/>
      <w:color w:val="FFFFFF" w:themeColor="background1"/>
      <w:lang w:eastAsia="en-US"/>
    </w:rPr>
  </w:style>
  <w:style w:type="paragraph" w:customStyle="1" w:styleId="ATASubHead1">
    <w:name w:val="ATASubHead1"/>
    <w:basedOn w:val="Normal"/>
    <w:link w:val="ATASubHead1Char"/>
    <w:qFormat/>
    <w:rsid w:val="004008C7"/>
    <w:pPr>
      <w:tabs>
        <w:tab w:val="left" w:pos="851"/>
      </w:tabs>
      <w:spacing w:before="240" w:after="120"/>
    </w:pPr>
    <w:rPr>
      <w:rFonts w:ascii="Arial" w:hAnsi="Arial" w:cs="Arial"/>
      <w:b/>
      <w:color w:val="000064"/>
      <w:sz w:val="28"/>
      <w:szCs w:val="28"/>
    </w:rPr>
  </w:style>
  <w:style w:type="character" w:customStyle="1" w:styleId="ATASubHead1Char">
    <w:name w:val="ATASubHead1 Char"/>
    <w:link w:val="ATASubHead1"/>
    <w:rsid w:val="004008C7"/>
    <w:rPr>
      <w:rFonts w:ascii="Arial" w:hAnsi="Arial" w:cs="Arial"/>
      <w:b/>
      <w:color w:val="000064"/>
      <w:sz w:val="28"/>
      <w:szCs w:val="28"/>
      <w:lang w:eastAsia="en-US"/>
    </w:rPr>
  </w:style>
  <w:style w:type="table" w:customStyle="1" w:styleId="LightList-Accent11">
    <w:name w:val="Light List - Accent 11"/>
    <w:basedOn w:val="TableNormal"/>
    <w:uiPriority w:val="61"/>
    <w:rsid w:val="004008C7"/>
    <w:rPr>
      <w:rFonts w:asciiTheme="minorHAnsi" w:eastAsiaTheme="minorEastAsia"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61">
    <w:name w:val="style61"/>
    <w:basedOn w:val="DefaultParagraphFont"/>
    <w:rsid w:val="0004192B"/>
    <w:rPr>
      <w:i/>
      <w:iCs/>
      <w:color w:val="333333"/>
    </w:rPr>
  </w:style>
  <w:style w:type="character" w:styleId="CommentReference">
    <w:name w:val="annotation reference"/>
    <w:basedOn w:val="DefaultParagraphFont"/>
    <w:uiPriority w:val="99"/>
    <w:semiHidden/>
    <w:unhideWhenUsed/>
    <w:rsid w:val="000E408F"/>
    <w:rPr>
      <w:sz w:val="16"/>
      <w:szCs w:val="16"/>
    </w:rPr>
  </w:style>
  <w:style w:type="paragraph" w:styleId="CommentText">
    <w:name w:val="annotation text"/>
    <w:basedOn w:val="Normal"/>
    <w:link w:val="CommentTextChar"/>
    <w:uiPriority w:val="99"/>
    <w:semiHidden/>
    <w:unhideWhenUsed/>
    <w:rsid w:val="000E408F"/>
    <w:rPr>
      <w:sz w:val="20"/>
      <w:szCs w:val="20"/>
    </w:rPr>
  </w:style>
  <w:style w:type="character" w:customStyle="1" w:styleId="CommentTextChar">
    <w:name w:val="Comment Text Char"/>
    <w:basedOn w:val="DefaultParagraphFont"/>
    <w:link w:val="CommentText"/>
    <w:uiPriority w:val="99"/>
    <w:semiHidden/>
    <w:rsid w:val="000E408F"/>
    <w:rPr>
      <w:lang w:eastAsia="en-US"/>
    </w:rPr>
  </w:style>
  <w:style w:type="paragraph" w:styleId="CommentSubject">
    <w:name w:val="annotation subject"/>
    <w:basedOn w:val="CommentText"/>
    <w:next w:val="CommentText"/>
    <w:link w:val="CommentSubjectChar"/>
    <w:uiPriority w:val="99"/>
    <w:semiHidden/>
    <w:unhideWhenUsed/>
    <w:rsid w:val="000E408F"/>
    <w:rPr>
      <w:b/>
      <w:bCs/>
    </w:rPr>
  </w:style>
  <w:style w:type="character" w:customStyle="1" w:styleId="CommentSubjectChar">
    <w:name w:val="Comment Subject Char"/>
    <w:basedOn w:val="CommentTextChar"/>
    <w:link w:val="CommentSubject"/>
    <w:uiPriority w:val="99"/>
    <w:semiHidden/>
    <w:rsid w:val="000E408F"/>
    <w:rPr>
      <w:b/>
      <w:bCs/>
      <w:lang w:eastAsia="en-US"/>
    </w:rPr>
  </w:style>
  <w:style w:type="paragraph" w:styleId="Quote">
    <w:name w:val="Quote"/>
    <w:basedOn w:val="Normal"/>
    <w:next w:val="Normal"/>
    <w:link w:val="QuoteChar"/>
    <w:uiPriority w:val="29"/>
    <w:qFormat/>
    <w:rsid w:val="00A45F83"/>
    <w:pPr>
      <w:ind w:left="567" w:right="1230"/>
    </w:pPr>
    <w:rPr>
      <w:rFonts w:asciiTheme="minorHAnsi" w:eastAsiaTheme="minorHAnsi" w:hAnsiTheme="minorHAnsi" w:cstheme="minorBidi"/>
      <w:iCs/>
      <w:color w:val="000000" w:themeColor="text1"/>
      <w:sz w:val="21"/>
      <w:szCs w:val="21"/>
    </w:rPr>
  </w:style>
  <w:style w:type="character" w:customStyle="1" w:styleId="QuoteChar">
    <w:name w:val="Quote Char"/>
    <w:basedOn w:val="DefaultParagraphFont"/>
    <w:link w:val="Quote"/>
    <w:uiPriority w:val="29"/>
    <w:rsid w:val="00A45F83"/>
    <w:rPr>
      <w:rFonts w:asciiTheme="minorHAnsi" w:eastAsiaTheme="minorHAnsi" w:hAnsiTheme="minorHAnsi" w:cstheme="minorBidi"/>
      <w:iCs/>
      <w:color w:val="000000" w:themeColor="text1"/>
      <w:sz w:val="21"/>
      <w:szCs w:val="21"/>
      <w:lang w:eastAsia="en-US"/>
    </w:rPr>
  </w:style>
  <w:style w:type="character" w:customStyle="1" w:styleId="st">
    <w:name w:val="st"/>
    <w:basedOn w:val="DefaultParagraphFont"/>
    <w:rsid w:val="000A3F4E"/>
  </w:style>
  <w:style w:type="character" w:styleId="FollowedHyperlink">
    <w:name w:val="FollowedHyperlink"/>
    <w:basedOn w:val="DefaultParagraphFont"/>
    <w:uiPriority w:val="99"/>
    <w:semiHidden/>
    <w:unhideWhenUsed/>
    <w:rsid w:val="0062389F"/>
    <w:rPr>
      <w:color w:val="800080" w:themeColor="followedHyperlink"/>
      <w:u w:val="single"/>
    </w:rPr>
  </w:style>
  <w:style w:type="character" w:customStyle="1" w:styleId="subsectionChar">
    <w:name w:val="subsection Char"/>
    <w:aliases w:val="ss Char"/>
    <w:basedOn w:val="DefaultParagraphFont"/>
    <w:link w:val="subsection"/>
    <w:locked/>
    <w:rsid w:val="000A7880"/>
    <w:rPr>
      <w:sz w:val="22"/>
    </w:rPr>
  </w:style>
  <w:style w:type="paragraph" w:customStyle="1" w:styleId="subsection">
    <w:name w:val="subsection"/>
    <w:aliases w:val="ss"/>
    <w:basedOn w:val="Normal"/>
    <w:link w:val="subsectionChar"/>
    <w:rsid w:val="000A7880"/>
    <w:pPr>
      <w:tabs>
        <w:tab w:val="right" w:pos="1021"/>
      </w:tabs>
      <w:spacing w:before="180"/>
      <w:ind w:left="1134" w:hanging="1134"/>
    </w:pPr>
    <w:rPr>
      <w:szCs w:val="20"/>
      <w:lang w:eastAsia="en-AU"/>
    </w:rPr>
  </w:style>
  <w:style w:type="paragraph" w:customStyle="1" w:styleId="Tablea">
    <w:name w:val="Table(a)"/>
    <w:aliases w:val="ta"/>
    <w:basedOn w:val="Normal"/>
    <w:rsid w:val="000A7880"/>
    <w:pPr>
      <w:spacing w:before="60"/>
      <w:ind w:left="284" w:hanging="284"/>
    </w:pPr>
    <w:rPr>
      <w:rFonts w:ascii="Times New Roman" w:eastAsia="Times New Roman" w:hAnsi="Times New Roman"/>
      <w:sz w:val="20"/>
      <w:szCs w:val="20"/>
      <w:lang w:eastAsia="en-AU"/>
    </w:rPr>
  </w:style>
  <w:style w:type="paragraph" w:customStyle="1" w:styleId="notetext">
    <w:name w:val="note(text)"/>
    <w:aliases w:val="n"/>
    <w:basedOn w:val="Normal"/>
    <w:rsid w:val="000A7880"/>
    <w:pPr>
      <w:spacing w:before="122"/>
      <w:ind w:left="1985" w:hanging="851"/>
    </w:pPr>
    <w:rPr>
      <w:rFonts w:ascii="Times New Roman" w:eastAsia="Times New Roman" w:hAnsi="Times New Roman"/>
      <w:sz w:val="18"/>
      <w:szCs w:val="20"/>
      <w:lang w:eastAsia="en-AU"/>
    </w:rPr>
  </w:style>
  <w:style w:type="paragraph" w:customStyle="1" w:styleId="Tabletext">
    <w:name w:val="Tabletext"/>
    <w:aliases w:val="tt"/>
    <w:basedOn w:val="Normal"/>
    <w:rsid w:val="000A7880"/>
    <w:pPr>
      <w:spacing w:before="60" w:line="240" w:lineRule="atLeast"/>
    </w:pPr>
    <w:rPr>
      <w:rFonts w:ascii="Times New Roman" w:eastAsia="Times New Roman" w:hAnsi="Times New Roman"/>
      <w:sz w:val="20"/>
      <w:szCs w:val="20"/>
      <w:lang w:eastAsia="en-AU"/>
    </w:rPr>
  </w:style>
  <w:style w:type="paragraph" w:customStyle="1" w:styleId="TableHeading">
    <w:name w:val="TableHeading"/>
    <w:aliases w:val="th"/>
    <w:basedOn w:val="Normal"/>
    <w:next w:val="Tabletext"/>
    <w:rsid w:val="000A7880"/>
    <w:pPr>
      <w:keepNext/>
      <w:spacing w:before="60" w:line="240" w:lineRule="atLeast"/>
    </w:pPr>
    <w:rPr>
      <w:rFonts w:ascii="Times New Roman" w:eastAsia="Times New Roman" w:hAnsi="Times New Roman"/>
      <w:b/>
      <w:sz w:val="20"/>
      <w:szCs w:val="20"/>
      <w:lang w:eastAsia="en-AU"/>
    </w:rPr>
  </w:style>
  <w:style w:type="paragraph" w:customStyle="1" w:styleId="SubsectionHead">
    <w:name w:val="SubsectionHead"/>
    <w:aliases w:val="ssh"/>
    <w:basedOn w:val="Normal"/>
    <w:next w:val="Normal"/>
    <w:rsid w:val="00EE6684"/>
    <w:pPr>
      <w:keepNext/>
      <w:keepLines/>
      <w:spacing w:before="240"/>
      <w:ind w:left="1134"/>
    </w:pPr>
    <w:rPr>
      <w:rFonts w:ascii="Times New Roman" w:eastAsia="Times New Roman" w:hAnsi="Times New Roman"/>
      <w:i/>
      <w:szCs w:val="20"/>
      <w:lang w:eastAsia="en-AU"/>
    </w:rPr>
  </w:style>
  <w:style w:type="character" w:customStyle="1" w:styleId="paragraphChar">
    <w:name w:val="paragraph Char"/>
    <w:aliases w:val="a Char"/>
    <w:basedOn w:val="DefaultParagraphFont"/>
    <w:link w:val="paragraph"/>
    <w:locked/>
    <w:rsid w:val="00EE6684"/>
    <w:rPr>
      <w:sz w:val="22"/>
    </w:rPr>
  </w:style>
  <w:style w:type="paragraph" w:customStyle="1" w:styleId="paragraph">
    <w:name w:val="paragraph"/>
    <w:aliases w:val="a"/>
    <w:basedOn w:val="Normal"/>
    <w:link w:val="paragraphChar"/>
    <w:rsid w:val="00EE6684"/>
    <w:pPr>
      <w:tabs>
        <w:tab w:val="right" w:pos="1531"/>
      </w:tabs>
      <w:spacing w:before="40"/>
      <w:ind w:left="1644" w:hanging="1644"/>
    </w:pPr>
    <w:rPr>
      <w:szCs w:val="20"/>
      <w:lang w:eastAsia="en-AU"/>
    </w:rPr>
  </w:style>
  <w:style w:type="paragraph" w:customStyle="1" w:styleId="ActHead5">
    <w:name w:val="ActHead 5"/>
    <w:aliases w:val="s"/>
    <w:basedOn w:val="Normal"/>
    <w:next w:val="Normal"/>
    <w:qFormat/>
    <w:rsid w:val="00136219"/>
    <w:pPr>
      <w:keepNext/>
      <w:keepLines/>
      <w:spacing w:before="280"/>
      <w:ind w:left="1134" w:hanging="1134"/>
      <w:outlineLvl w:val="4"/>
    </w:pPr>
    <w:rPr>
      <w:rFonts w:ascii="Times New Roman" w:eastAsia="Times New Roman" w:hAnsi="Times New Roman"/>
      <w:b/>
      <w:kern w:val="28"/>
      <w:sz w:val="24"/>
      <w:szCs w:val="20"/>
      <w:lang w:eastAsia="en-AU"/>
    </w:rPr>
  </w:style>
  <w:style w:type="character" w:customStyle="1" w:styleId="CharSectno">
    <w:name w:val="CharSectno"/>
    <w:basedOn w:val="DefaultParagraphFont"/>
    <w:qFormat/>
    <w:rsid w:val="00136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35435">
      <w:bodyDiv w:val="1"/>
      <w:marLeft w:val="0"/>
      <w:marRight w:val="0"/>
      <w:marTop w:val="0"/>
      <w:marBottom w:val="0"/>
      <w:divBdr>
        <w:top w:val="none" w:sz="0" w:space="0" w:color="auto"/>
        <w:left w:val="none" w:sz="0" w:space="0" w:color="auto"/>
        <w:bottom w:val="none" w:sz="0" w:space="0" w:color="auto"/>
        <w:right w:val="none" w:sz="0" w:space="0" w:color="auto"/>
      </w:divBdr>
    </w:div>
    <w:div w:id="188178067">
      <w:bodyDiv w:val="1"/>
      <w:marLeft w:val="0"/>
      <w:marRight w:val="0"/>
      <w:marTop w:val="0"/>
      <w:marBottom w:val="0"/>
      <w:divBdr>
        <w:top w:val="none" w:sz="0" w:space="0" w:color="auto"/>
        <w:left w:val="none" w:sz="0" w:space="0" w:color="auto"/>
        <w:bottom w:val="none" w:sz="0" w:space="0" w:color="auto"/>
        <w:right w:val="none" w:sz="0" w:space="0" w:color="auto"/>
      </w:divBdr>
    </w:div>
    <w:div w:id="251940546">
      <w:bodyDiv w:val="1"/>
      <w:marLeft w:val="0"/>
      <w:marRight w:val="0"/>
      <w:marTop w:val="0"/>
      <w:marBottom w:val="0"/>
      <w:divBdr>
        <w:top w:val="none" w:sz="0" w:space="0" w:color="auto"/>
        <w:left w:val="none" w:sz="0" w:space="0" w:color="auto"/>
        <w:bottom w:val="none" w:sz="0" w:space="0" w:color="auto"/>
        <w:right w:val="none" w:sz="0" w:space="0" w:color="auto"/>
      </w:divBdr>
    </w:div>
    <w:div w:id="255597494">
      <w:bodyDiv w:val="1"/>
      <w:marLeft w:val="0"/>
      <w:marRight w:val="0"/>
      <w:marTop w:val="0"/>
      <w:marBottom w:val="0"/>
      <w:divBdr>
        <w:top w:val="none" w:sz="0" w:space="0" w:color="auto"/>
        <w:left w:val="none" w:sz="0" w:space="0" w:color="auto"/>
        <w:bottom w:val="none" w:sz="0" w:space="0" w:color="auto"/>
        <w:right w:val="none" w:sz="0" w:space="0" w:color="auto"/>
      </w:divBdr>
    </w:div>
    <w:div w:id="349381134">
      <w:bodyDiv w:val="1"/>
      <w:marLeft w:val="0"/>
      <w:marRight w:val="0"/>
      <w:marTop w:val="0"/>
      <w:marBottom w:val="0"/>
      <w:divBdr>
        <w:top w:val="none" w:sz="0" w:space="0" w:color="auto"/>
        <w:left w:val="none" w:sz="0" w:space="0" w:color="auto"/>
        <w:bottom w:val="none" w:sz="0" w:space="0" w:color="auto"/>
        <w:right w:val="none" w:sz="0" w:space="0" w:color="auto"/>
      </w:divBdr>
    </w:div>
    <w:div w:id="412705156">
      <w:bodyDiv w:val="1"/>
      <w:marLeft w:val="0"/>
      <w:marRight w:val="0"/>
      <w:marTop w:val="0"/>
      <w:marBottom w:val="0"/>
      <w:divBdr>
        <w:top w:val="none" w:sz="0" w:space="0" w:color="auto"/>
        <w:left w:val="none" w:sz="0" w:space="0" w:color="auto"/>
        <w:bottom w:val="none" w:sz="0" w:space="0" w:color="auto"/>
        <w:right w:val="none" w:sz="0" w:space="0" w:color="auto"/>
      </w:divBdr>
    </w:div>
    <w:div w:id="430786656">
      <w:bodyDiv w:val="1"/>
      <w:marLeft w:val="0"/>
      <w:marRight w:val="0"/>
      <w:marTop w:val="0"/>
      <w:marBottom w:val="0"/>
      <w:divBdr>
        <w:top w:val="none" w:sz="0" w:space="0" w:color="auto"/>
        <w:left w:val="none" w:sz="0" w:space="0" w:color="auto"/>
        <w:bottom w:val="none" w:sz="0" w:space="0" w:color="auto"/>
        <w:right w:val="none" w:sz="0" w:space="0" w:color="auto"/>
      </w:divBdr>
    </w:div>
    <w:div w:id="479808035">
      <w:bodyDiv w:val="1"/>
      <w:marLeft w:val="0"/>
      <w:marRight w:val="0"/>
      <w:marTop w:val="0"/>
      <w:marBottom w:val="0"/>
      <w:divBdr>
        <w:top w:val="none" w:sz="0" w:space="0" w:color="auto"/>
        <w:left w:val="none" w:sz="0" w:space="0" w:color="auto"/>
        <w:bottom w:val="none" w:sz="0" w:space="0" w:color="auto"/>
        <w:right w:val="none" w:sz="0" w:space="0" w:color="auto"/>
      </w:divBdr>
    </w:div>
    <w:div w:id="565264019">
      <w:bodyDiv w:val="1"/>
      <w:marLeft w:val="0"/>
      <w:marRight w:val="0"/>
      <w:marTop w:val="0"/>
      <w:marBottom w:val="0"/>
      <w:divBdr>
        <w:top w:val="none" w:sz="0" w:space="0" w:color="auto"/>
        <w:left w:val="none" w:sz="0" w:space="0" w:color="auto"/>
        <w:bottom w:val="none" w:sz="0" w:space="0" w:color="auto"/>
        <w:right w:val="none" w:sz="0" w:space="0" w:color="auto"/>
      </w:divBdr>
    </w:div>
    <w:div w:id="568002639">
      <w:bodyDiv w:val="1"/>
      <w:marLeft w:val="0"/>
      <w:marRight w:val="0"/>
      <w:marTop w:val="0"/>
      <w:marBottom w:val="0"/>
      <w:divBdr>
        <w:top w:val="none" w:sz="0" w:space="0" w:color="auto"/>
        <w:left w:val="none" w:sz="0" w:space="0" w:color="auto"/>
        <w:bottom w:val="none" w:sz="0" w:space="0" w:color="auto"/>
        <w:right w:val="none" w:sz="0" w:space="0" w:color="auto"/>
      </w:divBdr>
    </w:div>
    <w:div w:id="819469156">
      <w:bodyDiv w:val="1"/>
      <w:marLeft w:val="0"/>
      <w:marRight w:val="0"/>
      <w:marTop w:val="0"/>
      <w:marBottom w:val="0"/>
      <w:divBdr>
        <w:top w:val="none" w:sz="0" w:space="0" w:color="auto"/>
        <w:left w:val="none" w:sz="0" w:space="0" w:color="auto"/>
        <w:bottom w:val="none" w:sz="0" w:space="0" w:color="auto"/>
        <w:right w:val="none" w:sz="0" w:space="0" w:color="auto"/>
      </w:divBdr>
    </w:div>
    <w:div w:id="844634793">
      <w:bodyDiv w:val="1"/>
      <w:marLeft w:val="0"/>
      <w:marRight w:val="0"/>
      <w:marTop w:val="0"/>
      <w:marBottom w:val="0"/>
      <w:divBdr>
        <w:top w:val="none" w:sz="0" w:space="0" w:color="auto"/>
        <w:left w:val="none" w:sz="0" w:space="0" w:color="auto"/>
        <w:bottom w:val="none" w:sz="0" w:space="0" w:color="auto"/>
        <w:right w:val="none" w:sz="0" w:space="0" w:color="auto"/>
      </w:divBdr>
    </w:div>
    <w:div w:id="895626239">
      <w:bodyDiv w:val="1"/>
      <w:marLeft w:val="0"/>
      <w:marRight w:val="0"/>
      <w:marTop w:val="0"/>
      <w:marBottom w:val="0"/>
      <w:divBdr>
        <w:top w:val="none" w:sz="0" w:space="0" w:color="auto"/>
        <w:left w:val="none" w:sz="0" w:space="0" w:color="auto"/>
        <w:bottom w:val="none" w:sz="0" w:space="0" w:color="auto"/>
        <w:right w:val="none" w:sz="0" w:space="0" w:color="auto"/>
      </w:divBdr>
    </w:div>
    <w:div w:id="986519132">
      <w:bodyDiv w:val="1"/>
      <w:marLeft w:val="0"/>
      <w:marRight w:val="0"/>
      <w:marTop w:val="0"/>
      <w:marBottom w:val="0"/>
      <w:divBdr>
        <w:top w:val="none" w:sz="0" w:space="0" w:color="auto"/>
        <w:left w:val="none" w:sz="0" w:space="0" w:color="auto"/>
        <w:bottom w:val="none" w:sz="0" w:space="0" w:color="auto"/>
        <w:right w:val="none" w:sz="0" w:space="0" w:color="auto"/>
      </w:divBdr>
    </w:div>
    <w:div w:id="1033768610">
      <w:bodyDiv w:val="1"/>
      <w:marLeft w:val="0"/>
      <w:marRight w:val="0"/>
      <w:marTop w:val="0"/>
      <w:marBottom w:val="0"/>
      <w:divBdr>
        <w:top w:val="none" w:sz="0" w:space="0" w:color="auto"/>
        <w:left w:val="none" w:sz="0" w:space="0" w:color="auto"/>
        <w:bottom w:val="none" w:sz="0" w:space="0" w:color="auto"/>
        <w:right w:val="none" w:sz="0" w:space="0" w:color="auto"/>
      </w:divBdr>
    </w:div>
    <w:div w:id="1055546090">
      <w:bodyDiv w:val="1"/>
      <w:marLeft w:val="0"/>
      <w:marRight w:val="0"/>
      <w:marTop w:val="0"/>
      <w:marBottom w:val="0"/>
      <w:divBdr>
        <w:top w:val="none" w:sz="0" w:space="0" w:color="auto"/>
        <w:left w:val="none" w:sz="0" w:space="0" w:color="auto"/>
        <w:bottom w:val="none" w:sz="0" w:space="0" w:color="auto"/>
        <w:right w:val="none" w:sz="0" w:space="0" w:color="auto"/>
      </w:divBdr>
    </w:div>
    <w:div w:id="1101222532">
      <w:bodyDiv w:val="1"/>
      <w:marLeft w:val="0"/>
      <w:marRight w:val="0"/>
      <w:marTop w:val="0"/>
      <w:marBottom w:val="0"/>
      <w:divBdr>
        <w:top w:val="none" w:sz="0" w:space="0" w:color="auto"/>
        <w:left w:val="none" w:sz="0" w:space="0" w:color="auto"/>
        <w:bottom w:val="none" w:sz="0" w:space="0" w:color="auto"/>
        <w:right w:val="none" w:sz="0" w:space="0" w:color="auto"/>
      </w:divBdr>
    </w:div>
    <w:div w:id="1124082810">
      <w:marLeft w:val="0"/>
      <w:marRight w:val="0"/>
      <w:marTop w:val="0"/>
      <w:marBottom w:val="0"/>
      <w:divBdr>
        <w:top w:val="none" w:sz="0" w:space="0" w:color="auto"/>
        <w:left w:val="none" w:sz="0" w:space="0" w:color="auto"/>
        <w:bottom w:val="none" w:sz="0" w:space="0" w:color="auto"/>
        <w:right w:val="none" w:sz="0" w:space="0" w:color="auto"/>
      </w:divBdr>
    </w:div>
    <w:div w:id="1124082811">
      <w:marLeft w:val="0"/>
      <w:marRight w:val="0"/>
      <w:marTop w:val="0"/>
      <w:marBottom w:val="0"/>
      <w:divBdr>
        <w:top w:val="none" w:sz="0" w:space="0" w:color="auto"/>
        <w:left w:val="none" w:sz="0" w:space="0" w:color="auto"/>
        <w:bottom w:val="none" w:sz="0" w:space="0" w:color="auto"/>
        <w:right w:val="none" w:sz="0" w:space="0" w:color="auto"/>
      </w:divBdr>
    </w:div>
    <w:div w:id="1215896090">
      <w:bodyDiv w:val="1"/>
      <w:marLeft w:val="0"/>
      <w:marRight w:val="0"/>
      <w:marTop w:val="0"/>
      <w:marBottom w:val="0"/>
      <w:divBdr>
        <w:top w:val="none" w:sz="0" w:space="0" w:color="auto"/>
        <w:left w:val="none" w:sz="0" w:space="0" w:color="auto"/>
        <w:bottom w:val="none" w:sz="0" w:space="0" w:color="auto"/>
        <w:right w:val="none" w:sz="0" w:space="0" w:color="auto"/>
      </w:divBdr>
    </w:div>
    <w:div w:id="1301036078">
      <w:bodyDiv w:val="1"/>
      <w:marLeft w:val="0"/>
      <w:marRight w:val="0"/>
      <w:marTop w:val="0"/>
      <w:marBottom w:val="0"/>
      <w:divBdr>
        <w:top w:val="none" w:sz="0" w:space="0" w:color="auto"/>
        <w:left w:val="none" w:sz="0" w:space="0" w:color="auto"/>
        <w:bottom w:val="none" w:sz="0" w:space="0" w:color="auto"/>
        <w:right w:val="none" w:sz="0" w:space="0" w:color="auto"/>
      </w:divBdr>
    </w:div>
    <w:div w:id="1324091239">
      <w:bodyDiv w:val="1"/>
      <w:marLeft w:val="0"/>
      <w:marRight w:val="0"/>
      <w:marTop w:val="0"/>
      <w:marBottom w:val="0"/>
      <w:divBdr>
        <w:top w:val="none" w:sz="0" w:space="0" w:color="auto"/>
        <w:left w:val="none" w:sz="0" w:space="0" w:color="auto"/>
        <w:bottom w:val="none" w:sz="0" w:space="0" w:color="auto"/>
        <w:right w:val="none" w:sz="0" w:space="0" w:color="auto"/>
      </w:divBdr>
    </w:div>
    <w:div w:id="1354458168">
      <w:bodyDiv w:val="1"/>
      <w:marLeft w:val="0"/>
      <w:marRight w:val="0"/>
      <w:marTop w:val="0"/>
      <w:marBottom w:val="0"/>
      <w:divBdr>
        <w:top w:val="none" w:sz="0" w:space="0" w:color="auto"/>
        <w:left w:val="none" w:sz="0" w:space="0" w:color="auto"/>
        <w:bottom w:val="none" w:sz="0" w:space="0" w:color="auto"/>
        <w:right w:val="none" w:sz="0" w:space="0" w:color="auto"/>
      </w:divBdr>
    </w:div>
    <w:div w:id="1368337452">
      <w:bodyDiv w:val="1"/>
      <w:marLeft w:val="0"/>
      <w:marRight w:val="0"/>
      <w:marTop w:val="0"/>
      <w:marBottom w:val="0"/>
      <w:divBdr>
        <w:top w:val="none" w:sz="0" w:space="0" w:color="auto"/>
        <w:left w:val="none" w:sz="0" w:space="0" w:color="auto"/>
        <w:bottom w:val="none" w:sz="0" w:space="0" w:color="auto"/>
        <w:right w:val="none" w:sz="0" w:space="0" w:color="auto"/>
      </w:divBdr>
    </w:div>
    <w:div w:id="1523207717">
      <w:bodyDiv w:val="1"/>
      <w:marLeft w:val="0"/>
      <w:marRight w:val="0"/>
      <w:marTop w:val="0"/>
      <w:marBottom w:val="0"/>
      <w:divBdr>
        <w:top w:val="none" w:sz="0" w:space="0" w:color="auto"/>
        <w:left w:val="none" w:sz="0" w:space="0" w:color="auto"/>
        <w:bottom w:val="none" w:sz="0" w:space="0" w:color="auto"/>
        <w:right w:val="none" w:sz="0" w:space="0" w:color="auto"/>
      </w:divBdr>
    </w:div>
    <w:div w:id="1535532365">
      <w:bodyDiv w:val="1"/>
      <w:marLeft w:val="0"/>
      <w:marRight w:val="0"/>
      <w:marTop w:val="0"/>
      <w:marBottom w:val="0"/>
      <w:divBdr>
        <w:top w:val="none" w:sz="0" w:space="0" w:color="auto"/>
        <w:left w:val="none" w:sz="0" w:space="0" w:color="auto"/>
        <w:bottom w:val="none" w:sz="0" w:space="0" w:color="auto"/>
        <w:right w:val="none" w:sz="0" w:space="0" w:color="auto"/>
      </w:divBdr>
    </w:div>
    <w:div w:id="1538666175">
      <w:bodyDiv w:val="1"/>
      <w:marLeft w:val="0"/>
      <w:marRight w:val="0"/>
      <w:marTop w:val="0"/>
      <w:marBottom w:val="0"/>
      <w:divBdr>
        <w:top w:val="none" w:sz="0" w:space="0" w:color="auto"/>
        <w:left w:val="none" w:sz="0" w:space="0" w:color="auto"/>
        <w:bottom w:val="none" w:sz="0" w:space="0" w:color="auto"/>
        <w:right w:val="none" w:sz="0" w:space="0" w:color="auto"/>
      </w:divBdr>
    </w:div>
    <w:div w:id="1561860367">
      <w:bodyDiv w:val="1"/>
      <w:marLeft w:val="0"/>
      <w:marRight w:val="0"/>
      <w:marTop w:val="0"/>
      <w:marBottom w:val="0"/>
      <w:divBdr>
        <w:top w:val="none" w:sz="0" w:space="0" w:color="auto"/>
        <w:left w:val="none" w:sz="0" w:space="0" w:color="auto"/>
        <w:bottom w:val="none" w:sz="0" w:space="0" w:color="auto"/>
        <w:right w:val="none" w:sz="0" w:space="0" w:color="auto"/>
      </w:divBdr>
    </w:div>
    <w:div w:id="1691175791">
      <w:bodyDiv w:val="1"/>
      <w:marLeft w:val="0"/>
      <w:marRight w:val="0"/>
      <w:marTop w:val="0"/>
      <w:marBottom w:val="0"/>
      <w:divBdr>
        <w:top w:val="none" w:sz="0" w:space="0" w:color="auto"/>
        <w:left w:val="none" w:sz="0" w:space="0" w:color="auto"/>
        <w:bottom w:val="none" w:sz="0" w:space="0" w:color="auto"/>
        <w:right w:val="none" w:sz="0" w:space="0" w:color="auto"/>
      </w:divBdr>
    </w:div>
    <w:div w:id="1733774192">
      <w:bodyDiv w:val="1"/>
      <w:marLeft w:val="0"/>
      <w:marRight w:val="0"/>
      <w:marTop w:val="0"/>
      <w:marBottom w:val="0"/>
      <w:divBdr>
        <w:top w:val="none" w:sz="0" w:space="0" w:color="auto"/>
        <w:left w:val="none" w:sz="0" w:space="0" w:color="auto"/>
        <w:bottom w:val="none" w:sz="0" w:space="0" w:color="auto"/>
        <w:right w:val="none" w:sz="0" w:space="0" w:color="auto"/>
      </w:divBdr>
    </w:div>
    <w:div w:id="1803886949">
      <w:bodyDiv w:val="1"/>
      <w:marLeft w:val="0"/>
      <w:marRight w:val="0"/>
      <w:marTop w:val="0"/>
      <w:marBottom w:val="0"/>
      <w:divBdr>
        <w:top w:val="none" w:sz="0" w:space="0" w:color="auto"/>
        <w:left w:val="none" w:sz="0" w:space="0" w:color="auto"/>
        <w:bottom w:val="none" w:sz="0" w:space="0" w:color="auto"/>
        <w:right w:val="none" w:sz="0" w:space="0" w:color="auto"/>
      </w:divBdr>
    </w:div>
    <w:div w:id="1876578811">
      <w:bodyDiv w:val="1"/>
      <w:marLeft w:val="0"/>
      <w:marRight w:val="0"/>
      <w:marTop w:val="0"/>
      <w:marBottom w:val="0"/>
      <w:divBdr>
        <w:top w:val="none" w:sz="0" w:space="0" w:color="auto"/>
        <w:left w:val="none" w:sz="0" w:space="0" w:color="auto"/>
        <w:bottom w:val="none" w:sz="0" w:space="0" w:color="auto"/>
        <w:right w:val="none" w:sz="0" w:space="0" w:color="auto"/>
      </w:divBdr>
    </w:div>
    <w:div w:id="1941525801">
      <w:bodyDiv w:val="1"/>
      <w:marLeft w:val="0"/>
      <w:marRight w:val="0"/>
      <w:marTop w:val="0"/>
      <w:marBottom w:val="0"/>
      <w:divBdr>
        <w:top w:val="none" w:sz="0" w:space="0" w:color="auto"/>
        <w:left w:val="none" w:sz="0" w:space="0" w:color="auto"/>
        <w:bottom w:val="none" w:sz="0" w:space="0" w:color="auto"/>
        <w:right w:val="none" w:sz="0" w:space="0" w:color="auto"/>
      </w:divBdr>
    </w:div>
    <w:div w:id="1982342483">
      <w:bodyDiv w:val="1"/>
      <w:marLeft w:val="0"/>
      <w:marRight w:val="0"/>
      <w:marTop w:val="0"/>
      <w:marBottom w:val="0"/>
      <w:divBdr>
        <w:top w:val="none" w:sz="0" w:space="0" w:color="auto"/>
        <w:left w:val="none" w:sz="0" w:space="0" w:color="auto"/>
        <w:bottom w:val="none" w:sz="0" w:space="0" w:color="auto"/>
        <w:right w:val="none" w:sz="0" w:space="0" w:color="auto"/>
      </w:divBdr>
    </w:div>
    <w:div w:id="2076050704">
      <w:bodyDiv w:val="1"/>
      <w:marLeft w:val="0"/>
      <w:marRight w:val="0"/>
      <w:marTop w:val="0"/>
      <w:marBottom w:val="0"/>
      <w:divBdr>
        <w:top w:val="none" w:sz="0" w:space="0" w:color="auto"/>
        <w:left w:val="none" w:sz="0" w:space="0" w:color="auto"/>
        <w:bottom w:val="none" w:sz="0" w:space="0" w:color="auto"/>
        <w:right w:val="none" w:sz="0" w:space="0" w:color="auto"/>
      </w:divBdr>
    </w:div>
    <w:div w:id="213000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CAFC1-D095-4211-8F67-FF98A632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6900</Characters>
  <Application>Microsoft Office Word</Application>
  <DocSecurity>0</DocSecurity>
  <Lines>57</Lines>
  <Paragraphs>16</Paragraphs>
  <ScaleCrop>false</ScaleCrop>
  <Company/>
  <LinksUpToDate>false</LinksUpToDate>
  <CharactersWithSpaces>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2014-06-27T04:24:00Z</dcterms:created>
  <dcterms:modified xsi:type="dcterms:W3CDTF">2014-06-27T04:24:00Z</dcterms:modified>
</cp:coreProperties>
</file>