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9" w:type="dxa"/>
        <w:tblLook w:val="04A0"/>
      </w:tblPr>
      <w:tblGrid>
        <w:gridCol w:w="3011"/>
        <w:gridCol w:w="7218"/>
      </w:tblGrid>
      <w:tr w:rsidR="00D735FF" w:rsidRPr="001D46D2" w:rsidTr="00611D83">
        <w:trPr>
          <w:trHeight w:val="811"/>
        </w:trPr>
        <w:tc>
          <w:tcPr>
            <w:tcW w:w="3011" w:type="dxa"/>
            <w:vAlign w:val="center"/>
          </w:tcPr>
          <w:p w:rsidR="00D735FF" w:rsidRPr="00611D83" w:rsidRDefault="00D735FF" w:rsidP="001025C9">
            <w:pPr>
              <w:pStyle w:val="Header"/>
              <w:jc w:val="both"/>
              <w:rPr>
                <w:rFonts w:ascii="Arial" w:hAnsi="Arial" w:cs="Arial"/>
                <w:b/>
                <w:sz w:val="28"/>
                <w:szCs w:val="20"/>
              </w:rPr>
            </w:pPr>
            <w:r w:rsidRPr="00611D83">
              <w:rPr>
                <w:rFonts w:ascii="Arial" w:hAnsi="Arial" w:cs="Arial"/>
                <w:b/>
                <w:sz w:val="28"/>
                <w:szCs w:val="20"/>
              </w:rPr>
              <w:t>Submission to:</w:t>
            </w:r>
          </w:p>
        </w:tc>
        <w:tc>
          <w:tcPr>
            <w:tcW w:w="7218" w:type="dxa"/>
            <w:vAlign w:val="center"/>
          </w:tcPr>
          <w:p w:rsidR="00D735FF" w:rsidRPr="00611D83" w:rsidRDefault="00DA1C78" w:rsidP="003168CE">
            <w:pPr>
              <w:pStyle w:val="Header"/>
              <w:rPr>
                <w:rFonts w:ascii="Arial" w:hAnsi="Arial" w:cs="Arial"/>
                <w:sz w:val="28"/>
                <w:szCs w:val="20"/>
              </w:rPr>
            </w:pPr>
            <w:r w:rsidRPr="00611D83">
              <w:rPr>
                <w:rFonts w:ascii="Arial" w:hAnsi="Arial" w:cs="Arial"/>
                <w:sz w:val="28"/>
                <w:szCs w:val="20"/>
              </w:rPr>
              <w:t xml:space="preserve">The </w:t>
            </w:r>
            <w:r w:rsidR="00693D92" w:rsidRPr="00611D83">
              <w:rPr>
                <w:rFonts w:ascii="Arial" w:hAnsi="Arial" w:cs="Arial"/>
                <w:sz w:val="28"/>
                <w:szCs w:val="20"/>
              </w:rPr>
              <w:t>N</w:t>
            </w:r>
            <w:r w:rsidR="004011BA" w:rsidRPr="00611D83">
              <w:rPr>
                <w:rFonts w:ascii="Arial" w:hAnsi="Arial" w:cs="Arial"/>
                <w:sz w:val="28"/>
                <w:szCs w:val="20"/>
              </w:rPr>
              <w:t xml:space="preserve">ational Transport </w:t>
            </w:r>
            <w:r w:rsidR="0062031D" w:rsidRPr="00611D83">
              <w:rPr>
                <w:rFonts w:ascii="Arial" w:hAnsi="Arial" w:cs="Arial"/>
                <w:sz w:val="28"/>
                <w:szCs w:val="20"/>
              </w:rPr>
              <w:t>Commission</w:t>
            </w:r>
          </w:p>
        </w:tc>
      </w:tr>
      <w:tr w:rsidR="00D735FF" w:rsidRPr="001D46D2" w:rsidTr="00611D83">
        <w:trPr>
          <w:trHeight w:val="811"/>
        </w:trPr>
        <w:tc>
          <w:tcPr>
            <w:tcW w:w="3011" w:type="dxa"/>
            <w:vAlign w:val="center"/>
          </w:tcPr>
          <w:p w:rsidR="00D735FF" w:rsidRPr="00611D83" w:rsidRDefault="00D735FF" w:rsidP="001025C9">
            <w:pPr>
              <w:pStyle w:val="Header"/>
              <w:jc w:val="both"/>
              <w:rPr>
                <w:rFonts w:ascii="Arial" w:hAnsi="Arial" w:cs="Arial"/>
                <w:b/>
                <w:sz w:val="28"/>
                <w:szCs w:val="20"/>
              </w:rPr>
            </w:pPr>
            <w:r w:rsidRPr="00611D83">
              <w:rPr>
                <w:rFonts w:ascii="Arial" w:hAnsi="Arial" w:cs="Arial"/>
                <w:b/>
                <w:sz w:val="28"/>
                <w:szCs w:val="20"/>
              </w:rPr>
              <w:t>Title:</w:t>
            </w:r>
          </w:p>
        </w:tc>
        <w:tc>
          <w:tcPr>
            <w:tcW w:w="7218" w:type="dxa"/>
            <w:vAlign w:val="center"/>
          </w:tcPr>
          <w:p w:rsidR="00D735FF" w:rsidRPr="00611D83" w:rsidRDefault="00611D83" w:rsidP="00205D00">
            <w:pPr>
              <w:pStyle w:val="Header"/>
              <w:rPr>
                <w:rFonts w:ascii="Arial" w:hAnsi="Arial" w:cs="Arial"/>
                <w:sz w:val="28"/>
                <w:szCs w:val="20"/>
              </w:rPr>
            </w:pPr>
            <w:r w:rsidRPr="00611D83">
              <w:rPr>
                <w:rFonts w:ascii="Arial" w:hAnsi="Arial" w:cs="Arial"/>
                <w:sz w:val="28"/>
                <w:szCs w:val="20"/>
              </w:rPr>
              <w:t>2014 Heavy Vehicle Charges Determination Draft RIS</w:t>
            </w:r>
          </w:p>
        </w:tc>
      </w:tr>
      <w:tr w:rsidR="00D735FF" w:rsidRPr="001D46D2" w:rsidTr="00611D83">
        <w:trPr>
          <w:trHeight w:val="811"/>
        </w:trPr>
        <w:tc>
          <w:tcPr>
            <w:tcW w:w="3011" w:type="dxa"/>
            <w:vAlign w:val="center"/>
          </w:tcPr>
          <w:p w:rsidR="00D735FF" w:rsidRPr="00611D83" w:rsidRDefault="00D735FF" w:rsidP="001025C9">
            <w:pPr>
              <w:pStyle w:val="Header"/>
              <w:jc w:val="both"/>
              <w:rPr>
                <w:rFonts w:ascii="Arial" w:hAnsi="Arial" w:cs="Arial"/>
                <w:b/>
                <w:sz w:val="28"/>
                <w:szCs w:val="20"/>
              </w:rPr>
            </w:pPr>
            <w:r w:rsidRPr="00611D83">
              <w:rPr>
                <w:rFonts w:ascii="Arial" w:hAnsi="Arial" w:cs="Arial"/>
                <w:b/>
                <w:sz w:val="28"/>
                <w:szCs w:val="20"/>
              </w:rPr>
              <w:t>Date:</w:t>
            </w:r>
          </w:p>
        </w:tc>
        <w:tc>
          <w:tcPr>
            <w:tcW w:w="7218" w:type="dxa"/>
            <w:vAlign w:val="center"/>
          </w:tcPr>
          <w:p w:rsidR="00D735FF" w:rsidRPr="00611D83" w:rsidRDefault="00DA1C78" w:rsidP="00905C0A">
            <w:pPr>
              <w:pStyle w:val="Header"/>
              <w:rPr>
                <w:rFonts w:ascii="Arial" w:hAnsi="Arial" w:cs="Arial"/>
                <w:sz w:val="28"/>
                <w:szCs w:val="20"/>
              </w:rPr>
            </w:pPr>
            <w:r w:rsidRPr="00611D83">
              <w:rPr>
                <w:rFonts w:ascii="Arial" w:hAnsi="Arial" w:cs="Arial"/>
                <w:sz w:val="28"/>
                <w:szCs w:val="20"/>
              </w:rPr>
              <w:t xml:space="preserve">15 January 2014 </w:t>
            </w:r>
          </w:p>
        </w:tc>
      </w:tr>
    </w:tbl>
    <w:p w:rsidR="00D735FF" w:rsidRPr="001D46D2" w:rsidRDefault="00D735FF" w:rsidP="001025C9">
      <w:pPr>
        <w:pStyle w:val="Header"/>
        <w:jc w:val="both"/>
        <w:rPr>
          <w:rFonts w:ascii="Arial" w:hAnsi="Arial" w:cs="Arial"/>
          <w:sz w:val="28"/>
          <w:szCs w:val="20"/>
        </w:rPr>
      </w:pPr>
    </w:p>
    <w:p w:rsidR="00D735FF" w:rsidRPr="001D46D2" w:rsidRDefault="00D735FF" w:rsidP="001025C9">
      <w:pPr>
        <w:pStyle w:val="Header"/>
        <w:jc w:val="both"/>
        <w:rPr>
          <w:rFonts w:ascii="Arial" w:hAnsi="Arial" w:cs="Arial"/>
          <w:sz w:val="20"/>
          <w:szCs w:val="20"/>
        </w:rPr>
      </w:pPr>
    </w:p>
    <w:p w:rsidR="00576ED0" w:rsidRPr="001D46D2" w:rsidRDefault="00576ED0" w:rsidP="001025C9">
      <w:pPr>
        <w:pStyle w:val="Header"/>
        <w:jc w:val="both"/>
        <w:rPr>
          <w:rFonts w:ascii="Arial" w:hAnsi="Arial" w:cs="Arial"/>
          <w:sz w:val="20"/>
          <w:szCs w:val="20"/>
        </w:rPr>
      </w:pPr>
    </w:p>
    <w:p w:rsidR="00576ED0" w:rsidRPr="001D46D2" w:rsidRDefault="00576ED0" w:rsidP="001025C9">
      <w:pPr>
        <w:jc w:val="both"/>
        <w:rPr>
          <w:rFonts w:ascii="Arial" w:hAnsi="Arial" w:cs="Arial"/>
          <w:sz w:val="20"/>
          <w:szCs w:val="20"/>
          <w:lang w:val="en-GB"/>
        </w:rPr>
        <w:sectPr w:rsidR="00576ED0" w:rsidRPr="001D46D2"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1D46D2" w:rsidRDefault="00576ED0" w:rsidP="001025C9">
      <w:pPr>
        <w:jc w:val="both"/>
        <w:rPr>
          <w:rFonts w:ascii="Arial" w:hAnsi="Arial" w:cs="Arial"/>
          <w:sz w:val="20"/>
          <w:szCs w:val="20"/>
        </w:rPr>
      </w:pPr>
    </w:p>
    <w:p w:rsidR="0035493A" w:rsidRPr="001D46D2" w:rsidRDefault="0035493A" w:rsidP="001025C9">
      <w:pPr>
        <w:jc w:val="both"/>
        <w:rPr>
          <w:rFonts w:ascii="Arial" w:hAnsi="Arial" w:cs="Arial"/>
          <w:sz w:val="20"/>
          <w:szCs w:val="20"/>
        </w:rPr>
      </w:pPr>
    </w:p>
    <w:p w:rsidR="0035493A" w:rsidRPr="001D46D2" w:rsidRDefault="0035493A" w:rsidP="001025C9">
      <w:pPr>
        <w:jc w:val="both"/>
        <w:rPr>
          <w:rFonts w:ascii="Arial" w:hAnsi="Arial" w:cs="Arial"/>
          <w:sz w:val="20"/>
          <w:szCs w:val="20"/>
        </w:rPr>
      </w:pPr>
    </w:p>
    <w:p w:rsidR="0035493A" w:rsidRPr="001D46D2" w:rsidRDefault="0035493A" w:rsidP="001025C9">
      <w:pPr>
        <w:jc w:val="both"/>
        <w:rPr>
          <w:rFonts w:ascii="Arial" w:hAnsi="Arial" w:cs="Arial"/>
          <w:sz w:val="20"/>
          <w:szCs w:val="20"/>
        </w:rPr>
      </w:pPr>
    </w:p>
    <w:p w:rsidR="0035493A" w:rsidRPr="001D46D2" w:rsidRDefault="0035493A" w:rsidP="001025C9">
      <w:pPr>
        <w:jc w:val="both"/>
        <w:rPr>
          <w:rFonts w:ascii="Arial" w:hAnsi="Arial" w:cs="Arial"/>
          <w:sz w:val="24"/>
          <w:szCs w:val="20"/>
        </w:rPr>
      </w:pPr>
    </w:p>
    <w:p w:rsidR="0035493A" w:rsidRPr="001D46D2" w:rsidRDefault="003B74E4" w:rsidP="001025C9">
      <w:pPr>
        <w:jc w:val="both"/>
        <w:rPr>
          <w:rFonts w:ascii="Arial" w:hAnsi="Arial" w:cs="Arial"/>
          <w:b/>
          <w:color w:val="000064"/>
          <w:sz w:val="24"/>
          <w:szCs w:val="20"/>
        </w:rPr>
      </w:pPr>
      <w:r w:rsidRPr="001D46D2">
        <w:rPr>
          <w:rFonts w:ascii="Arial" w:hAnsi="Arial" w:cs="Arial"/>
          <w:b/>
          <w:color w:val="000064"/>
          <w:sz w:val="24"/>
          <w:szCs w:val="20"/>
        </w:rPr>
        <w:t>Contents</w:t>
      </w:r>
    </w:p>
    <w:p w:rsidR="00576ED0" w:rsidRPr="001D46D2" w:rsidRDefault="00576ED0" w:rsidP="001025C9">
      <w:pPr>
        <w:jc w:val="both"/>
        <w:rPr>
          <w:rFonts w:ascii="Arial" w:hAnsi="Arial" w:cs="Arial"/>
          <w:sz w:val="24"/>
          <w:szCs w:val="20"/>
        </w:rPr>
      </w:pPr>
    </w:p>
    <w:p w:rsidR="009B0520" w:rsidRPr="001D46D2" w:rsidRDefault="009B0520" w:rsidP="001025C9">
      <w:pPr>
        <w:jc w:val="both"/>
        <w:rPr>
          <w:rFonts w:ascii="Arial" w:hAnsi="Arial" w:cs="Arial"/>
          <w:b/>
          <w:sz w:val="24"/>
          <w:szCs w:val="20"/>
        </w:rPr>
      </w:pPr>
    </w:p>
    <w:p w:rsidR="00A5226D" w:rsidRDefault="0004142E">
      <w:pPr>
        <w:pStyle w:val="TOC1"/>
        <w:rPr>
          <w:rFonts w:asciiTheme="minorHAnsi" w:eastAsiaTheme="minorEastAsia" w:hAnsiTheme="minorHAnsi" w:cstheme="minorBidi"/>
          <w:b w:val="0"/>
          <w:color w:val="auto"/>
          <w:sz w:val="22"/>
          <w:szCs w:val="22"/>
          <w:lang w:eastAsia="en-AU"/>
        </w:rPr>
      </w:pPr>
      <w:r w:rsidRPr="0004142E">
        <w:rPr>
          <w:rFonts w:cs="Arial"/>
          <w:b w:val="0"/>
          <w:sz w:val="22"/>
          <w:szCs w:val="24"/>
        </w:rPr>
        <w:fldChar w:fldCharType="begin"/>
      </w:r>
      <w:r w:rsidR="0035493A" w:rsidRPr="00DA1C78">
        <w:rPr>
          <w:rFonts w:cs="Arial"/>
          <w:b w:val="0"/>
          <w:sz w:val="22"/>
          <w:szCs w:val="24"/>
        </w:rPr>
        <w:instrText xml:space="preserve"> TOC \o "1-2" \t "ATA Heading 2,2" </w:instrText>
      </w:r>
      <w:r w:rsidRPr="0004142E">
        <w:rPr>
          <w:rFonts w:cs="Arial"/>
          <w:b w:val="0"/>
          <w:sz w:val="22"/>
          <w:szCs w:val="24"/>
        </w:rPr>
        <w:fldChar w:fldCharType="separate"/>
      </w:r>
      <w:r w:rsidR="00A5226D" w:rsidRPr="00951C0A">
        <w:t>1.</w:t>
      </w:r>
      <w:r w:rsidR="00A5226D">
        <w:rPr>
          <w:rFonts w:asciiTheme="minorHAnsi" w:eastAsiaTheme="minorEastAsia" w:hAnsiTheme="minorHAnsi" w:cstheme="minorBidi"/>
          <w:b w:val="0"/>
          <w:color w:val="auto"/>
          <w:sz w:val="22"/>
          <w:szCs w:val="22"/>
          <w:lang w:eastAsia="en-AU"/>
        </w:rPr>
        <w:tab/>
      </w:r>
      <w:r w:rsidR="00A5226D">
        <w:t>Introduction</w:t>
      </w:r>
      <w:r w:rsidR="00A5226D">
        <w:tab/>
      </w:r>
      <w:r>
        <w:fldChar w:fldCharType="begin"/>
      </w:r>
      <w:r w:rsidR="00A5226D">
        <w:instrText xml:space="preserve"> PAGEREF _Toc377542668 \h </w:instrText>
      </w:r>
      <w:r>
        <w:fldChar w:fldCharType="separate"/>
      </w:r>
      <w:r w:rsidR="00FE2695">
        <w:t>3</w:t>
      </w:r>
      <w:r>
        <w:fldChar w:fldCharType="end"/>
      </w:r>
    </w:p>
    <w:p w:rsidR="00A5226D" w:rsidRDefault="00A5226D">
      <w:pPr>
        <w:pStyle w:val="TOC1"/>
        <w:rPr>
          <w:rFonts w:asciiTheme="minorHAnsi" w:eastAsiaTheme="minorEastAsia" w:hAnsiTheme="minorHAnsi" w:cstheme="minorBidi"/>
          <w:b w:val="0"/>
          <w:color w:val="auto"/>
          <w:sz w:val="22"/>
          <w:szCs w:val="22"/>
          <w:lang w:eastAsia="en-AU"/>
        </w:rPr>
      </w:pPr>
      <w:r w:rsidRPr="00951C0A">
        <w:t>2.</w:t>
      </w:r>
      <w:r>
        <w:rPr>
          <w:rFonts w:asciiTheme="minorHAnsi" w:eastAsiaTheme="minorEastAsia" w:hAnsiTheme="minorHAnsi" w:cstheme="minorBidi"/>
          <w:b w:val="0"/>
          <w:color w:val="auto"/>
          <w:sz w:val="22"/>
          <w:szCs w:val="22"/>
          <w:lang w:eastAsia="en-AU"/>
        </w:rPr>
        <w:tab/>
      </w:r>
      <w:r>
        <w:t>Australian Trucking Association</w:t>
      </w:r>
      <w:r>
        <w:tab/>
      </w:r>
      <w:r w:rsidR="0004142E">
        <w:fldChar w:fldCharType="begin"/>
      </w:r>
      <w:r>
        <w:instrText xml:space="preserve"> PAGEREF _Toc377542669 \h </w:instrText>
      </w:r>
      <w:r w:rsidR="0004142E">
        <w:fldChar w:fldCharType="separate"/>
      </w:r>
      <w:r w:rsidR="00FE2695">
        <w:t>3</w:t>
      </w:r>
      <w:r w:rsidR="0004142E">
        <w:fldChar w:fldCharType="end"/>
      </w:r>
    </w:p>
    <w:p w:rsidR="00A5226D" w:rsidRDefault="00A5226D">
      <w:pPr>
        <w:pStyle w:val="TOC1"/>
        <w:rPr>
          <w:rFonts w:asciiTheme="minorHAnsi" w:eastAsiaTheme="minorEastAsia" w:hAnsiTheme="minorHAnsi" w:cstheme="minorBidi"/>
          <w:b w:val="0"/>
          <w:color w:val="auto"/>
          <w:sz w:val="22"/>
          <w:szCs w:val="22"/>
          <w:lang w:eastAsia="en-AU"/>
        </w:rPr>
      </w:pPr>
      <w:r w:rsidRPr="00951C0A">
        <w:t>3.</w:t>
      </w:r>
      <w:r>
        <w:rPr>
          <w:rFonts w:asciiTheme="minorHAnsi" w:eastAsiaTheme="minorEastAsia" w:hAnsiTheme="minorHAnsi" w:cstheme="minorBidi"/>
          <w:b w:val="0"/>
          <w:color w:val="auto"/>
          <w:sz w:val="22"/>
          <w:szCs w:val="22"/>
          <w:lang w:eastAsia="en-AU"/>
        </w:rPr>
        <w:tab/>
      </w:r>
      <w:r>
        <w:t>Recommendations</w:t>
      </w:r>
      <w:r>
        <w:tab/>
      </w:r>
      <w:r w:rsidR="0004142E">
        <w:fldChar w:fldCharType="begin"/>
      </w:r>
      <w:r>
        <w:instrText xml:space="preserve"> PAGEREF _Toc377542670 \h </w:instrText>
      </w:r>
      <w:r w:rsidR="0004142E">
        <w:fldChar w:fldCharType="separate"/>
      </w:r>
      <w:r w:rsidR="00FE2695">
        <w:t>3</w:t>
      </w:r>
      <w:r w:rsidR="0004142E">
        <w:fldChar w:fldCharType="end"/>
      </w:r>
    </w:p>
    <w:p w:rsidR="00A5226D" w:rsidRDefault="00A5226D">
      <w:pPr>
        <w:pStyle w:val="TOC1"/>
        <w:rPr>
          <w:rFonts w:asciiTheme="minorHAnsi" w:eastAsiaTheme="minorEastAsia" w:hAnsiTheme="minorHAnsi" w:cstheme="minorBidi"/>
          <w:b w:val="0"/>
          <w:color w:val="auto"/>
          <w:sz w:val="22"/>
          <w:szCs w:val="22"/>
          <w:lang w:eastAsia="en-AU"/>
        </w:rPr>
      </w:pPr>
      <w:r w:rsidRPr="00951C0A">
        <w:t>4.</w:t>
      </w:r>
      <w:r>
        <w:rPr>
          <w:rFonts w:asciiTheme="minorHAnsi" w:eastAsiaTheme="minorEastAsia" w:hAnsiTheme="minorHAnsi" w:cstheme="minorBidi"/>
          <w:b w:val="0"/>
          <w:color w:val="auto"/>
          <w:sz w:val="22"/>
          <w:szCs w:val="22"/>
          <w:lang w:eastAsia="en-AU"/>
        </w:rPr>
        <w:tab/>
      </w:r>
      <w:r>
        <w:t>Technical improvements</w:t>
      </w:r>
      <w:r>
        <w:tab/>
      </w:r>
      <w:r w:rsidR="0004142E">
        <w:fldChar w:fldCharType="begin"/>
      </w:r>
      <w:r>
        <w:instrText xml:space="preserve"> PAGEREF _Toc377542671 \h </w:instrText>
      </w:r>
      <w:r w:rsidR="0004142E">
        <w:fldChar w:fldCharType="separate"/>
      </w:r>
      <w:r w:rsidR="00FE2695">
        <w:t>4</w:t>
      </w:r>
      <w:r w:rsidR="0004142E">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4.1</w:t>
      </w:r>
      <w:r w:rsidRPr="00A5226D">
        <w:rPr>
          <w:rFonts w:asciiTheme="minorHAnsi" w:eastAsiaTheme="minorEastAsia" w:hAnsiTheme="minorHAnsi" w:cstheme="minorBidi"/>
          <w:b w:val="0"/>
          <w:color w:val="auto"/>
          <w:sz w:val="22"/>
          <w:szCs w:val="22"/>
          <w:lang w:eastAsia="en-AU"/>
        </w:rPr>
        <w:tab/>
      </w:r>
      <w:r w:rsidRPr="00A5226D">
        <w:rPr>
          <w:b w:val="0"/>
        </w:rPr>
        <w:t>Calculating the cost base</w:t>
      </w:r>
      <w:r w:rsidRPr="00A5226D">
        <w:rPr>
          <w:b w:val="0"/>
        </w:rPr>
        <w:tab/>
      </w:r>
      <w:r w:rsidR="0004142E" w:rsidRPr="00A5226D">
        <w:rPr>
          <w:b w:val="0"/>
        </w:rPr>
        <w:fldChar w:fldCharType="begin"/>
      </w:r>
      <w:r w:rsidRPr="00A5226D">
        <w:rPr>
          <w:b w:val="0"/>
        </w:rPr>
        <w:instrText xml:space="preserve"> PAGEREF _Toc377542672 \h </w:instrText>
      </w:r>
      <w:r w:rsidR="0004142E" w:rsidRPr="00A5226D">
        <w:rPr>
          <w:b w:val="0"/>
        </w:rPr>
      </w:r>
      <w:r w:rsidR="0004142E" w:rsidRPr="00A5226D">
        <w:rPr>
          <w:b w:val="0"/>
        </w:rPr>
        <w:fldChar w:fldCharType="separate"/>
      </w:r>
      <w:r w:rsidR="00FE2695">
        <w:rPr>
          <w:b w:val="0"/>
        </w:rPr>
        <w:t>4</w:t>
      </w:r>
      <w:r w:rsidR="0004142E" w:rsidRPr="00A5226D">
        <w:rPr>
          <w:b w:val="0"/>
        </w:rPr>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4.2</w:t>
      </w:r>
      <w:r w:rsidRPr="00A5226D">
        <w:rPr>
          <w:rFonts w:asciiTheme="minorHAnsi" w:eastAsiaTheme="minorEastAsia" w:hAnsiTheme="minorHAnsi" w:cstheme="minorBidi"/>
          <w:b w:val="0"/>
          <w:color w:val="auto"/>
          <w:sz w:val="22"/>
          <w:szCs w:val="22"/>
          <w:lang w:eastAsia="en-AU"/>
        </w:rPr>
        <w:tab/>
      </w:r>
      <w:r w:rsidRPr="00A5226D">
        <w:rPr>
          <w:b w:val="0"/>
        </w:rPr>
        <w:t>Usage data</w:t>
      </w:r>
      <w:r w:rsidRPr="00A5226D">
        <w:rPr>
          <w:b w:val="0"/>
        </w:rPr>
        <w:tab/>
      </w:r>
      <w:r w:rsidR="0004142E" w:rsidRPr="00A5226D">
        <w:rPr>
          <w:b w:val="0"/>
        </w:rPr>
        <w:fldChar w:fldCharType="begin"/>
      </w:r>
      <w:r w:rsidRPr="00A5226D">
        <w:rPr>
          <w:b w:val="0"/>
        </w:rPr>
        <w:instrText xml:space="preserve"> PAGEREF _Toc377542673 \h </w:instrText>
      </w:r>
      <w:r w:rsidR="0004142E" w:rsidRPr="00A5226D">
        <w:rPr>
          <w:b w:val="0"/>
        </w:rPr>
      </w:r>
      <w:r w:rsidR="0004142E" w:rsidRPr="00A5226D">
        <w:rPr>
          <w:b w:val="0"/>
        </w:rPr>
        <w:fldChar w:fldCharType="separate"/>
      </w:r>
      <w:r w:rsidR="00FE2695">
        <w:rPr>
          <w:b w:val="0"/>
        </w:rPr>
        <w:t>4</w:t>
      </w:r>
      <w:r w:rsidR="0004142E" w:rsidRPr="00A5226D">
        <w:rPr>
          <w:b w:val="0"/>
        </w:rPr>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4.3</w:t>
      </w:r>
      <w:r w:rsidRPr="00A5226D">
        <w:rPr>
          <w:rFonts w:asciiTheme="minorHAnsi" w:eastAsiaTheme="minorEastAsia" w:hAnsiTheme="minorHAnsi" w:cstheme="minorBidi"/>
          <w:b w:val="0"/>
          <w:color w:val="auto"/>
          <w:sz w:val="22"/>
          <w:szCs w:val="22"/>
          <w:lang w:eastAsia="en-AU"/>
        </w:rPr>
        <w:tab/>
      </w:r>
      <w:r w:rsidRPr="00A5226D">
        <w:rPr>
          <w:b w:val="0"/>
        </w:rPr>
        <w:t>Expenditure template and expenditure accountability</w:t>
      </w:r>
      <w:r w:rsidRPr="00A5226D">
        <w:rPr>
          <w:b w:val="0"/>
        </w:rPr>
        <w:tab/>
      </w:r>
      <w:r w:rsidR="0004142E" w:rsidRPr="00A5226D">
        <w:rPr>
          <w:b w:val="0"/>
        </w:rPr>
        <w:fldChar w:fldCharType="begin"/>
      </w:r>
      <w:r w:rsidRPr="00A5226D">
        <w:rPr>
          <w:b w:val="0"/>
        </w:rPr>
        <w:instrText xml:space="preserve"> PAGEREF _Toc377542674 \h </w:instrText>
      </w:r>
      <w:r w:rsidR="0004142E" w:rsidRPr="00A5226D">
        <w:rPr>
          <w:b w:val="0"/>
        </w:rPr>
      </w:r>
      <w:r w:rsidR="0004142E" w:rsidRPr="00A5226D">
        <w:rPr>
          <w:b w:val="0"/>
        </w:rPr>
        <w:fldChar w:fldCharType="separate"/>
      </w:r>
      <w:r w:rsidR="00FE2695">
        <w:rPr>
          <w:b w:val="0"/>
        </w:rPr>
        <w:t>6</w:t>
      </w:r>
      <w:r w:rsidR="0004142E" w:rsidRPr="00A5226D">
        <w:rPr>
          <w:b w:val="0"/>
        </w:rPr>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4.4</w:t>
      </w:r>
      <w:r w:rsidRPr="00A5226D">
        <w:rPr>
          <w:rFonts w:asciiTheme="minorHAnsi" w:eastAsiaTheme="minorEastAsia" w:hAnsiTheme="minorHAnsi" w:cstheme="minorBidi"/>
          <w:b w:val="0"/>
          <w:color w:val="auto"/>
          <w:sz w:val="22"/>
          <w:szCs w:val="22"/>
          <w:lang w:eastAsia="en-AU"/>
        </w:rPr>
        <w:tab/>
      </w:r>
      <w:r w:rsidRPr="00A5226D">
        <w:rPr>
          <w:b w:val="0"/>
        </w:rPr>
        <w:t>Charges for articulated trailers</w:t>
      </w:r>
      <w:r w:rsidRPr="00A5226D">
        <w:rPr>
          <w:b w:val="0"/>
        </w:rPr>
        <w:tab/>
      </w:r>
      <w:r w:rsidR="0004142E" w:rsidRPr="00A5226D">
        <w:rPr>
          <w:b w:val="0"/>
        </w:rPr>
        <w:fldChar w:fldCharType="begin"/>
      </w:r>
      <w:r w:rsidRPr="00A5226D">
        <w:rPr>
          <w:b w:val="0"/>
        </w:rPr>
        <w:instrText xml:space="preserve"> PAGEREF _Toc377542675 \h </w:instrText>
      </w:r>
      <w:r w:rsidR="0004142E" w:rsidRPr="00A5226D">
        <w:rPr>
          <w:b w:val="0"/>
        </w:rPr>
      </w:r>
      <w:r w:rsidR="0004142E" w:rsidRPr="00A5226D">
        <w:rPr>
          <w:b w:val="0"/>
        </w:rPr>
        <w:fldChar w:fldCharType="separate"/>
      </w:r>
      <w:r w:rsidR="00FE2695">
        <w:rPr>
          <w:b w:val="0"/>
        </w:rPr>
        <w:t>7</w:t>
      </w:r>
      <w:r w:rsidR="0004142E" w:rsidRPr="00A5226D">
        <w:rPr>
          <w:b w:val="0"/>
        </w:rPr>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4.5</w:t>
      </w:r>
      <w:r w:rsidRPr="00A5226D">
        <w:rPr>
          <w:rFonts w:asciiTheme="minorHAnsi" w:eastAsiaTheme="minorEastAsia" w:hAnsiTheme="minorHAnsi" w:cstheme="minorBidi"/>
          <w:b w:val="0"/>
          <w:color w:val="auto"/>
          <w:sz w:val="22"/>
          <w:szCs w:val="22"/>
          <w:lang w:eastAsia="en-AU"/>
        </w:rPr>
        <w:tab/>
      </w:r>
      <w:r w:rsidRPr="00A5226D">
        <w:rPr>
          <w:b w:val="0"/>
        </w:rPr>
        <w:t>Estimating relative levels of pavement wear</w:t>
      </w:r>
      <w:r w:rsidRPr="00A5226D">
        <w:rPr>
          <w:b w:val="0"/>
        </w:rPr>
        <w:tab/>
      </w:r>
      <w:r w:rsidR="0004142E" w:rsidRPr="00A5226D">
        <w:rPr>
          <w:b w:val="0"/>
        </w:rPr>
        <w:fldChar w:fldCharType="begin"/>
      </w:r>
      <w:r w:rsidRPr="00A5226D">
        <w:rPr>
          <w:b w:val="0"/>
        </w:rPr>
        <w:instrText xml:space="preserve"> PAGEREF _Toc377542676 \h </w:instrText>
      </w:r>
      <w:r w:rsidR="0004142E" w:rsidRPr="00A5226D">
        <w:rPr>
          <w:b w:val="0"/>
        </w:rPr>
      </w:r>
      <w:r w:rsidR="0004142E" w:rsidRPr="00A5226D">
        <w:rPr>
          <w:b w:val="0"/>
        </w:rPr>
        <w:fldChar w:fldCharType="separate"/>
      </w:r>
      <w:r w:rsidR="00FE2695">
        <w:rPr>
          <w:b w:val="0"/>
        </w:rPr>
        <w:t>7</w:t>
      </w:r>
      <w:r w:rsidR="0004142E" w:rsidRPr="00A5226D">
        <w:rPr>
          <w:b w:val="0"/>
        </w:rPr>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4.6</w:t>
      </w:r>
      <w:r w:rsidRPr="00A5226D">
        <w:rPr>
          <w:rFonts w:asciiTheme="minorHAnsi" w:eastAsiaTheme="minorEastAsia" w:hAnsiTheme="minorHAnsi" w:cstheme="minorBidi"/>
          <w:b w:val="0"/>
          <w:color w:val="auto"/>
          <w:sz w:val="22"/>
          <w:szCs w:val="22"/>
          <w:lang w:eastAsia="en-AU"/>
        </w:rPr>
        <w:tab/>
      </w:r>
      <w:r w:rsidRPr="00A5226D">
        <w:rPr>
          <w:b w:val="0"/>
        </w:rPr>
        <w:t>Annual Adjustment</w:t>
      </w:r>
      <w:r w:rsidRPr="00A5226D">
        <w:rPr>
          <w:b w:val="0"/>
        </w:rPr>
        <w:tab/>
      </w:r>
      <w:r w:rsidR="0004142E" w:rsidRPr="00A5226D">
        <w:rPr>
          <w:b w:val="0"/>
        </w:rPr>
        <w:fldChar w:fldCharType="begin"/>
      </w:r>
      <w:r w:rsidRPr="00A5226D">
        <w:rPr>
          <w:b w:val="0"/>
        </w:rPr>
        <w:instrText xml:space="preserve"> PAGEREF _Toc377542677 \h </w:instrText>
      </w:r>
      <w:r w:rsidR="0004142E" w:rsidRPr="00A5226D">
        <w:rPr>
          <w:b w:val="0"/>
        </w:rPr>
      </w:r>
      <w:r w:rsidR="0004142E" w:rsidRPr="00A5226D">
        <w:rPr>
          <w:b w:val="0"/>
        </w:rPr>
        <w:fldChar w:fldCharType="separate"/>
      </w:r>
      <w:r w:rsidR="00FE2695">
        <w:rPr>
          <w:b w:val="0"/>
        </w:rPr>
        <w:t>8</w:t>
      </w:r>
      <w:r w:rsidR="0004142E" w:rsidRPr="00A5226D">
        <w:rPr>
          <w:b w:val="0"/>
        </w:rPr>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4.7</w:t>
      </w:r>
      <w:r w:rsidRPr="00A5226D">
        <w:rPr>
          <w:rFonts w:asciiTheme="minorHAnsi" w:eastAsiaTheme="minorEastAsia" w:hAnsiTheme="minorHAnsi" w:cstheme="minorBidi"/>
          <w:b w:val="0"/>
          <w:color w:val="auto"/>
          <w:sz w:val="22"/>
          <w:szCs w:val="22"/>
          <w:lang w:eastAsia="en-AU"/>
        </w:rPr>
        <w:tab/>
      </w:r>
      <w:r w:rsidRPr="00A5226D">
        <w:rPr>
          <w:b w:val="0"/>
        </w:rPr>
        <w:t>Rebate/Concessions/National Charges</w:t>
      </w:r>
      <w:r w:rsidRPr="00A5226D">
        <w:rPr>
          <w:b w:val="0"/>
        </w:rPr>
        <w:tab/>
      </w:r>
      <w:r w:rsidR="0004142E" w:rsidRPr="00A5226D">
        <w:rPr>
          <w:b w:val="0"/>
        </w:rPr>
        <w:fldChar w:fldCharType="begin"/>
      </w:r>
      <w:r w:rsidRPr="00A5226D">
        <w:rPr>
          <w:b w:val="0"/>
        </w:rPr>
        <w:instrText xml:space="preserve"> PAGEREF _Toc377542678 \h </w:instrText>
      </w:r>
      <w:r w:rsidR="0004142E" w:rsidRPr="00A5226D">
        <w:rPr>
          <w:b w:val="0"/>
        </w:rPr>
      </w:r>
      <w:r w:rsidR="0004142E" w:rsidRPr="00A5226D">
        <w:rPr>
          <w:b w:val="0"/>
        </w:rPr>
        <w:fldChar w:fldCharType="separate"/>
      </w:r>
      <w:r w:rsidR="00FE2695">
        <w:rPr>
          <w:b w:val="0"/>
        </w:rPr>
        <w:t>9</w:t>
      </w:r>
      <w:r w:rsidR="0004142E" w:rsidRPr="00A5226D">
        <w:rPr>
          <w:b w:val="0"/>
        </w:rPr>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4.8</w:t>
      </w:r>
      <w:r w:rsidRPr="00A5226D">
        <w:rPr>
          <w:rFonts w:asciiTheme="minorHAnsi" w:eastAsiaTheme="minorEastAsia" w:hAnsiTheme="minorHAnsi" w:cstheme="minorBidi"/>
          <w:b w:val="0"/>
          <w:color w:val="auto"/>
          <w:sz w:val="22"/>
          <w:szCs w:val="22"/>
          <w:lang w:eastAsia="en-AU"/>
        </w:rPr>
        <w:tab/>
      </w:r>
      <w:r w:rsidRPr="00A5226D">
        <w:rPr>
          <w:b w:val="0"/>
        </w:rPr>
        <w:t>NHVR funding</w:t>
      </w:r>
      <w:r w:rsidRPr="00A5226D">
        <w:rPr>
          <w:b w:val="0"/>
        </w:rPr>
        <w:tab/>
      </w:r>
      <w:r w:rsidR="0004142E" w:rsidRPr="00A5226D">
        <w:rPr>
          <w:b w:val="0"/>
        </w:rPr>
        <w:fldChar w:fldCharType="begin"/>
      </w:r>
      <w:r w:rsidRPr="00A5226D">
        <w:rPr>
          <w:b w:val="0"/>
        </w:rPr>
        <w:instrText xml:space="preserve"> PAGEREF _Toc377542679 \h </w:instrText>
      </w:r>
      <w:r w:rsidR="0004142E" w:rsidRPr="00A5226D">
        <w:rPr>
          <w:b w:val="0"/>
        </w:rPr>
      </w:r>
      <w:r w:rsidR="0004142E" w:rsidRPr="00A5226D">
        <w:rPr>
          <w:b w:val="0"/>
        </w:rPr>
        <w:fldChar w:fldCharType="separate"/>
      </w:r>
      <w:r w:rsidR="00FE2695">
        <w:rPr>
          <w:b w:val="0"/>
        </w:rPr>
        <w:t>10</w:t>
      </w:r>
      <w:r w:rsidR="0004142E" w:rsidRPr="00A5226D">
        <w:rPr>
          <w:b w:val="0"/>
        </w:rPr>
        <w:fldChar w:fldCharType="end"/>
      </w:r>
    </w:p>
    <w:p w:rsidR="00A5226D" w:rsidRDefault="00A5226D">
      <w:pPr>
        <w:pStyle w:val="TOC1"/>
        <w:rPr>
          <w:rFonts w:asciiTheme="minorHAnsi" w:eastAsiaTheme="minorEastAsia" w:hAnsiTheme="minorHAnsi" w:cstheme="minorBidi"/>
          <w:b w:val="0"/>
          <w:color w:val="auto"/>
          <w:sz w:val="22"/>
          <w:szCs w:val="22"/>
          <w:lang w:eastAsia="en-AU"/>
        </w:rPr>
      </w:pPr>
      <w:r w:rsidRPr="00951C0A">
        <w:t>5.</w:t>
      </w:r>
      <w:r>
        <w:rPr>
          <w:rFonts w:asciiTheme="minorHAnsi" w:eastAsiaTheme="minorEastAsia" w:hAnsiTheme="minorHAnsi" w:cstheme="minorBidi"/>
          <w:b w:val="0"/>
          <w:color w:val="auto"/>
          <w:sz w:val="22"/>
          <w:szCs w:val="22"/>
          <w:lang w:eastAsia="en-AU"/>
        </w:rPr>
        <w:tab/>
      </w:r>
      <w:r>
        <w:t>NTC Heavy vehicle charging options</w:t>
      </w:r>
      <w:r>
        <w:tab/>
      </w:r>
      <w:r w:rsidR="0004142E">
        <w:fldChar w:fldCharType="begin"/>
      </w:r>
      <w:r>
        <w:instrText xml:space="preserve"> PAGEREF _Toc377542680 \h </w:instrText>
      </w:r>
      <w:r w:rsidR="0004142E">
        <w:fldChar w:fldCharType="separate"/>
      </w:r>
      <w:r w:rsidR="00FE2695">
        <w:t>11</w:t>
      </w:r>
      <w:r w:rsidR="0004142E">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5.1</w:t>
      </w:r>
      <w:r w:rsidRPr="00A5226D">
        <w:rPr>
          <w:rFonts w:asciiTheme="minorHAnsi" w:eastAsiaTheme="minorEastAsia" w:hAnsiTheme="minorHAnsi" w:cstheme="minorBidi"/>
          <w:b w:val="0"/>
          <w:color w:val="auto"/>
          <w:sz w:val="22"/>
          <w:szCs w:val="22"/>
          <w:lang w:eastAsia="en-AU"/>
        </w:rPr>
        <w:tab/>
      </w:r>
      <w:r w:rsidRPr="00A5226D">
        <w:rPr>
          <w:b w:val="0"/>
        </w:rPr>
        <w:t>Transitional arrangements</w:t>
      </w:r>
      <w:r w:rsidRPr="00A5226D">
        <w:rPr>
          <w:b w:val="0"/>
        </w:rPr>
        <w:tab/>
      </w:r>
      <w:r w:rsidR="0004142E" w:rsidRPr="00A5226D">
        <w:rPr>
          <w:b w:val="0"/>
        </w:rPr>
        <w:fldChar w:fldCharType="begin"/>
      </w:r>
      <w:r w:rsidRPr="00A5226D">
        <w:rPr>
          <w:b w:val="0"/>
        </w:rPr>
        <w:instrText xml:space="preserve"> PAGEREF _Toc377542681 \h </w:instrText>
      </w:r>
      <w:r w:rsidR="0004142E" w:rsidRPr="00A5226D">
        <w:rPr>
          <w:b w:val="0"/>
        </w:rPr>
      </w:r>
      <w:r w:rsidR="0004142E" w:rsidRPr="00A5226D">
        <w:rPr>
          <w:b w:val="0"/>
        </w:rPr>
        <w:fldChar w:fldCharType="separate"/>
      </w:r>
      <w:r w:rsidR="00FE2695">
        <w:rPr>
          <w:b w:val="0"/>
        </w:rPr>
        <w:t>13</w:t>
      </w:r>
      <w:r w:rsidR="0004142E" w:rsidRPr="00A5226D">
        <w:rPr>
          <w:b w:val="0"/>
        </w:rPr>
        <w:fldChar w:fldCharType="end"/>
      </w:r>
    </w:p>
    <w:p w:rsidR="00A5226D" w:rsidRPr="00A5226D" w:rsidRDefault="00A5226D" w:rsidP="00A5226D">
      <w:pPr>
        <w:pStyle w:val="TOC1"/>
        <w:spacing w:before="0" w:after="0"/>
        <w:rPr>
          <w:rFonts w:asciiTheme="minorHAnsi" w:eastAsiaTheme="minorEastAsia" w:hAnsiTheme="minorHAnsi" w:cstheme="minorBidi"/>
          <w:b w:val="0"/>
          <w:color w:val="auto"/>
          <w:sz w:val="22"/>
          <w:szCs w:val="22"/>
          <w:lang w:eastAsia="en-AU"/>
        </w:rPr>
      </w:pPr>
      <w:r w:rsidRPr="00A5226D">
        <w:rPr>
          <w:b w:val="0"/>
        </w:rPr>
        <w:t>5.2</w:t>
      </w:r>
      <w:r w:rsidRPr="00A5226D">
        <w:rPr>
          <w:rFonts w:asciiTheme="minorHAnsi" w:eastAsiaTheme="minorEastAsia" w:hAnsiTheme="minorHAnsi" w:cstheme="minorBidi"/>
          <w:b w:val="0"/>
          <w:color w:val="auto"/>
          <w:sz w:val="22"/>
          <w:szCs w:val="22"/>
          <w:lang w:eastAsia="en-AU"/>
        </w:rPr>
        <w:tab/>
      </w:r>
      <w:r w:rsidRPr="00A5226D">
        <w:rPr>
          <w:b w:val="0"/>
        </w:rPr>
        <w:t>ATA proposed transition</w:t>
      </w:r>
      <w:r w:rsidRPr="00A5226D">
        <w:rPr>
          <w:b w:val="0"/>
        </w:rPr>
        <w:tab/>
      </w:r>
      <w:r w:rsidR="0004142E" w:rsidRPr="00A5226D">
        <w:rPr>
          <w:b w:val="0"/>
        </w:rPr>
        <w:fldChar w:fldCharType="begin"/>
      </w:r>
      <w:r w:rsidRPr="00A5226D">
        <w:rPr>
          <w:b w:val="0"/>
        </w:rPr>
        <w:instrText xml:space="preserve"> PAGEREF _Toc377542682 \h </w:instrText>
      </w:r>
      <w:r w:rsidR="0004142E" w:rsidRPr="00A5226D">
        <w:rPr>
          <w:b w:val="0"/>
        </w:rPr>
      </w:r>
      <w:r w:rsidR="0004142E" w:rsidRPr="00A5226D">
        <w:rPr>
          <w:b w:val="0"/>
        </w:rPr>
        <w:fldChar w:fldCharType="separate"/>
      </w:r>
      <w:r w:rsidR="00FE2695">
        <w:rPr>
          <w:b w:val="0"/>
        </w:rPr>
        <w:t>14</w:t>
      </w:r>
      <w:r w:rsidR="0004142E" w:rsidRPr="00A5226D">
        <w:rPr>
          <w:b w:val="0"/>
        </w:rPr>
        <w:fldChar w:fldCharType="end"/>
      </w:r>
    </w:p>
    <w:p w:rsidR="00241C15" w:rsidRPr="00DA1C78" w:rsidRDefault="0004142E" w:rsidP="001025C9">
      <w:pPr>
        <w:tabs>
          <w:tab w:val="right" w:leader="dot" w:pos="9645"/>
        </w:tabs>
        <w:jc w:val="both"/>
        <w:rPr>
          <w:rFonts w:ascii="Arial" w:hAnsi="Arial" w:cs="Arial"/>
          <w:szCs w:val="20"/>
        </w:rPr>
      </w:pPr>
      <w:r w:rsidRPr="00DA1C78">
        <w:rPr>
          <w:rFonts w:ascii="Arial" w:hAnsi="Arial" w:cs="Arial"/>
          <w:szCs w:val="24"/>
        </w:rPr>
        <w:fldChar w:fldCharType="end"/>
      </w:r>
    </w:p>
    <w:p w:rsidR="00576ED0" w:rsidRPr="001D46D2" w:rsidRDefault="000C19AA" w:rsidP="001025C9">
      <w:pPr>
        <w:jc w:val="both"/>
        <w:rPr>
          <w:rFonts w:ascii="Arial" w:hAnsi="Arial" w:cs="Arial"/>
          <w:sz w:val="20"/>
          <w:szCs w:val="20"/>
        </w:rPr>
      </w:pPr>
      <w:r w:rsidRPr="00DA1C78">
        <w:rPr>
          <w:rFonts w:ascii="Arial" w:hAnsi="Arial" w:cs="Arial"/>
          <w:szCs w:val="20"/>
        </w:rPr>
        <w:t xml:space="preserve">Note: At time of writing, NTC figures provided </w:t>
      </w:r>
      <w:r w:rsidR="001023CB" w:rsidRPr="00DA1C78">
        <w:rPr>
          <w:rFonts w:ascii="Arial" w:hAnsi="Arial" w:cs="Arial"/>
          <w:szCs w:val="20"/>
        </w:rPr>
        <w:t>to stakeholders were</w:t>
      </w:r>
      <w:r w:rsidRPr="00DA1C78">
        <w:rPr>
          <w:rFonts w:ascii="Arial" w:hAnsi="Arial" w:cs="Arial"/>
          <w:szCs w:val="20"/>
        </w:rPr>
        <w:t xml:space="preserve"> draft and conclusions made on those numbers are subject to review</w:t>
      </w:r>
      <w:r w:rsidR="00F24AA1" w:rsidRPr="00DA1C78">
        <w:rPr>
          <w:rFonts w:ascii="Arial" w:hAnsi="Arial" w:cs="Arial"/>
          <w:szCs w:val="20"/>
        </w:rPr>
        <w:t xml:space="preserve"> pending the final NTC RIS</w:t>
      </w:r>
      <w:r w:rsidRPr="00DA1C78">
        <w:rPr>
          <w:rFonts w:ascii="Arial" w:hAnsi="Arial" w:cs="Arial"/>
          <w:szCs w:val="20"/>
        </w:rPr>
        <w:t xml:space="preserve">. </w:t>
      </w:r>
      <w:r w:rsidR="00576ED0" w:rsidRPr="001D46D2">
        <w:rPr>
          <w:rFonts w:ascii="Arial" w:hAnsi="Arial" w:cs="Arial"/>
          <w:sz w:val="20"/>
          <w:szCs w:val="20"/>
        </w:rPr>
        <w:br w:type="page"/>
      </w:r>
    </w:p>
    <w:p w:rsidR="000C19AA" w:rsidRPr="001D46D2" w:rsidRDefault="000C19AA" w:rsidP="001025C9">
      <w:pPr>
        <w:jc w:val="both"/>
        <w:rPr>
          <w:rFonts w:ascii="Arial" w:hAnsi="Arial" w:cs="Arial"/>
          <w:b/>
          <w:sz w:val="20"/>
          <w:szCs w:val="20"/>
        </w:rPr>
      </w:pPr>
    </w:p>
    <w:p w:rsidR="00576ED0" w:rsidRPr="001D46D2" w:rsidRDefault="00576ED0" w:rsidP="001025C9">
      <w:pPr>
        <w:pStyle w:val="Heading1"/>
        <w:jc w:val="both"/>
        <w:rPr>
          <w:szCs w:val="20"/>
        </w:rPr>
      </w:pPr>
      <w:bookmarkStart w:id="0" w:name="_Toc377542668"/>
      <w:r w:rsidRPr="001D46D2">
        <w:rPr>
          <w:szCs w:val="20"/>
        </w:rPr>
        <w:t>Introduction</w:t>
      </w:r>
      <w:bookmarkEnd w:id="0"/>
    </w:p>
    <w:p w:rsidR="00D17563" w:rsidRPr="001D46D2" w:rsidRDefault="00D17563" w:rsidP="001025C9">
      <w:pPr>
        <w:jc w:val="both"/>
        <w:rPr>
          <w:rFonts w:ascii="Arial" w:hAnsi="Arial" w:cs="Arial"/>
          <w:sz w:val="20"/>
          <w:szCs w:val="20"/>
        </w:rPr>
      </w:pPr>
    </w:p>
    <w:p w:rsidR="006663BD" w:rsidRPr="001D46D2" w:rsidRDefault="006663BD" w:rsidP="006663BD">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w:t>
      </w:r>
      <w:r w:rsidR="00A256C3" w:rsidRPr="001D46D2">
        <w:rPr>
          <w:rFonts w:ascii="Arial" w:hAnsi="Arial" w:cs="Arial"/>
          <w:sz w:val="20"/>
          <w:szCs w:val="20"/>
          <w:highlight w:val="white"/>
          <w:lang w:eastAsia="en-AU"/>
        </w:rPr>
        <w:t xml:space="preserve">National Transport Commission (NTC) Draft Regulatory Impact Statement (RIS) </w:t>
      </w:r>
      <w:r w:rsidRPr="001D46D2">
        <w:rPr>
          <w:rFonts w:ascii="Arial" w:hAnsi="Arial" w:cs="Arial"/>
          <w:sz w:val="20"/>
          <w:szCs w:val="20"/>
          <w:highlight w:val="white"/>
          <w:lang w:eastAsia="en-AU"/>
        </w:rPr>
        <w:t>paper accurately reflects the issues indus</w:t>
      </w:r>
      <w:r w:rsidR="00A256C3" w:rsidRPr="001D46D2">
        <w:rPr>
          <w:rFonts w:ascii="Arial" w:hAnsi="Arial" w:cs="Arial"/>
          <w:sz w:val="20"/>
          <w:szCs w:val="20"/>
          <w:highlight w:val="white"/>
          <w:lang w:eastAsia="en-AU"/>
        </w:rPr>
        <w:t>try raised with the NTC in the charges determination</w:t>
      </w:r>
      <w:r w:rsidRPr="001D46D2">
        <w:rPr>
          <w:rFonts w:ascii="Arial" w:hAnsi="Arial" w:cs="Arial"/>
          <w:sz w:val="20"/>
          <w:szCs w:val="20"/>
          <w:highlight w:val="white"/>
          <w:lang w:eastAsia="en-AU"/>
        </w:rPr>
        <w:t xml:space="preserve">. The recommendations the NTC have proposed </w:t>
      </w:r>
      <w:r w:rsidR="00D34A5C" w:rsidRPr="001D46D2">
        <w:rPr>
          <w:rFonts w:ascii="Arial" w:hAnsi="Arial" w:cs="Arial"/>
          <w:sz w:val="20"/>
          <w:szCs w:val="20"/>
          <w:highlight w:val="white"/>
          <w:lang w:eastAsia="en-AU"/>
        </w:rPr>
        <w:t xml:space="preserve">in the RIS </w:t>
      </w:r>
      <w:r w:rsidRPr="001D46D2">
        <w:rPr>
          <w:rFonts w:ascii="Arial" w:hAnsi="Arial" w:cs="Arial"/>
          <w:sz w:val="20"/>
          <w:szCs w:val="20"/>
          <w:highlight w:val="white"/>
          <w:lang w:eastAsia="en-AU"/>
        </w:rPr>
        <w:t xml:space="preserve">are the result of transparent and respectful consultation with all stakeholders. </w:t>
      </w:r>
      <w:r w:rsidR="00D34A5C" w:rsidRPr="001D46D2">
        <w:rPr>
          <w:rFonts w:ascii="Arial" w:hAnsi="Arial" w:cs="Arial"/>
          <w:sz w:val="20"/>
          <w:szCs w:val="20"/>
          <w:highlight w:val="white"/>
          <w:lang w:eastAsia="en-AU"/>
        </w:rPr>
        <w:t xml:space="preserve"> </w:t>
      </w:r>
    </w:p>
    <w:p w:rsidR="006663BD" w:rsidRPr="001D46D2" w:rsidRDefault="006663BD" w:rsidP="006663BD">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proposed options, such as increasing the variable fuel component, </w:t>
      </w:r>
      <w:r w:rsidR="00281EFE" w:rsidRPr="001D46D2">
        <w:rPr>
          <w:rFonts w:ascii="Arial" w:hAnsi="Arial" w:cs="Arial"/>
          <w:sz w:val="20"/>
          <w:szCs w:val="20"/>
          <w:highlight w:val="white"/>
          <w:lang w:eastAsia="en-AU"/>
        </w:rPr>
        <w:t>are consistent with the ATA’s approach and the findings of the PwC report into road supply and charging. This would</w:t>
      </w:r>
      <w:r w:rsidRPr="001D46D2">
        <w:rPr>
          <w:rFonts w:ascii="Arial" w:hAnsi="Arial" w:cs="Arial"/>
          <w:sz w:val="20"/>
          <w:szCs w:val="20"/>
          <w:highlight w:val="white"/>
          <w:lang w:eastAsia="en-AU"/>
        </w:rPr>
        <w:t xml:space="preserve"> improve the PayGo model by reflecting use of infrastructure, easing cash flow constraints and making operating costs easier to pass on</w:t>
      </w:r>
      <w:r w:rsidR="006F73DA">
        <w:rPr>
          <w:rFonts w:ascii="Arial" w:hAnsi="Arial" w:cs="Arial"/>
          <w:sz w:val="20"/>
          <w:szCs w:val="20"/>
          <w:highlight w:val="white"/>
          <w:lang w:eastAsia="en-AU"/>
        </w:rPr>
        <w:t xml:space="preserve"> </w:t>
      </w:r>
      <w:r w:rsidRPr="001D46D2">
        <w:rPr>
          <w:rFonts w:ascii="Arial" w:hAnsi="Arial" w:cs="Arial"/>
          <w:sz w:val="20"/>
          <w:szCs w:val="20"/>
          <w:highlight w:val="white"/>
          <w:lang w:eastAsia="en-AU"/>
        </w:rPr>
        <w:t xml:space="preserve">to clients. </w:t>
      </w:r>
    </w:p>
    <w:p w:rsidR="006663BD" w:rsidRPr="001D46D2" w:rsidRDefault="006663BD" w:rsidP="006663BD">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Simplifying the charges schedule for industry by treating trailers consistently as one class supports the modular use of different trailers and operator desire to use high productivity vehicle combinations, which are safer than traditional combinations. </w:t>
      </w:r>
    </w:p>
    <w:p w:rsidR="006663BD" w:rsidRPr="001D46D2" w:rsidRDefault="006663BD" w:rsidP="006663BD">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Axle group charging for trailers would improve the PayGo model by recognising that sharing loads over </w:t>
      </w:r>
      <w:r w:rsidR="006F73DA">
        <w:rPr>
          <w:rFonts w:ascii="Arial" w:hAnsi="Arial" w:cs="Arial"/>
          <w:sz w:val="20"/>
          <w:szCs w:val="20"/>
          <w:highlight w:val="white"/>
          <w:lang w:eastAsia="en-AU"/>
        </w:rPr>
        <w:t xml:space="preserve">a </w:t>
      </w:r>
      <w:r w:rsidRPr="001D46D2">
        <w:rPr>
          <w:rFonts w:ascii="Arial" w:hAnsi="Arial" w:cs="Arial"/>
          <w:sz w:val="20"/>
          <w:szCs w:val="20"/>
          <w:highlight w:val="white"/>
          <w:lang w:eastAsia="en-AU"/>
        </w:rPr>
        <w:t xml:space="preserve">greater </w:t>
      </w:r>
      <w:r w:rsidR="00A873DD" w:rsidRPr="001D46D2">
        <w:rPr>
          <w:rFonts w:ascii="Arial" w:hAnsi="Arial" w:cs="Arial"/>
          <w:sz w:val="20"/>
          <w:szCs w:val="20"/>
          <w:highlight w:val="white"/>
          <w:lang w:eastAsia="en-AU"/>
        </w:rPr>
        <w:t xml:space="preserve">number of </w:t>
      </w:r>
      <w:r w:rsidRPr="001D46D2">
        <w:rPr>
          <w:rFonts w:ascii="Arial" w:hAnsi="Arial" w:cs="Arial"/>
          <w:sz w:val="20"/>
          <w:szCs w:val="20"/>
          <w:highlight w:val="white"/>
          <w:lang w:eastAsia="en-AU"/>
        </w:rPr>
        <w:t>axles reduces pavement wear.</w:t>
      </w:r>
    </w:p>
    <w:p w:rsidR="005D0EE2" w:rsidRPr="001D46D2" w:rsidRDefault="00B51BDB" w:rsidP="00D34A5C">
      <w:pPr>
        <w:autoSpaceDE w:val="0"/>
        <w:autoSpaceDN w:val="0"/>
        <w:adjustRightInd w:val="0"/>
        <w:spacing w:after="200" w:line="276" w:lineRule="auto"/>
        <w:rPr>
          <w:rFonts w:ascii="Arial" w:hAnsi="Arial" w:cs="Arial"/>
          <w:b/>
          <w:bCs/>
          <w:i/>
          <w:iCs/>
          <w:sz w:val="20"/>
          <w:szCs w:val="20"/>
          <w:highlight w:val="white"/>
          <w:lang w:eastAsia="en-AU"/>
        </w:rPr>
      </w:pPr>
      <w:r w:rsidRPr="001D46D2">
        <w:rPr>
          <w:rFonts w:ascii="Arial" w:hAnsi="Arial" w:cs="Arial"/>
          <w:sz w:val="20"/>
          <w:szCs w:val="20"/>
          <w:highlight w:val="white"/>
          <w:lang w:eastAsia="en-AU"/>
        </w:rPr>
        <w:t>The technical updates</w:t>
      </w:r>
      <w:r w:rsidR="006663BD" w:rsidRPr="001D46D2">
        <w:rPr>
          <w:rFonts w:ascii="Arial" w:hAnsi="Arial" w:cs="Arial"/>
          <w:sz w:val="20"/>
          <w:szCs w:val="20"/>
          <w:highlight w:val="white"/>
          <w:lang w:eastAsia="en-AU"/>
        </w:rPr>
        <w:t xml:space="preserve"> of the model and methodology will increase the accuracy of the PayGo model and should extend the life of PayGo into the future.</w:t>
      </w:r>
      <w:r w:rsidR="006663BD" w:rsidRPr="001D46D2">
        <w:rPr>
          <w:rFonts w:ascii="Arial" w:hAnsi="Arial" w:cs="Arial"/>
          <w:b/>
          <w:bCs/>
          <w:i/>
          <w:iCs/>
          <w:sz w:val="20"/>
          <w:szCs w:val="20"/>
          <w:highlight w:val="white"/>
          <w:lang w:eastAsia="en-AU"/>
        </w:rPr>
        <w:tab/>
      </w:r>
    </w:p>
    <w:p w:rsidR="00A53730" w:rsidRPr="001D46D2" w:rsidRDefault="00A53730" w:rsidP="00A53730">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ATA provided evidence to the then opposition Transport Minister </w:t>
      </w:r>
      <w:r w:rsidR="006F73DA">
        <w:rPr>
          <w:rFonts w:ascii="Arial" w:hAnsi="Arial" w:cs="Arial"/>
          <w:sz w:val="20"/>
          <w:szCs w:val="20"/>
          <w:highlight w:val="white"/>
          <w:lang w:eastAsia="en-AU"/>
        </w:rPr>
        <w:t xml:space="preserve">the Honourable Warren Truss MP, </w:t>
      </w:r>
      <w:r w:rsidRPr="001D46D2">
        <w:rPr>
          <w:rFonts w:ascii="Arial" w:hAnsi="Arial" w:cs="Arial"/>
          <w:sz w:val="20"/>
          <w:szCs w:val="20"/>
          <w:highlight w:val="white"/>
          <w:lang w:eastAsia="en-AU"/>
        </w:rPr>
        <w:t xml:space="preserve">about the over-recovery the PayGo model was causing to industry. This resulted in a </w:t>
      </w:r>
      <w:r w:rsidR="00AC1142">
        <w:rPr>
          <w:rFonts w:ascii="Arial" w:hAnsi="Arial" w:cs="Arial"/>
          <w:sz w:val="20"/>
          <w:szCs w:val="20"/>
          <w:highlight w:val="white"/>
          <w:lang w:eastAsia="en-AU"/>
        </w:rPr>
        <w:t xml:space="preserve">road user charge (RUC) </w:t>
      </w:r>
      <w:r w:rsidRPr="001D46D2">
        <w:rPr>
          <w:rFonts w:ascii="Arial" w:hAnsi="Arial" w:cs="Arial"/>
          <w:sz w:val="20"/>
          <w:szCs w:val="20"/>
          <w:highlight w:val="white"/>
          <w:lang w:eastAsia="en-AU"/>
        </w:rPr>
        <w:t>dis</w:t>
      </w:r>
      <w:r w:rsidR="00B72F22">
        <w:rPr>
          <w:rFonts w:ascii="Arial" w:hAnsi="Arial" w:cs="Arial"/>
          <w:sz w:val="20"/>
          <w:szCs w:val="20"/>
          <w:highlight w:val="white"/>
          <w:lang w:eastAsia="en-AU"/>
        </w:rPr>
        <w:t>allowance</w:t>
      </w:r>
      <w:r w:rsidRPr="001D46D2">
        <w:rPr>
          <w:rFonts w:ascii="Arial" w:hAnsi="Arial" w:cs="Arial"/>
          <w:sz w:val="20"/>
          <w:szCs w:val="20"/>
          <w:highlight w:val="white"/>
          <w:lang w:eastAsia="en-AU"/>
        </w:rPr>
        <w:t xml:space="preserve"> motion being presented in Parliament, </w:t>
      </w:r>
      <w:r w:rsidR="006F73DA">
        <w:rPr>
          <w:rFonts w:ascii="Arial" w:hAnsi="Arial" w:cs="Arial"/>
          <w:sz w:val="20"/>
          <w:szCs w:val="20"/>
          <w:highlight w:val="white"/>
          <w:lang w:eastAsia="en-AU"/>
        </w:rPr>
        <w:t>which</w:t>
      </w:r>
      <w:r w:rsidRPr="001D46D2">
        <w:rPr>
          <w:rFonts w:ascii="Arial" w:hAnsi="Arial" w:cs="Arial"/>
          <w:sz w:val="20"/>
          <w:szCs w:val="20"/>
          <w:highlight w:val="white"/>
          <w:lang w:eastAsia="en-AU"/>
        </w:rPr>
        <w:t xml:space="preserve"> was narrowly defeated. However, the NTC’s open and agnostic approach to reviewing the model has now vindicated the ATA and the Transport Minister</w:t>
      </w:r>
      <w:r w:rsidR="006F73DA">
        <w:rPr>
          <w:rFonts w:ascii="Arial" w:hAnsi="Arial" w:cs="Arial"/>
          <w:sz w:val="20"/>
          <w:szCs w:val="20"/>
          <w:highlight w:val="white"/>
          <w:lang w:eastAsia="en-AU"/>
        </w:rPr>
        <w:t>’s</w:t>
      </w:r>
      <w:r w:rsidRPr="001D46D2">
        <w:rPr>
          <w:rFonts w:ascii="Arial" w:hAnsi="Arial" w:cs="Arial"/>
          <w:sz w:val="20"/>
          <w:szCs w:val="20"/>
          <w:highlight w:val="white"/>
          <w:lang w:eastAsia="en-AU"/>
        </w:rPr>
        <w:t xml:space="preserve"> efforts to push for reform of the PayGo model.  </w:t>
      </w:r>
    </w:p>
    <w:p w:rsidR="00A21469" w:rsidRPr="00A21469" w:rsidRDefault="003C1F90" w:rsidP="00A21469">
      <w:pPr>
        <w:pStyle w:val="BodyText2"/>
        <w:spacing w:line="269" w:lineRule="auto"/>
        <w:rPr>
          <w:rFonts w:eastAsia="Calibri"/>
          <w:b w:val="0"/>
          <w:bCs w:val="0"/>
          <w:sz w:val="20"/>
          <w:highlight w:val="white"/>
          <w:lang w:eastAsia="en-AU"/>
        </w:rPr>
      </w:pPr>
      <w:r w:rsidRPr="00A21469">
        <w:rPr>
          <w:rFonts w:eastAsia="Calibri"/>
          <w:b w:val="0"/>
          <w:bCs w:val="0"/>
          <w:sz w:val="20"/>
          <w:highlight w:val="white"/>
          <w:lang w:eastAsia="en-AU"/>
        </w:rPr>
        <w:t>This reform also offers a way to make sure that the PayGo charges are once again nationally consistent, as W</w:t>
      </w:r>
      <w:r w:rsidR="00B51BDB" w:rsidRPr="00A21469">
        <w:rPr>
          <w:rFonts w:eastAsia="Calibri"/>
          <w:b w:val="0"/>
          <w:bCs w:val="0"/>
          <w:sz w:val="20"/>
          <w:highlight w:val="white"/>
          <w:lang w:eastAsia="en-AU"/>
        </w:rPr>
        <w:t xml:space="preserve">estern </w:t>
      </w:r>
      <w:r w:rsidRPr="00A21469">
        <w:rPr>
          <w:rFonts w:eastAsia="Calibri"/>
          <w:b w:val="0"/>
          <w:bCs w:val="0"/>
          <w:sz w:val="20"/>
          <w:highlight w:val="white"/>
          <w:lang w:eastAsia="en-AU"/>
        </w:rPr>
        <w:t>A</w:t>
      </w:r>
      <w:r w:rsidR="00B51BDB" w:rsidRPr="00A21469">
        <w:rPr>
          <w:rFonts w:eastAsia="Calibri"/>
          <w:b w:val="0"/>
          <w:bCs w:val="0"/>
          <w:sz w:val="20"/>
          <w:highlight w:val="white"/>
          <w:lang w:eastAsia="en-AU"/>
        </w:rPr>
        <w:t>ustralia, South Australia</w:t>
      </w:r>
      <w:r w:rsidRPr="00A21469">
        <w:rPr>
          <w:rFonts w:eastAsia="Calibri"/>
          <w:b w:val="0"/>
          <w:bCs w:val="0"/>
          <w:sz w:val="20"/>
          <w:highlight w:val="white"/>
          <w:lang w:eastAsia="en-AU"/>
        </w:rPr>
        <w:t xml:space="preserve"> and</w:t>
      </w:r>
      <w:r w:rsidR="00B51BDB" w:rsidRPr="00A21469">
        <w:rPr>
          <w:rFonts w:eastAsia="Calibri"/>
          <w:b w:val="0"/>
          <w:bCs w:val="0"/>
          <w:sz w:val="20"/>
          <w:highlight w:val="white"/>
          <w:lang w:eastAsia="en-AU"/>
        </w:rPr>
        <w:t xml:space="preserve"> the</w:t>
      </w:r>
      <w:r w:rsidRPr="00A21469">
        <w:rPr>
          <w:rFonts w:eastAsia="Calibri"/>
          <w:b w:val="0"/>
          <w:bCs w:val="0"/>
          <w:sz w:val="20"/>
          <w:highlight w:val="white"/>
          <w:lang w:eastAsia="en-AU"/>
        </w:rPr>
        <w:t xml:space="preserve"> </w:t>
      </w:r>
      <w:r w:rsidR="00B51BDB" w:rsidRPr="00A21469">
        <w:rPr>
          <w:rFonts w:eastAsia="Calibri"/>
          <w:b w:val="0"/>
          <w:bCs w:val="0"/>
          <w:sz w:val="20"/>
          <w:highlight w:val="white"/>
          <w:lang w:eastAsia="en-AU"/>
        </w:rPr>
        <w:t>Northern Territory</w:t>
      </w:r>
      <w:r w:rsidRPr="00A21469">
        <w:rPr>
          <w:rFonts w:eastAsia="Calibri"/>
          <w:b w:val="0"/>
          <w:bCs w:val="0"/>
          <w:sz w:val="20"/>
          <w:highlight w:val="white"/>
          <w:lang w:eastAsia="en-AU"/>
        </w:rPr>
        <w:t xml:space="preserve"> did not adopt the 2012-2013 </w:t>
      </w:r>
      <w:r w:rsidR="00B51BDB" w:rsidRPr="00A21469">
        <w:rPr>
          <w:rFonts w:eastAsia="Calibri"/>
          <w:b w:val="0"/>
          <w:bCs w:val="0"/>
          <w:sz w:val="20"/>
          <w:highlight w:val="white"/>
          <w:lang w:eastAsia="en-AU"/>
        </w:rPr>
        <w:t xml:space="preserve">NTC </w:t>
      </w:r>
      <w:r w:rsidRPr="00A21469">
        <w:rPr>
          <w:rFonts w:eastAsia="Calibri"/>
          <w:b w:val="0"/>
          <w:bCs w:val="0"/>
          <w:sz w:val="20"/>
          <w:highlight w:val="white"/>
          <w:lang w:eastAsia="en-AU"/>
        </w:rPr>
        <w:t>charges recommendations</w:t>
      </w:r>
      <w:r w:rsidR="00182648" w:rsidRPr="00A21469">
        <w:rPr>
          <w:rFonts w:eastAsia="Calibri"/>
          <w:b w:val="0"/>
          <w:bCs w:val="0"/>
          <w:sz w:val="20"/>
          <w:highlight w:val="white"/>
          <w:lang w:eastAsia="en-AU"/>
        </w:rPr>
        <w:t xml:space="preserve"> due to industry concerns</w:t>
      </w:r>
      <w:r w:rsidRPr="00A21469">
        <w:rPr>
          <w:rFonts w:eastAsia="Calibri"/>
          <w:b w:val="0"/>
          <w:bCs w:val="0"/>
          <w:sz w:val="20"/>
          <w:highlight w:val="white"/>
          <w:lang w:eastAsia="en-AU"/>
        </w:rPr>
        <w:t xml:space="preserve">. </w:t>
      </w:r>
    </w:p>
    <w:p w:rsidR="00A21469" w:rsidRPr="00A21469" w:rsidRDefault="00A21469" w:rsidP="00A21469">
      <w:pPr>
        <w:pStyle w:val="BodyText2"/>
        <w:spacing w:line="269" w:lineRule="auto"/>
        <w:rPr>
          <w:rFonts w:eastAsia="Calibri"/>
          <w:b w:val="0"/>
          <w:bCs w:val="0"/>
          <w:sz w:val="20"/>
        </w:rPr>
      </w:pPr>
    </w:p>
    <w:p w:rsidR="00A21469" w:rsidRPr="00A21469" w:rsidRDefault="00A21469" w:rsidP="00A21469">
      <w:pPr>
        <w:pStyle w:val="BodyText2"/>
        <w:spacing w:line="269" w:lineRule="auto"/>
        <w:rPr>
          <w:rFonts w:eastAsia="Calibri"/>
          <w:b w:val="0"/>
          <w:bCs w:val="0"/>
          <w:sz w:val="20"/>
        </w:rPr>
      </w:pPr>
    </w:p>
    <w:p w:rsidR="00576ED0" w:rsidRPr="001D46D2" w:rsidRDefault="003340FB" w:rsidP="001025C9">
      <w:pPr>
        <w:pStyle w:val="Heading1"/>
        <w:jc w:val="both"/>
        <w:rPr>
          <w:szCs w:val="20"/>
        </w:rPr>
      </w:pPr>
      <w:r w:rsidRPr="001D46D2">
        <w:rPr>
          <w:szCs w:val="20"/>
        </w:rPr>
        <w:t xml:space="preserve"> </w:t>
      </w:r>
      <w:bookmarkStart w:id="1" w:name="_Toc377542669"/>
      <w:r w:rsidRPr="001D46D2">
        <w:rPr>
          <w:szCs w:val="20"/>
        </w:rPr>
        <w:t>Australian Trucking Association</w:t>
      </w:r>
      <w:bookmarkEnd w:id="1"/>
      <w:r w:rsidRPr="001D46D2">
        <w:rPr>
          <w:szCs w:val="20"/>
        </w:rPr>
        <w:t xml:space="preserve">  </w:t>
      </w:r>
    </w:p>
    <w:p w:rsidR="004008C7" w:rsidRPr="001D46D2" w:rsidRDefault="004008C7" w:rsidP="001025C9">
      <w:pPr>
        <w:pStyle w:val="BodyText2"/>
        <w:jc w:val="both"/>
        <w:rPr>
          <w:b w:val="0"/>
          <w:sz w:val="20"/>
        </w:rPr>
      </w:pPr>
    </w:p>
    <w:p w:rsidR="00CF3600" w:rsidRPr="001D46D2" w:rsidRDefault="00CF3600" w:rsidP="00CF3600">
      <w:pPr>
        <w:pStyle w:val="BodyText2"/>
        <w:spacing w:line="269" w:lineRule="auto"/>
        <w:rPr>
          <w:rFonts w:eastAsia="Calibri"/>
          <w:b w:val="0"/>
          <w:bCs w:val="0"/>
          <w:sz w:val="20"/>
        </w:rPr>
      </w:pPr>
      <w:r w:rsidRPr="001D46D2">
        <w:rPr>
          <w:rFonts w:eastAsia="Calibri"/>
          <w:b w:val="0"/>
          <w:bCs w:val="0"/>
          <w:sz w:val="20"/>
        </w:rPr>
        <w:t xml:space="preserve">The Australian Trucking Association (ATA) is the peak body that represents the trucking industry. Its members include state and sector based trucking associations, some of the nation’s largest transport companies, and businesses with leading expertise in truck technology. </w:t>
      </w:r>
    </w:p>
    <w:p w:rsidR="006104D6" w:rsidRPr="001D46D2" w:rsidRDefault="006104D6" w:rsidP="001025C9">
      <w:pPr>
        <w:jc w:val="both"/>
        <w:rPr>
          <w:rFonts w:ascii="Arial" w:hAnsi="Arial" w:cs="Arial"/>
          <w:sz w:val="20"/>
          <w:szCs w:val="20"/>
        </w:rPr>
      </w:pPr>
    </w:p>
    <w:p w:rsidR="006B7D84" w:rsidRPr="001D46D2" w:rsidRDefault="006B7D84" w:rsidP="001025C9">
      <w:pPr>
        <w:jc w:val="both"/>
        <w:rPr>
          <w:rFonts w:ascii="Arial" w:eastAsia="Times New Roman" w:hAnsi="Arial" w:cs="Arial"/>
          <w:bCs/>
          <w:sz w:val="20"/>
          <w:szCs w:val="20"/>
        </w:rPr>
      </w:pPr>
    </w:p>
    <w:p w:rsidR="00D73280" w:rsidRPr="001D46D2" w:rsidRDefault="00907971" w:rsidP="00C05A4F">
      <w:pPr>
        <w:pStyle w:val="Heading1"/>
        <w:jc w:val="both"/>
        <w:rPr>
          <w:szCs w:val="20"/>
        </w:rPr>
      </w:pPr>
      <w:bookmarkStart w:id="2" w:name="_Toc377542670"/>
      <w:r w:rsidRPr="001D46D2">
        <w:rPr>
          <w:szCs w:val="20"/>
        </w:rPr>
        <w:t>Recommendations</w:t>
      </w:r>
      <w:bookmarkEnd w:id="2"/>
      <w:r w:rsidR="00C05A4F" w:rsidRPr="001D46D2">
        <w:rPr>
          <w:noProof/>
          <w:color w:val="000000" w:themeColor="text1"/>
          <w:szCs w:val="20"/>
        </w:rPr>
        <w:t xml:space="preserve"> </w:t>
      </w:r>
    </w:p>
    <w:p w:rsidR="00E2768A" w:rsidRPr="001D46D2" w:rsidRDefault="00E2768A" w:rsidP="00E2768A">
      <w:pPr>
        <w:autoSpaceDE w:val="0"/>
        <w:autoSpaceDN w:val="0"/>
        <w:adjustRightInd w:val="0"/>
        <w:rPr>
          <w:rFonts w:ascii="Arial" w:hAnsi="Arial" w:cs="Arial"/>
          <w:b/>
          <w:sz w:val="20"/>
          <w:szCs w:val="20"/>
          <w:highlight w:val="white"/>
          <w:lang w:eastAsia="en-AU"/>
        </w:rPr>
      </w:pPr>
    </w:p>
    <w:p w:rsidR="00E2768A" w:rsidRPr="001D46D2" w:rsidRDefault="00E2768A" w:rsidP="00E2768A">
      <w:pPr>
        <w:autoSpaceDE w:val="0"/>
        <w:autoSpaceDN w:val="0"/>
        <w:adjustRightInd w:val="0"/>
        <w:rPr>
          <w:rFonts w:ascii="Arial" w:hAnsi="Arial" w:cs="Arial"/>
          <w:b/>
          <w:sz w:val="20"/>
          <w:szCs w:val="20"/>
          <w:highlight w:val="white"/>
          <w:lang w:eastAsia="en-AU"/>
        </w:rPr>
      </w:pPr>
      <w:r w:rsidRPr="001D46D2">
        <w:rPr>
          <w:rFonts w:ascii="Arial" w:hAnsi="Arial" w:cs="Arial"/>
          <w:b/>
          <w:sz w:val="20"/>
          <w:szCs w:val="20"/>
          <w:highlight w:val="white"/>
          <w:lang w:eastAsia="en-AU"/>
        </w:rPr>
        <w:t>ATA recommendation 1</w:t>
      </w:r>
    </w:p>
    <w:p w:rsidR="00E2768A" w:rsidRPr="001D46D2" w:rsidRDefault="00E2768A" w:rsidP="00E2768A">
      <w:pPr>
        <w:autoSpaceDE w:val="0"/>
        <w:autoSpaceDN w:val="0"/>
        <w:adjustRightInd w:val="0"/>
        <w:rPr>
          <w:rFonts w:ascii="Arial" w:hAnsi="Arial" w:cs="Arial"/>
          <w:b/>
          <w:sz w:val="20"/>
          <w:szCs w:val="20"/>
          <w:highlight w:val="white"/>
          <w:lang w:eastAsia="en-AU"/>
        </w:rPr>
      </w:pPr>
    </w:p>
    <w:p w:rsidR="006F73DA" w:rsidRPr="006F73DA" w:rsidRDefault="006F73DA" w:rsidP="006F73DA">
      <w:pPr>
        <w:autoSpaceDE w:val="0"/>
        <w:autoSpaceDN w:val="0"/>
        <w:adjustRightInd w:val="0"/>
        <w:rPr>
          <w:rFonts w:ascii="Arial" w:hAnsi="Arial" w:cs="Arial"/>
          <w:sz w:val="20"/>
          <w:szCs w:val="20"/>
          <w:highlight w:val="white"/>
          <w:lang w:eastAsia="en-AU"/>
        </w:rPr>
      </w:pPr>
      <w:r w:rsidRPr="006F73DA">
        <w:rPr>
          <w:rFonts w:ascii="Arial" w:hAnsi="Arial" w:cs="Arial"/>
          <w:sz w:val="20"/>
          <w:szCs w:val="20"/>
          <w:highlight w:val="white"/>
          <w:lang w:eastAsia="en-AU"/>
        </w:rPr>
        <w:t xml:space="preserve">The ATA recommends all the NTC proposed technical updates to the PayGo model, except the NHVR funding allocation methodology, be </w:t>
      </w:r>
      <w:r>
        <w:rPr>
          <w:rFonts w:ascii="Arial" w:hAnsi="Arial" w:cs="Arial"/>
          <w:sz w:val="20"/>
          <w:szCs w:val="20"/>
          <w:highlight w:val="white"/>
          <w:lang w:eastAsia="en-AU"/>
        </w:rPr>
        <w:t>implemented by 1 July 2014,</w:t>
      </w:r>
      <w:r w:rsidRPr="006F73DA">
        <w:rPr>
          <w:rFonts w:ascii="Arial" w:hAnsi="Arial" w:cs="Arial"/>
          <w:sz w:val="20"/>
          <w:szCs w:val="20"/>
          <w:highlight w:val="white"/>
          <w:lang w:eastAsia="en-AU"/>
        </w:rPr>
        <w:t xml:space="preserve"> given industry feedback on the assumptions behind the proposed weightings of the allocation.</w:t>
      </w:r>
    </w:p>
    <w:p w:rsidR="00E2768A" w:rsidRPr="001D46D2" w:rsidRDefault="00E2768A" w:rsidP="00E2768A">
      <w:pPr>
        <w:autoSpaceDE w:val="0"/>
        <w:autoSpaceDN w:val="0"/>
        <w:adjustRightInd w:val="0"/>
        <w:rPr>
          <w:rFonts w:ascii="Arial" w:hAnsi="Arial" w:cs="Arial"/>
          <w:sz w:val="20"/>
          <w:szCs w:val="20"/>
          <w:highlight w:val="white"/>
          <w:lang w:eastAsia="en-AU"/>
        </w:rPr>
      </w:pPr>
    </w:p>
    <w:p w:rsidR="00E2768A" w:rsidRPr="001D46D2" w:rsidRDefault="00E2768A" w:rsidP="00E2768A">
      <w:pPr>
        <w:autoSpaceDE w:val="0"/>
        <w:autoSpaceDN w:val="0"/>
        <w:adjustRightInd w:val="0"/>
        <w:rPr>
          <w:rFonts w:ascii="Arial" w:hAnsi="Arial" w:cs="Arial"/>
          <w:b/>
          <w:sz w:val="20"/>
          <w:szCs w:val="20"/>
          <w:highlight w:val="white"/>
          <w:lang w:eastAsia="en-AU"/>
        </w:rPr>
      </w:pPr>
      <w:r w:rsidRPr="001D46D2">
        <w:rPr>
          <w:rFonts w:ascii="Arial" w:hAnsi="Arial" w:cs="Arial"/>
          <w:b/>
          <w:sz w:val="20"/>
          <w:szCs w:val="20"/>
          <w:highlight w:val="white"/>
          <w:lang w:eastAsia="en-AU"/>
        </w:rPr>
        <w:t>ATA Recommendation 2</w:t>
      </w:r>
    </w:p>
    <w:p w:rsidR="00E2768A" w:rsidRPr="001D46D2" w:rsidRDefault="00E2768A" w:rsidP="00E2768A">
      <w:pPr>
        <w:autoSpaceDE w:val="0"/>
        <w:autoSpaceDN w:val="0"/>
        <w:adjustRightInd w:val="0"/>
        <w:rPr>
          <w:rFonts w:ascii="Arial" w:hAnsi="Arial" w:cs="Arial"/>
          <w:sz w:val="20"/>
          <w:szCs w:val="20"/>
          <w:highlight w:val="white"/>
          <w:lang w:eastAsia="en-AU"/>
        </w:rPr>
      </w:pPr>
    </w:p>
    <w:p w:rsidR="00E2768A" w:rsidRPr="001D46D2" w:rsidRDefault="00E2768A" w:rsidP="00E2768A">
      <w:pPr>
        <w:autoSpaceDE w:val="0"/>
        <w:autoSpaceDN w:val="0"/>
        <w:adjustRightInd w:val="0"/>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ATA rejects the NTC proposal for a three year staged implementation to option A, given the $200 million over-recovery it will cause. </w:t>
      </w:r>
    </w:p>
    <w:p w:rsidR="00E2768A" w:rsidRPr="001D46D2" w:rsidRDefault="00E2768A" w:rsidP="00E2768A">
      <w:pPr>
        <w:autoSpaceDE w:val="0"/>
        <w:autoSpaceDN w:val="0"/>
        <w:adjustRightInd w:val="0"/>
        <w:rPr>
          <w:rFonts w:ascii="Arial" w:hAnsi="Arial" w:cs="Arial"/>
          <w:b/>
          <w:sz w:val="20"/>
          <w:szCs w:val="20"/>
          <w:highlight w:val="white"/>
          <w:lang w:eastAsia="en-AU"/>
        </w:rPr>
      </w:pPr>
    </w:p>
    <w:p w:rsidR="00E2768A" w:rsidRPr="001D46D2" w:rsidRDefault="00E2768A" w:rsidP="00E2768A">
      <w:pPr>
        <w:autoSpaceDE w:val="0"/>
        <w:autoSpaceDN w:val="0"/>
        <w:adjustRightInd w:val="0"/>
        <w:rPr>
          <w:rFonts w:ascii="Arial" w:hAnsi="Arial" w:cs="Arial"/>
          <w:b/>
          <w:sz w:val="20"/>
          <w:szCs w:val="20"/>
          <w:highlight w:val="white"/>
          <w:lang w:eastAsia="en-AU"/>
        </w:rPr>
      </w:pPr>
      <w:r w:rsidRPr="001D46D2">
        <w:rPr>
          <w:rFonts w:ascii="Arial" w:hAnsi="Arial" w:cs="Arial"/>
          <w:b/>
          <w:sz w:val="20"/>
          <w:szCs w:val="20"/>
          <w:highlight w:val="white"/>
          <w:lang w:eastAsia="en-AU"/>
        </w:rPr>
        <w:t>ATA recommendation 3</w:t>
      </w:r>
    </w:p>
    <w:p w:rsidR="00E2768A" w:rsidRPr="001D46D2" w:rsidRDefault="00E2768A" w:rsidP="00E2768A">
      <w:pPr>
        <w:autoSpaceDE w:val="0"/>
        <w:autoSpaceDN w:val="0"/>
        <w:adjustRightInd w:val="0"/>
        <w:rPr>
          <w:rFonts w:ascii="Arial" w:hAnsi="Arial" w:cs="Arial"/>
          <w:sz w:val="20"/>
          <w:szCs w:val="20"/>
          <w:highlight w:val="white"/>
          <w:lang w:eastAsia="en-AU"/>
        </w:rPr>
      </w:pPr>
    </w:p>
    <w:p w:rsidR="006F73DA" w:rsidRPr="006F73DA" w:rsidRDefault="006F73DA" w:rsidP="006F73DA">
      <w:pPr>
        <w:autoSpaceDE w:val="0"/>
        <w:autoSpaceDN w:val="0"/>
        <w:adjustRightInd w:val="0"/>
        <w:rPr>
          <w:rFonts w:ascii="Arial" w:hAnsi="Arial" w:cs="Arial"/>
          <w:sz w:val="20"/>
          <w:szCs w:val="20"/>
          <w:highlight w:val="white"/>
          <w:lang w:eastAsia="en-AU"/>
        </w:rPr>
      </w:pPr>
      <w:r w:rsidRPr="006F73DA">
        <w:rPr>
          <w:rFonts w:ascii="Arial" w:hAnsi="Arial" w:cs="Arial"/>
          <w:sz w:val="20"/>
          <w:szCs w:val="20"/>
          <w:highlight w:val="white"/>
          <w:lang w:eastAsia="en-AU"/>
        </w:rPr>
        <w:t xml:space="preserve">The ATA recommends option A be implemented  by 1 July 2014, moving to Option B on 1 July 2015 given government timeframes for implementing the road user charge revenue redistribution necessary with option B.   </w:t>
      </w:r>
    </w:p>
    <w:p w:rsidR="00E2768A" w:rsidRPr="001D46D2" w:rsidRDefault="00E2768A" w:rsidP="00E2768A">
      <w:pPr>
        <w:autoSpaceDE w:val="0"/>
        <w:autoSpaceDN w:val="0"/>
        <w:adjustRightInd w:val="0"/>
        <w:rPr>
          <w:rFonts w:ascii="Arial" w:hAnsi="Arial" w:cs="Arial"/>
          <w:sz w:val="20"/>
          <w:szCs w:val="20"/>
          <w:highlight w:val="white"/>
          <w:lang w:eastAsia="en-AU"/>
        </w:rPr>
      </w:pPr>
    </w:p>
    <w:p w:rsidR="00B51BDB" w:rsidRPr="001D46D2" w:rsidRDefault="00B51BDB" w:rsidP="00905C0A">
      <w:pPr>
        <w:rPr>
          <w:rFonts w:ascii="Arial" w:hAnsi="Arial" w:cs="Arial"/>
          <w:sz w:val="20"/>
          <w:szCs w:val="20"/>
        </w:rPr>
      </w:pPr>
    </w:p>
    <w:p w:rsidR="00BA4B0C" w:rsidRPr="001D46D2" w:rsidRDefault="00BA4B0C" w:rsidP="00905C0A">
      <w:pPr>
        <w:rPr>
          <w:rFonts w:ascii="Arial" w:hAnsi="Arial" w:cs="Arial"/>
          <w:sz w:val="20"/>
          <w:szCs w:val="20"/>
        </w:rPr>
      </w:pPr>
    </w:p>
    <w:p w:rsidR="0050428E" w:rsidRPr="001D46D2" w:rsidRDefault="00AE4FFB" w:rsidP="0050428E">
      <w:pPr>
        <w:pStyle w:val="Heading1"/>
        <w:jc w:val="both"/>
        <w:rPr>
          <w:szCs w:val="20"/>
        </w:rPr>
      </w:pPr>
      <w:bookmarkStart w:id="3" w:name="_Toc377542671"/>
      <w:r w:rsidRPr="001D46D2">
        <w:rPr>
          <w:szCs w:val="20"/>
        </w:rPr>
        <w:lastRenderedPageBreak/>
        <w:t>Technical improvements</w:t>
      </w:r>
      <w:bookmarkEnd w:id="3"/>
      <w:r w:rsidRPr="001D46D2">
        <w:rPr>
          <w:szCs w:val="20"/>
        </w:rPr>
        <w:t xml:space="preserve"> </w:t>
      </w:r>
    </w:p>
    <w:p w:rsidR="005D0EE2" w:rsidRPr="001D46D2" w:rsidRDefault="005D0EE2" w:rsidP="000F4057">
      <w:pPr>
        <w:pStyle w:val="Heading1"/>
        <w:numPr>
          <w:ilvl w:val="0"/>
          <w:numId w:val="0"/>
        </w:numPr>
        <w:jc w:val="both"/>
        <w:rPr>
          <w:szCs w:val="20"/>
        </w:rPr>
      </w:pPr>
      <w:bookmarkStart w:id="4" w:name="_Toc350428781"/>
      <w:bookmarkStart w:id="5" w:name="_Toc350430046"/>
      <w:bookmarkStart w:id="6" w:name="_Toc350863674"/>
      <w:bookmarkStart w:id="7" w:name="_Toc350863781"/>
      <w:bookmarkStart w:id="8" w:name="_Toc351015747"/>
      <w:bookmarkStart w:id="9" w:name="_Toc351031262"/>
      <w:bookmarkStart w:id="10" w:name="_Toc351626128"/>
      <w:bookmarkStart w:id="11" w:name="_Toc352059537"/>
      <w:bookmarkStart w:id="12" w:name="_Toc352059645"/>
      <w:bookmarkStart w:id="13" w:name="_Toc352070702"/>
      <w:bookmarkStart w:id="14" w:name="_Toc352071952"/>
      <w:bookmarkStart w:id="15" w:name="_Toc352149563"/>
      <w:bookmarkEnd w:id="4"/>
      <w:bookmarkEnd w:id="5"/>
      <w:bookmarkEnd w:id="6"/>
      <w:bookmarkEnd w:id="7"/>
      <w:bookmarkEnd w:id="8"/>
      <w:bookmarkEnd w:id="9"/>
      <w:bookmarkEnd w:id="10"/>
      <w:bookmarkEnd w:id="11"/>
      <w:bookmarkEnd w:id="12"/>
      <w:bookmarkEnd w:id="13"/>
      <w:bookmarkEnd w:id="14"/>
      <w:bookmarkEnd w:id="15"/>
    </w:p>
    <w:p w:rsidR="00BB4E99" w:rsidRPr="001D46D2" w:rsidRDefault="00BB4E99" w:rsidP="00183923">
      <w:pPr>
        <w:pStyle w:val="Heading1"/>
        <w:numPr>
          <w:ilvl w:val="1"/>
          <w:numId w:val="3"/>
        </w:numPr>
        <w:jc w:val="both"/>
        <w:rPr>
          <w:szCs w:val="20"/>
        </w:rPr>
      </w:pPr>
      <w:bookmarkStart w:id="16" w:name="_Toc377542672"/>
      <w:r w:rsidRPr="001D46D2">
        <w:rPr>
          <w:szCs w:val="20"/>
        </w:rPr>
        <w:t>Calculating the cost base</w:t>
      </w:r>
      <w:bookmarkEnd w:id="16"/>
      <w:r w:rsidRPr="001D46D2">
        <w:rPr>
          <w:szCs w:val="20"/>
        </w:rPr>
        <w:t xml:space="preserve"> </w:t>
      </w:r>
    </w:p>
    <w:p w:rsidR="00BB4E99" w:rsidRPr="001D46D2" w:rsidRDefault="00BB4E99" w:rsidP="00BB4E99">
      <w:pPr>
        <w:rPr>
          <w:rFonts w:ascii="Arial" w:hAnsi="Arial" w:cs="Arial"/>
          <w:sz w:val="20"/>
          <w:szCs w:val="20"/>
        </w:rPr>
      </w:pPr>
    </w:p>
    <w:p w:rsidR="00D34A5C" w:rsidRPr="001D46D2" w:rsidRDefault="00941339" w:rsidP="00281EFE">
      <w:pPr>
        <w:autoSpaceDE w:val="0"/>
        <w:autoSpaceDN w:val="0"/>
        <w:adjustRightInd w:val="0"/>
        <w:spacing w:after="200" w:line="276" w:lineRule="auto"/>
        <w:rPr>
          <w:rFonts w:ascii="Arial" w:hAnsi="Arial" w:cs="Arial"/>
          <w:i/>
          <w:sz w:val="20"/>
          <w:szCs w:val="20"/>
          <w:lang w:eastAsia="en-AU"/>
        </w:rPr>
      </w:pPr>
      <w:r w:rsidRPr="001D46D2">
        <w:rPr>
          <w:rFonts w:ascii="Arial" w:hAnsi="Arial" w:cs="Arial"/>
          <w:i/>
          <w:sz w:val="20"/>
          <w:szCs w:val="20"/>
          <w:lang w:eastAsia="en-AU"/>
        </w:rPr>
        <w:t>Seven</w:t>
      </w:r>
      <w:r w:rsidR="00D34A5C" w:rsidRPr="001D46D2">
        <w:rPr>
          <w:rFonts w:ascii="Arial" w:hAnsi="Arial" w:cs="Arial"/>
          <w:i/>
          <w:sz w:val="20"/>
          <w:szCs w:val="20"/>
          <w:lang w:eastAsia="en-AU"/>
        </w:rPr>
        <w:t xml:space="preserve"> year cost base</w:t>
      </w:r>
    </w:p>
    <w:p w:rsidR="00F1550C" w:rsidRDefault="00F839CF" w:rsidP="00F839CF">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lang w:eastAsia="en-AU"/>
        </w:rPr>
        <w:t>T</w:t>
      </w:r>
      <w:r w:rsidRPr="001D46D2">
        <w:rPr>
          <w:rFonts w:ascii="Arial" w:hAnsi="Arial" w:cs="Arial"/>
          <w:sz w:val="20"/>
          <w:szCs w:val="20"/>
          <w:highlight w:val="white"/>
          <w:lang w:eastAsia="en-AU"/>
        </w:rPr>
        <w:t xml:space="preserve">he PayGo model uses a </w:t>
      </w:r>
      <w:r w:rsidR="00941339" w:rsidRPr="001D46D2">
        <w:rPr>
          <w:rFonts w:ascii="Arial" w:hAnsi="Arial" w:cs="Arial"/>
          <w:sz w:val="20"/>
          <w:szCs w:val="20"/>
          <w:highlight w:val="white"/>
          <w:lang w:eastAsia="en-AU"/>
        </w:rPr>
        <w:t>seven</w:t>
      </w:r>
      <w:r w:rsidRPr="001D46D2">
        <w:rPr>
          <w:rFonts w:ascii="Arial" w:hAnsi="Arial" w:cs="Arial"/>
          <w:sz w:val="20"/>
          <w:szCs w:val="20"/>
          <w:highlight w:val="white"/>
          <w:lang w:eastAsia="en-AU"/>
        </w:rPr>
        <w:t xml:space="preserve"> year average of historical road expenditure inflated to the current y</w:t>
      </w:r>
      <w:r w:rsidR="00941339" w:rsidRPr="001D46D2">
        <w:rPr>
          <w:rFonts w:ascii="Arial" w:hAnsi="Arial" w:cs="Arial"/>
          <w:sz w:val="20"/>
          <w:szCs w:val="20"/>
          <w:highlight w:val="white"/>
          <w:lang w:eastAsia="en-AU"/>
        </w:rPr>
        <w:t>ear. The rationalisation for the seven year cost base</w:t>
      </w:r>
      <w:r w:rsidRPr="001D46D2">
        <w:rPr>
          <w:rFonts w:ascii="Arial" w:hAnsi="Arial" w:cs="Arial"/>
          <w:sz w:val="20"/>
          <w:szCs w:val="20"/>
          <w:highlight w:val="white"/>
          <w:lang w:eastAsia="en-AU"/>
        </w:rPr>
        <w:t xml:space="preserve"> is to smooth the total recoverable costs from year to year and is designed to avoid price shocks due to short term changes. </w:t>
      </w:r>
    </w:p>
    <w:p w:rsidR="00F1550C" w:rsidRDefault="00F1550C" w:rsidP="00F1550C">
      <w:pPr>
        <w:autoSpaceDE w:val="0"/>
        <w:autoSpaceDN w:val="0"/>
        <w:spacing w:after="200" w:line="276" w:lineRule="auto"/>
        <w:rPr>
          <w:rFonts w:ascii="Arial" w:hAnsi="Arial" w:cs="Arial"/>
          <w:sz w:val="20"/>
          <w:szCs w:val="20"/>
          <w:highlight w:val="white"/>
        </w:rPr>
      </w:pPr>
      <w:r>
        <w:rPr>
          <w:rFonts w:ascii="Arial" w:hAnsi="Arial" w:cs="Arial"/>
          <w:sz w:val="20"/>
          <w:szCs w:val="20"/>
          <w:highlight w:val="white"/>
        </w:rPr>
        <w:t xml:space="preserve">The NTC investigated whether a three year averaging period for the PayGo model was viable. Three year averaging was in place before 2007. However, the NTC found that while a shorter averaging period reduced the over and under-recovery in the model, it increased the volatility of the charges. The NTC argued there is also limited economic efficiency to be gained from shortening the period of expenditure recovery.  </w:t>
      </w:r>
    </w:p>
    <w:p w:rsidR="00F839CF" w:rsidRPr="001D46D2" w:rsidRDefault="00F839CF" w:rsidP="00F839CF">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Given that industry needs to have certainty with charges and if the outcome of changing the averaging period does not prom</w:t>
      </w:r>
      <w:r w:rsidR="0016265F">
        <w:rPr>
          <w:rFonts w:ascii="Arial" w:hAnsi="Arial" w:cs="Arial"/>
          <w:sz w:val="20"/>
          <w:szCs w:val="20"/>
          <w:highlight w:val="white"/>
          <w:lang w:eastAsia="en-AU"/>
        </w:rPr>
        <w:t>ote further economic efficiency,</w:t>
      </w:r>
      <w:r w:rsidRPr="001D46D2">
        <w:rPr>
          <w:rFonts w:ascii="Arial" w:hAnsi="Arial" w:cs="Arial"/>
          <w:sz w:val="20"/>
          <w:szCs w:val="20"/>
          <w:highlight w:val="white"/>
          <w:lang w:eastAsia="en-AU"/>
        </w:rPr>
        <w:t xml:space="preserve"> the justification of continuing to use a </w:t>
      </w:r>
      <w:r w:rsidR="003215A3" w:rsidRPr="001D46D2">
        <w:rPr>
          <w:rFonts w:ascii="Arial" w:hAnsi="Arial" w:cs="Arial"/>
          <w:sz w:val="20"/>
          <w:szCs w:val="20"/>
          <w:highlight w:val="white"/>
          <w:lang w:eastAsia="en-AU"/>
        </w:rPr>
        <w:t>seven</w:t>
      </w:r>
      <w:r w:rsidRPr="001D46D2">
        <w:rPr>
          <w:rFonts w:ascii="Arial" w:hAnsi="Arial" w:cs="Arial"/>
          <w:sz w:val="20"/>
          <w:szCs w:val="20"/>
          <w:highlight w:val="white"/>
          <w:lang w:eastAsia="en-AU"/>
        </w:rPr>
        <w:t xml:space="preserve"> year average is valid</w:t>
      </w:r>
      <w:r w:rsidR="0016265F">
        <w:rPr>
          <w:rFonts w:ascii="Arial" w:hAnsi="Arial" w:cs="Arial"/>
          <w:sz w:val="20"/>
          <w:szCs w:val="20"/>
          <w:highlight w:val="white"/>
          <w:lang w:eastAsia="en-AU"/>
        </w:rPr>
        <w:t xml:space="preserve">. However, </w:t>
      </w:r>
      <w:r w:rsidR="003669CC" w:rsidRPr="001D46D2">
        <w:rPr>
          <w:rFonts w:ascii="Arial" w:hAnsi="Arial" w:cs="Arial"/>
          <w:sz w:val="20"/>
          <w:szCs w:val="20"/>
          <w:highlight w:val="white"/>
          <w:lang w:eastAsia="en-AU"/>
        </w:rPr>
        <w:t xml:space="preserve">the most recent </w:t>
      </w:r>
      <w:r w:rsidR="0016265F" w:rsidRPr="001D46D2">
        <w:rPr>
          <w:rFonts w:ascii="Arial" w:hAnsi="Arial" w:cs="Arial"/>
          <w:sz w:val="20"/>
          <w:szCs w:val="20"/>
          <w:highlight w:val="white"/>
          <w:lang w:eastAsia="en-AU"/>
        </w:rPr>
        <w:t>year’s</w:t>
      </w:r>
      <w:r w:rsidR="00F322F1" w:rsidRPr="001D46D2">
        <w:rPr>
          <w:rFonts w:ascii="Arial" w:hAnsi="Arial" w:cs="Arial"/>
          <w:sz w:val="20"/>
          <w:szCs w:val="20"/>
          <w:highlight w:val="white"/>
          <w:lang w:eastAsia="en-AU"/>
        </w:rPr>
        <w:t xml:space="preserve"> population data</w:t>
      </w:r>
      <w:r w:rsidR="003669CC" w:rsidRPr="001D46D2">
        <w:rPr>
          <w:rFonts w:ascii="Arial" w:hAnsi="Arial" w:cs="Arial"/>
          <w:sz w:val="20"/>
          <w:szCs w:val="20"/>
          <w:highlight w:val="white"/>
          <w:lang w:eastAsia="en-AU"/>
        </w:rPr>
        <w:t xml:space="preserve"> rather than the midpoint</w:t>
      </w:r>
      <w:r w:rsidR="00F322F1" w:rsidRPr="001D46D2">
        <w:rPr>
          <w:rFonts w:ascii="Arial" w:hAnsi="Arial" w:cs="Arial"/>
          <w:sz w:val="20"/>
          <w:szCs w:val="20"/>
          <w:highlight w:val="white"/>
          <w:lang w:eastAsia="en-AU"/>
        </w:rPr>
        <w:t xml:space="preserve"> population</w:t>
      </w:r>
      <w:r w:rsidR="003669CC" w:rsidRPr="001D46D2">
        <w:rPr>
          <w:rFonts w:ascii="Arial" w:hAnsi="Arial" w:cs="Arial"/>
          <w:sz w:val="20"/>
          <w:szCs w:val="20"/>
          <w:highlight w:val="white"/>
          <w:lang w:eastAsia="en-AU"/>
        </w:rPr>
        <w:t xml:space="preserve"> </w:t>
      </w:r>
      <w:proofErr w:type="gramStart"/>
      <w:r w:rsidR="0016265F">
        <w:rPr>
          <w:rFonts w:ascii="Arial" w:hAnsi="Arial" w:cs="Arial"/>
          <w:sz w:val="20"/>
          <w:szCs w:val="20"/>
          <w:highlight w:val="white"/>
          <w:lang w:eastAsia="en-AU"/>
        </w:rPr>
        <w:t>needs</w:t>
      </w:r>
      <w:proofErr w:type="gramEnd"/>
      <w:r w:rsidR="0016265F">
        <w:rPr>
          <w:rFonts w:ascii="Arial" w:hAnsi="Arial" w:cs="Arial"/>
          <w:sz w:val="20"/>
          <w:szCs w:val="20"/>
          <w:highlight w:val="white"/>
          <w:lang w:eastAsia="en-AU"/>
        </w:rPr>
        <w:t xml:space="preserve"> to be adopted wit</w:t>
      </w:r>
      <w:r w:rsidR="002F6D63">
        <w:rPr>
          <w:rFonts w:ascii="Arial" w:hAnsi="Arial" w:cs="Arial"/>
          <w:sz w:val="20"/>
          <w:szCs w:val="20"/>
          <w:highlight w:val="white"/>
          <w:lang w:eastAsia="en-AU"/>
        </w:rPr>
        <w:t>h the</w:t>
      </w:r>
      <w:r w:rsidR="0016265F">
        <w:rPr>
          <w:rFonts w:ascii="Arial" w:hAnsi="Arial" w:cs="Arial"/>
          <w:sz w:val="20"/>
          <w:szCs w:val="20"/>
          <w:highlight w:val="white"/>
          <w:lang w:eastAsia="en-AU"/>
        </w:rPr>
        <w:t xml:space="preserve"> seven year</w:t>
      </w:r>
      <w:r w:rsidR="002F6D63">
        <w:rPr>
          <w:rFonts w:ascii="Arial" w:hAnsi="Arial" w:cs="Arial"/>
          <w:sz w:val="20"/>
          <w:szCs w:val="20"/>
          <w:highlight w:val="white"/>
          <w:lang w:eastAsia="en-AU"/>
        </w:rPr>
        <w:t xml:space="preserve"> cost base</w:t>
      </w:r>
      <w:r w:rsidR="0016265F">
        <w:rPr>
          <w:rFonts w:ascii="Arial" w:hAnsi="Arial" w:cs="Arial"/>
          <w:sz w:val="20"/>
          <w:szCs w:val="20"/>
          <w:highlight w:val="white"/>
          <w:lang w:eastAsia="en-AU"/>
        </w:rPr>
        <w:t xml:space="preserve"> retention.</w:t>
      </w:r>
      <w:r w:rsidR="003669CC" w:rsidRPr="001D46D2">
        <w:rPr>
          <w:rFonts w:ascii="Arial" w:hAnsi="Arial" w:cs="Arial"/>
          <w:sz w:val="20"/>
          <w:szCs w:val="20"/>
          <w:highlight w:val="white"/>
          <w:lang w:eastAsia="en-AU"/>
        </w:rPr>
        <w:t xml:space="preserve"> </w:t>
      </w:r>
    </w:p>
    <w:p w:rsidR="00D03610" w:rsidRPr="001D46D2" w:rsidRDefault="00D34A5C" w:rsidP="00AF327F">
      <w:pPr>
        <w:rPr>
          <w:rFonts w:ascii="Arial" w:hAnsi="Arial" w:cs="Arial"/>
          <w:i/>
          <w:sz w:val="20"/>
          <w:szCs w:val="20"/>
        </w:rPr>
      </w:pPr>
      <w:bookmarkStart w:id="17" w:name="_Toc352163828"/>
      <w:bookmarkStart w:id="18" w:name="_Toc352228469"/>
      <w:bookmarkStart w:id="19" w:name="_Toc352231713"/>
      <w:bookmarkStart w:id="20" w:name="_Toc352740555"/>
      <w:bookmarkStart w:id="21" w:name="_Toc353434607"/>
      <w:bookmarkStart w:id="22" w:name="_Toc353435591"/>
      <w:bookmarkEnd w:id="17"/>
      <w:bookmarkEnd w:id="18"/>
      <w:bookmarkEnd w:id="19"/>
      <w:bookmarkEnd w:id="20"/>
      <w:bookmarkEnd w:id="21"/>
      <w:bookmarkEnd w:id="22"/>
      <w:r w:rsidRPr="001D46D2">
        <w:rPr>
          <w:rFonts w:ascii="Arial" w:hAnsi="Arial" w:cs="Arial"/>
          <w:i/>
          <w:sz w:val="20"/>
          <w:szCs w:val="20"/>
        </w:rPr>
        <w:t>Indexing</w:t>
      </w:r>
    </w:p>
    <w:p w:rsidR="00D34A5C" w:rsidRPr="001D46D2" w:rsidRDefault="00D34A5C" w:rsidP="00AF327F">
      <w:pPr>
        <w:rPr>
          <w:rFonts w:ascii="Arial" w:hAnsi="Arial" w:cs="Arial"/>
          <w:sz w:val="20"/>
          <w:szCs w:val="20"/>
        </w:rPr>
      </w:pPr>
    </w:p>
    <w:p w:rsidR="00201A96" w:rsidRPr="001D46D2" w:rsidRDefault="00D34A5C" w:rsidP="00AF327F">
      <w:pPr>
        <w:rPr>
          <w:rFonts w:ascii="Arial" w:hAnsi="Arial" w:cs="Arial"/>
          <w:sz w:val="20"/>
          <w:szCs w:val="20"/>
        </w:rPr>
      </w:pPr>
      <w:r w:rsidRPr="001D46D2">
        <w:rPr>
          <w:rFonts w:ascii="Arial" w:hAnsi="Arial" w:cs="Arial"/>
          <w:sz w:val="20"/>
          <w:szCs w:val="20"/>
        </w:rPr>
        <w:t>The ATA raised concerns with the NTC about the appropriateness of using the</w:t>
      </w:r>
      <w:r w:rsidR="000F4057" w:rsidRPr="001D46D2">
        <w:rPr>
          <w:rFonts w:ascii="Arial" w:hAnsi="Arial" w:cs="Arial"/>
          <w:sz w:val="20"/>
          <w:szCs w:val="20"/>
        </w:rPr>
        <w:t xml:space="preserve"> BITRE</w:t>
      </w:r>
      <w:r w:rsidRPr="001D46D2">
        <w:rPr>
          <w:rFonts w:ascii="Arial" w:hAnsi="Arial" w:cs="Arial"/>
          <w:sz w:val="20"/>
          <w:szCs w:val="20"/>
        </w:rPr>
        <w:t xml:space="preserve"> road construction and maintenance price index (RCMP</w:t>
      </w:r>
      <w:r w:rsidR="00646310">
        <w:rPr>
          <w:rFonts w:ascii="Arial" w:hAnsi="Arial" w:cs="Arial"/>
          <w:sz w:val="20"/>
          <w:szCs w:val="20"/>
        </w:rPr>
        <w:t>I), given its volatility and</w:t>
      </w:r>
      <w:r w:rsidRPr="001D46D2">
        <w:rPr>
          <w:rFonts w:ascii="Arial" w:hAnsi="Arial" w:cs="Arial"/>
          <w:sz w:val="20"/>
          <w:szCs w:val="20"/>
        </w:rPr>
        <w:t xml:space="preserve"> magnitude above the consumer price index</w:t>
      </w:r>
      <w:r w:rsidR="003215A3" w:rsidRPr="001D46D2">
        <w:rPr>
          <w:rFonts w:ascii="Arial" w:hAnsi="Arial" w:cs="Arial"/>
          <w:sz w:val="20"/>
          <w:szCs w:val="20"/>
        </w:rPr>
        <w:t xml:space="preserve"> (CPI)</w:t>
      </w:r>
      <w:r w:rsidRPr="001D46D2">
        <w:rPr>
          <w:rFonts w:ascii="Arial" w:hAnsi="Arial" w:cs="Arial"/>
          <w:sz w:val="20"/>
          <w:szCs w:val="20"/>
        </w:rPr>
        <w:t>. The</w:t>
      </w:r>
      <w:r w:rsidR="00646310">
        <w:rPr>
          <w:rFonts w:ascii="Arial" w:hAnsi="Arial" w:cs="Arial"/>
          <w:sz w:val="20"/>
          <w:szCs w:val="20"/>
        </w:rPr>
        <w:t xml:space="preserve"> RCMPI includes inputs common with</w:t>
      </w:r>
      <w:r w:rsidRPr="001D46D2">
        <w:rPr>
          <w:rFonts w:ascii="Arial" w:hAnsi="Arial" w:cs="Arial"/>
          <w:sz w:val="20"/>
          <w:szCs w:val="20"/>
        </w:rPr>
        <w:t xml:space="preserve"> other industries. </w:t>
      </w:r>
      <w:r w:rsidR="003215A3" w:rsidRPr="001D46D2">
        <w:rPr>
          <w:rFonts w:ascii="Arial" w:hAnsi="Arial" w:cs="Arial"/>
          <w:sz w:val="20"/>
          <w:szCs w:val="20"/>
        </w:rPr>
        <w:t>For example, t</w:t>
      </w:r>
      <w:r w:rsidRPr="001D46D2">
        <w:rPr>
          <w:rFonts w:ascii="Arial" w:hAnsi="Arial" w:cs="Arial"/>
          <w:sz w:val="20"/>
          <w:szCs w:val="20"/>
        </w:rPr>
        <w:t xml:space="preserve">he mining boom </w:t>
      </w:r>
      <w:r w:rsidR="003215A3" w:rsidRPr="001D46D2">
        <w:rPr>
          <w:rFonts w:ascii="Arial" w:hAnsi="Arial" w:cs="Arial"/>
          <w:sz w:val="20"/>
          <w:szCs w:val="20"/>
        </w:rPr>
        <w:t xml:space="preserve">has </w:t>
      </w:r>
      <w:r w:rsidRPr="001D46D2">
        <w:rPr>
          <w:rFonts w:ascii="Arial" w:hAnsi="Arial" w:cs="Arial"/>
          <w:sz w:val="20"/>
          <w:szCs w:val="20"/>
        </w:rPr>
        <w:t xml:space="preserve">had the effect of increasing the RCMPI, which has little relation to the trucking industry and road infrastructure provision and maintenance.  The index is too susceptible to outside influences. </w:t>
      </w:r>
    </w:p>
    <w:p w:rsidR="00D34A5C" w:rsidRPr="001D46D2" w:rsidRDefault="00D34A5C" w:rsidP="00AF327F">
      <w:pPr>
        <w:rPr>
          <w:rFonts w:ascii="Arial" w:hAnsi="Arial" w:cs="Arial"/>
          <w:sz w:val="20"/>
          <w:szCs w:val="20"/>
        </w:rPr>
      </w:pPr>
    </w:p>
    <w:p w:rsidR="003215A3" w:rsidRPr="001D46D2" w:rsidRDefault="00F51D63" w:rsidP="00AF327F">
      <w:pPr>
        <w:rPr>
          <w:rFonts w:ascii="Arial" w:hAnsi="Arial" w:cs="Arial"/>
          <w:sz w:val="20"/>
          <w:szCs w:val="20"/>
        </w:rPr>
      </w:pPr>
      <w:r w:rsidRPr="001D46D2">
        <w:rPr>
          <w:rFonts w:ascii="Arial" w:hAnsi="Arial" w:cs="Arial"/>
          <w:sz w:val="20"/>
          <w:szCs w:val="20"/>
        </w:rPr>
        <w:t>The NTC recommendation</w:t>
      </w:r>
      <w:r w:rsidR="001071A4" w:rsidRPr="001D46D2">
        <w:rPr>
          <w:rFonts w:ascii="Arial" w:hAnsi="Arial" w:cs="Arial"/>
          <w:sz w:val="20"/>
          <w:szCs w:val="20"/>
        </w:rPr>
        <w:t xml:space="preserve"> of </w:t>
      </w:r>
      <w:r w:rsidR="003215A3" w:rsidRPr="001D46D2">
        <w:rPr>
          <w:rFonts w:ascii="Arial" w:hAnsi="Arial" w:cs="Arial"/>
          <w:sz w:val="20"/>
          <w:szCs w:val="20"/>
        </w:rPr>
        <w:t>dropping</w:t>
      </w:r>
      <w:r w:rsidR="008D5815" w:rsidRPr="001D46D2">
        <w:rPr>
          <w:rFonts w:ascii="Arial" w:hAnsi="Arial" w:cs="Arial"/>
          <w:sz w:val="20"/>
          <w:szCs w:val="20"/>
        </w:rPr>
        <w:t xml:space="preserve"> indexing and mov</w:t>
      </w:r>
      <w:r w:rsidR="003215A3" w:rsidRPr="001D46D2">
        <w:rPr>
          <w:rFonts w:ascii="Arial" w:hAnsi="Arial" w:cs="Arial"/>
          <w:sz w:val="20"/>
          <w:szCs w:val="20"/>
        </w:rPr>
        <w:t>ing</w:t>
      </w:r>
      <w:r w:rsidR="008D5815" w:rsidRPr="001D46D2">
        <w:rPr>
          <w:rFonts w:ascii="Arial" w:hAnsi="Arial" w:cs="Arial"/>
          <w:sz w:val="20"/>
          <w:szCs w:val="20"/>
        </w:rPr>
        <w:t xml:space="preserve"> to </w:t>
      </w:r>
      <w:r w:rsidR="001071A4" w:rsidRPr="001D46D2">
        <w:rPr>
          <w:rFonts w:ascii="Arial" w:hAnsi="Arial" w:cs="Arial"/>
          <w:sz w:val="20"/>
          <w:szCs w:val="20"/>
        </w:rPr>
        <w:t xml:space="preserve">an exponential moving average </w:t>
      </w:r>
      <w:r w:rsidR="008D5815" w:rsidRPr="001D46D2">
        <w:rPr>
          <w:rFonts w:ascii="Arial" w:hAnsi="Arial" w:cs="Arial"/>
          <w:sz w:val="20"/>
          <w:szCs w:val="20"/>
        </w:rPr>
        <w:t xml:space="preserve">(EMA) </w:t>
      </w:r>
      <w:r w:rsidR="001071A4" w:rsidRPr="001D46D2">
        <w:rPr>
          <w:rFonts w:ascii="Arial" w:hAnsi="Arial" w:cs="Arial"/>
          <w:sz w:val="20"/>
          <w:szCs w:val="20"/>
        </w:rPr>
        <w:t>with an alpha value</w:t>
      </w:r>
      <w:r w:rsidR="00BB5FBA" w:rsidRPr="001D46D2">
        <w:rPr>
          <w:rFonts w:ascii="Arial" w:hAnsi="Arial" w:cs="Arial"/>
          <w:sz w:val="20"/>
          <w:szCs w:val="20"/>
        </w:rPr>
        <w:t xml:space="preserve"> (which </w:t>
      </w:r>
      <w:r w:rsidR="003215A3" w:rsidRPr="001D46D2">
        <w:rPr>
          <w:rFonts w:ascii="Arial" w:hAnsi="Arial" w:cs="Arial"/>
          <w:sz w:val="20"/>
          <w:szCs w:val="20"/>
        </w:rPr>
        <w:t>determines</w:t>
      </w:r>
      <w:r w:rsidR="00BB5FBA" w:rsidRPr="001D46D2">
        <w:rPr>
          <w:rFonts w:ascii="Arial" w:hAnsi="Arial" w:cs="Arial"/>
          <w:sz w:val="20"/>
          <w:szCs w:val="20"/>
        </w:rPr>
        <w:t xml:space="preserve"> each </w:t>
      </w:r>
      <w:r w:rsidR="00646310" w:rsidRPr="001D46D2">
        <w:rPr>
          <w:rFonts w:ascii="Arial" w:hAnsi="Arial" w:cs="Arial"/>
          <w:sz w:val="20"/>
          <w:szCs w:val="20"/>
        </w:rPr>
        <w:t>year’</w:t>
      </w:r>
      <w:r w:rsidR="00646310">
        <w:rPr>
          <w:rFonts w:ascii="Arial" w:hAnsi="Arial" w:cs="Arial"/>
          <w:sz w:val="20"/>
          <w:szCs w:val="20"/>
        </w:rPr>
        <w:t>s</w:t>
      </w:r>
      <w:r w:rsidR="00BB5FBA" w:rsidRPr="001D46D2">
        <w:rPr>
          <w:rFonts w:ascii="Arial" w:hAnsi="Arial" w:cs="Arial"/>
          <w:sz w:val="20"/>
          <w:szCs w:val="20"/>
        </w:rPr>
        <w:t xml:space="preserve"> weighting in the series</w:t>
      </w:r>
      <w:r w:rsidR="003215A3" w:rsidRPr="001D46D2">
        <w:rPr>
          <w:rFonts w:ascii="Arial" w:hAnsi="Arial" w:cs="Arial"/>
          <w:sz w:val="20"/>
          <w:szCs w:val="20"/>
        </w:rPr>
        <w:t>) to</w:t>
      </w:r>
      <w:r w:rsidR="00596AD2" w:rsidRPr="001D46D2">
        <w:rPr>
          <w:rFonts w:ascii="Arial" w:hAnsi="Arial" w:cs="Arial"/>
          <w:sz w:val="20"/>
          <w:szCs w:val="20"/>
        </w:rPr>
        <w:t xml:space="preserve"> be set during the determination is a </w:t>
      </w:r>
      <w:r w:rsidR="003215A3" w:rsidRPr="001D46D2">
        <w:rPr>
          <w:rFonts w:ascii="Arial" w:hAnsi="Arial" w:cs="Arial"/>
          <w:sz w:val="20"/>
          <w:szCs w:val="20"/>
        </w:rPr>
        <w:t xml:space="preserve">sensible approach. </w:t>
      </w:r>
    </w:p>
    <w:p w:rsidR="003215A3" w:rsidRPr="001D46D2" w:rsidRDefault="003215A3" w:rsidP="00AF327F">
      <w:pPr>
        <w:rPr>
          <w:rFonts w:ascii="Arial" w:hAnsi="Arial" w:cs="Arial"/>
          <w:sz w:val="20"/>
          <w:szCs w:val="20"/>
        </w:rPr>
      </w:pPr>
    </w:p>
    <w:p w:rsidR="00D34A5C" w:rsidRPr="001D46D2" w:rsidRDefault="003215A3" w:rsidP="00AF327F">
      <w:pPr>
        <w:rPr>
          <w:rFonts w:ascii="Arial" w:hAnsi="Arial" w:cs="Arial"/>
          <w:sz w:val="20"/>
          <w:szCs w:val="20"/>
        </w:rPr>
      </w:pPr>
      <w:r w:rsidRPr="001D46D2">
        <w:rPr>
          <w:rFonts w:ascii="Arial" w:hAnsi="Arial" w:cs="Arial"/>
          <w:sz w:val="20"/>
          <w:szCs w:val="20"/>
        </w:rPr>
        <w:t xml:space="preserve">The NTC have </w:t>
      </w:r>
      <w:r w:rsidR="00596AD2" w:rsidRPr="001D46D2">
        <w:rPr>
          <w:rFonts w:ascii="Arial" w:hAnsi="Arial" w:cs="Arial"/>
          <w:sz w:val="20"/>
          <w:szCs w:val="20"/>
        </w:rPr>
        <w:t xml:space="preserve">shown the ATA the workings of the alpha value calculation. The 0.5 </w:t>
      </w:r>
      <w:r w:rsidRPr="001D46D2">
        <w:rPr>
          <w:rFonts w:ascii="Arial" w:hAnsi="Arial" w:cs="Arial"/>
          <w:sz w:val="20"/>
          <w:szCs w:val="20"/>
        </w:rPr>
        <w:t xml:space="preserve">alpha </w:t>
      </w:r>
      <w:proofErr w:type="gramStart"/>
      <w:r w:rsidRPr="001D46D2">
        <w:rPr>
          <w:rFonts w:ascii="Arial" w:hAnsi="Arial" w:cs="Arial"/>
          <w:sz w:val="20"/>
          <w:szCs w:val="20"/>
        </w:rPr>
        <w:t>value</w:t>
      </w:r>
      <w:proofErr w:type="gramEnd"/>
      <w:r w:rsidR="00596AD2" w:rsidRPr="001D46D2">
        <w:rPr>
          <w:rFonts w:ascii="Arial" w:hAnsi="Arial" w:cs="Arial"/>
          <w:sz w:val="20"/>
          <w:szCs w:val="20"/>
        </w:rPr>
        <w:t xml:space="preserve"> </w:t>
      </w:r>
      <w:r w:rsidR="001922E5" w:rsidRPr="001D46D2">
        <w:rPr>
          <w:rFonts w:ascii="Arial" w:hAnsi="Arial" w:cs="Arial"/>
          <w:sz w:val="20"/>
          <w:szCs w:val="20"/>
        </w:rPr>
        <w:t>that is being recommended strikes a balance between full cost recovery over time, limiting over and under recovery, smoothness</w:t>
      </w:r>
      <w:r w:rsidR="00646310">
        <w:rPr>
          <w:rFonts w:ascii="Arial" w:hAnsi="Arial" w:cs="Arial"/>
          <w:sz w:val="20"/>
          <w:szCs w:val="20"/>
        </w:rPr>
        <w:t>,</w:t>
      </w:r>
      <w:r w:rsidR="001922E5" w:rsidRPr="001D46D2">
        <w:rPr>
          <w:rFonts w:ascii="Arial" w:hAnsi="Arial" w:cs="Arial"/>
          <w:sz w:val="20"/>
          <w:szCs w:val="20"/>
        </w:rPr>
        <w:t xml:space="preserve"> and being simple and transparent. The 0.5 value also weighs the more recent years as having a higher influence on the cost base. </w:t>
      </w:r>
      <w:r w:rsidR="008D5815" w:rsidRPr="001D46D2">
        <w:rPr>
          <w:rFonts w:ascii="Arial" w:hAnsi="Arial" w:cs="Arial"/>
          <w:sz w:val="20"/>
          <w:szCs w:val="20"/>
        </w:rPr>
        <w:t xml:space="preserve">The </w:t>
      </w:r>
      <w:r w:rsidRPr="001D46D2">
        <w:rPr>
          <w:rFonts w:ascii="Arial" w:hAnsi="Arial" w:cs="Arial"/>
          <w:sz w:val="20"/>
          <w:szCs w:val="20"/>
        </w:rPr>
        <w:t>NTC note the EMA produces</w:t>
      </w:r>
      <w:r w:rsidR="008D5815" w:rsidRPr="001D46D2">
        <w:rPr>
          <w:rFonts w:ascii="Arial" w:hAnsi="Arial" w:cs="Arial"/>
          <w:sz w:val="20"/>
          <w:szCs w:val="20"/>
        </w:rPr>
        <w:t xml:space="preserve"> similar outcomes to the indexing but will avoid the noise of outside influences</w:t>
      </w:r>
      <w:r w:rsidRPr="001D46D2">
        <w:rPr>
          <w:rFonts w:ascii="Arial" w:hAnsi="Arial" w:cs="Arial"/>
          <w:sz w:val="20"/>
          <w:szCs w:val="20"/>
        </w:rPr>
        <w:t xml:space="preserve"> present in the RCMPI</w:t>
      </w:r>
      <w:r w:rsidR="008D5815" w:rsidRPr="001D46D2">
        <w:rPr>
          <w:rFonts w:ascii="Arial" w:hAnsi="Arial" w:cs="Arial"/>
          <w:sz w:val="20"/>
          <w:szCs w:val="20"/>
        </w:rPr>
        <w:t xml:space="preserve">. </w:t>
      </w:r>
      <w:r w:rsidR="001922E5" w:rsidRPr="001D46D2">
        <w:rPr>
          <w:rFonts w:ascii="Arial" w:hAnsi="Arial" w:cs="Arial"/>
          <w:sz w:val="20"/>
          <w:szCs w:val="20"/>
        </w:rPr>
        <w:t xml:space="preserve">The ATA supports the use of an </w:t>
      </w:r>
      <w:r w:rsidRPr="001D46D2">
        <w:rPr>
          <w:rFonts w:ascii="Arial" w:hAnsi="Arial" w:cs="Arial"/>
          <w:sz w:val="20"/>
          <w:szCs w:val="20"/>
        </w:rPr>
        <w:t>EMA</w:t>
      </w:r>
      <w:r w:rsidR="001922E5" w:rsidRPr="001D46D2">
        <w:rPr>
          <w:rFonts w:ascii="Arial" w:hAnsi="Arial" w:cs="Arial"/>
          <w:sz w:val="20"/>
          <w:szCs w:val="20"/>
        </w:rPr>
        <w:t xml:space="preserve"> with the alpha value of 0.5 to calculate the cost base. </w:t>
      </w:r>
    </w:p>
    <w:p w:rsidR="00D34A5C" w:rsidRPr="001D46D2" w:rsidRDefault="00D34A5C" w:rsidP="00AF327F">
      <w:pPr>
        <w:rPr>
          <w:rFonts w:ascii="Arial" w:hAnsi="Arial" w:cs="Arial"/>
          <w:sz w:val="20"/>
          <w:szCs w:val="20"/>
        </w:rPr>
      </w:pPr>
    </w:p>
    <w:p w:rsidR="001922E5" w:rsidRPr="001D46D2" w:rsidRDefault="001922E5" w:rsidP="00AE4FFB">
      <w:pPr>
        <w:pStyle w:val="Heading1"/>
        <w:numPr>
          <w:ilvl w:val="1"/>
          <w:numId w:val="3"/>
        </w:numPr>
        <w:jc w:val="both"/>
        <w:rPr>
          <w:szCs w:val="20"/>
        </w:rPr>
      </w:pPr>
      <w:bookmarkStart w:id="23" w:name="_Toc377542673"/>
      <w:r w:rsidRPr="001D46D2">
        <w:rPr>
          <w:szCs w:val="20"/>
        </w:rPr>
        <w:t>Usage data</w:t>
      </w:r>
      <w:bookmarkEnd w:id="23"/>
    </w:p>
    <w:p w:rsidR="00D34A5C" w:rsidRPr="001D46D2" w:rsidRDefault="00D34A5C" w:rsidP="00AF327F">
      <w:pPr>
        <w:rPr>
          <w:rFonts w:ascii="Arial" w:hAnsi="Arial" w:cs="Arial"/>
          <w:sz w:val="20"/>
          <w:szCs w:val="20"/>
        </w:rPr>
      </w:pPr>
    </w:p>
    <w:p w:rsidR="00B81F04" w:rsidRPr="001D46D2" w:rsidRDefault="00B81F04" w:rsidP="00B81F04">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PayGo cost base includes lagged expenditure from the previous 7 years that has been adjusted for inflation before it is averaged to derive the current years cost base. Industry pays for charges based on a vehicle population that is taken from the mid-point of the PayGo model. Therefore while the expenditure to be recovered is current, the population expenditure is shared over is different to the current operating population, leading to an over-recovery. </w:t>
      </w:r>
    </w:p>
    <w:p w:rsidR="006B0C72" w:rsidRDefault="00B81F04" w:rsidP="00B81F04">
      <w:pPr>
        <w:autoSpaceDE w:val="0"/>
        <w:autoSpaceDN w:val="0"/>
        <w:adjustRightInd w:val="0"/>
        <w:spacing w:line="264" w:lineRule="auto"/>
        <w:rPr>
          <w:rFonts w:ascii="Arial" w:hAnsi="Arial" w:cs="Arial"/>
          <w:sz w:val="20"/>
          <w:szCs w:val="20"/>
          <w:highlight w:val="white"/>
          <w:lang w:eastAsia="en-AU"/>
        </w:rPr>
      </w:pPr>
      <w:r w:rsidRPr="001D46D2">
        <w:rPr>
          <w:rFonts w:ascii="Arial" w:hAnsi="Arial" w:cs="Arial"/>
          <w:sz w:val="20"/>
          <w:szCs w:val="20"/>
          <w:highlight w:val="white"/>
          <w:lang w:eastAsia="en-AU"/>
        </w:rPr>
        <w:t>The NTC modelling for 2012-</w:t>
      </w:r>
      <w:r w:rsidR="00DA1C78">
        <w:rPr>
          <w:rFonts w:ascii="Arial" w:hAnsi="Arial" w:cs="Arial"/>
          <w:sz w:val="20"/>
          <w:szCs w:val="20"/>
          <w:highlight w:val="white"/>
          <w:lang w:eastAsia="en-AU"/>
        </w:rPr>
        <w:t>20</w:t>
      </w:r>
      <w:r w:rsidRPr="001D46D2">
        <w:rPr>
          <w:rFonts w:ascii="Arial" w:hAnsi="Arial" w:cs="Arial"/>
          <w:sz w:val="20"/>
          <w:szCs w:val="20"/>
          <w:highlight w:val="white"/>
          <w:lang w:eastAsia="en-AU"/>
        </w:rPr>
        <w:t>13 charges was based upon 392,453 heavy (motor) vehicles, while the ATA has used actual registration database information provided by road agencies, which identifies 570,294 heavy motor vehicles (being trucks, prime movers, buses and special purpose vehicles, but not including trailers). Information from road agencies showed the actual registered heavy vehicles as at 31 December 2011 was 789,489 (this number includes trailers)</w:t>
      </w:r>
      <w:r w:rsidRPr="00646310">
        <w:rPr>
          <w:rFonts w:ascii="Arial" w:hAnsi="Arial" w:cs="Arial"/>
          <w:highlight w:val="white"/>
          <w:vertAlign w:val="superscript"/>
        </w:rPr>
        <w:footnoteReference w:id="1"/>
      </w:r>
      <w:r w:rsidRPr="001D46D2">
        <w:rPr>
          <w:rFonts w:ascii="Arial" w:hAnsi="Arial" w:cs="Arial"/>
          <w:sz w:val="20"/>
          <w:szCs w:val="20"/>
          <w:highlight w:val="white"/>
          <w:lang w:eastAsia="en-AU"/>
        </w:rPr>
        <w:t>.</w:t>
      </w:r>
    </w:p>
    <w:p w:rsidR="008952ED" w:rsidRDefault="008952ED" w:rsidP="00B81F04">
      <w:pPr>
        <w:autoSpaceDE w:val="0"/>
        <w:autoSpaceDN w:val="0"/>
        <w:adjustRightInd w:val="0"/>
        <w:spacing w:line="264" w:lineRule="auto"/>
        <w:rPr>
          <w:rFonts w:ascii="Arial" w:hAnsi="Arial" w:cs="Arial"/>
          <w:sz w:val="20"/>
          <w:szCs w:val="20"/>
          <w:highlight w:val="white"/>
          <w:lang w:eastAsia="en-AU"/>
        </w:rPr>
      </w:pPr>
    </w:p>
    <w:p w:rsidR="008952ED" w:rsidRDefault="008952ED" w:rsidP="00B81F04">
      <w:pPr>
        <w:autoSpaceDE w:val="0"/>
        <w:autoSpaceDN w:val="0"/>
        <w:adjustRightInd w:val="0"/>
        <w:spacing w:line="264" w:lineRule="auto"/>
        <w:rPr>
          <w:rFonts w:ascii="Arial" w:hAnsi="Arial" w:cs="Arial"/>
          <w:sz w:val="20"/>
          <w:szCs w:val="20"/>
          <w:highlight w:val="white"/>
          <w:lang w:eastAsia="en-AU"/>
        </w:rPr>
      </w:pPr>
    </w:p>
    <w:p w:rsidR="008952ED" w:rsidRDefault="008952ED" w:rsidP="00B81F04">
      <w:pPr>
        <w:autoSpaceDE w:val="0"/>
        <w:autoSpaceDN w:val="0"/>
        <w:adjustRightInd w:val="0"/>
        <w:spacing w:line="264" w:lineRule="auto"/>
        <w:rPr>
          <w:rFonts w:ascii="Arial" w:hAnsi="Arial" w:cs="Arial"/>
          <w:sz w:val="20"/>
          <w:szCs w:val="20"/>
          <w:highlight w:val="white"/>
          <w:lang w:eastAsia="en-AU"/>
        </w:rPr>
      </w:pPr>
    </w:p>
    <w:p w:rsidR="008952ED" w:rsidRDefault="008952ED" w:rsidP="00B81F04">
      <w:pPr>
        <w:autoSpaceDE w:val="0"/>
        <w:autoSpaceDN w:val="0"/>
        <w:adjustRightInd w:val="0"/>
        <w:spacing w:line="264" w:lineRule="auto"/>
        <w:rPr>
          <w:rFonts w:ascii="Arial" w:hAnsi="Arial" w:cs="Arial"/>
          <w:sz w:val="20"/>
          <w:szCs w:val="20"/>
          <w:highlight w:val="white"/>
          <w:lang w:eastAsia="en-AU"/>
        </w:rPr>
      </w:pPr>
    </w:p>
    <w:p w:rsidR="008952ED" w:rsidRDefault="008952ED" w:rsidP="00B81F04">
      <w:pPr>
        <w:autoSpaceDE w:val="0"/>
        <w:autoSpaceDN w:val="0"/>
        <w:adjustRightInd w:val="0"/>
        <w:spacing w:line="264" w:lineRule="auto"/>
        <w:rPr>
          <w:rFonts w:ascii="Arial" w:hAnsi="Arial" w:cs="Arial"/>
          <w:sz w:val="20"/>
          <w:szCs w:val="20"/>
          <w:highlight w:val="white"/>
          <w:lang w:eastAsia="en-AU"/>
        </w:rPr>
      </w:pPr>
    </w:p>
    <w:p w:rsidR="00B81F04" w:rsidRPr="001D46D2" w:rsidRDefault="00B81F04" w:rsidP="00B81F04">
      <w:pPr>
        <w:autoSpaceDE w:val="0"/>
        <w:autoSpaceDN w:val="0"/>
        <w:adjustRightInd w:val="0"/>
        <w:spacing w:line="264" w:lineRule="auto"/>
        <w:rPr>
          <w:rFonts w:ascii="Arial" w:hAnsi="Arial" w:cs="Arial"/>
          <w:sz w:val="20"/>
          <w:szCs w:val="20"/>
          <w:highlight w:val="white"/>
          <w:lang w:eastAsia="en-AU"/>
        </w:rPr>
      </w:pPr>
      <w:r w:rsidRPr="001D46D2">
        <w:rPr>
          <w:rFonts w:ascii="Arial" w:hAnsi="Arial" w:cs="Arial"/>
          <w:sz w:val="20"/>
          <w:szCs w:val="20"/>
          <w:highlight w:val="white"/>
          <w:lang w:eastAsia="en-AU"/>
        </w:rPr>
        <w:t>The ATA has calcul</w:t>
      </w:r>
      <w:r w:rsidR="009D4E07">
        <w:rPr>
          <w:rFonts w:ascii="Arial" w:hAnsi="Arial" w:cs="Arial"/>
          <w:sz w:val="20"/>
          <w:szCs w:val="20"/>
          <w:highlight w:val="white"/>
          <w:lang w:eastAsia="en-AU"/>
        </w:rPr>
        <w:t>ated over-recovery for 2013-</w:t>
      </w:r>
      <w:r w:rsidR="00DA1C78">
        <w:rPr>
          <w:rFonts w:ascii="Arial" w:hAnsi="Arial" w:cs="Arial"/>
          <w:sz w:val="20"/>
          <w:szCs w:val="20"/>
          <w:highlight w:val="white"/>
          <w:lang w:eastAsia="en-AU"/>
        </w:rPr>
        <w:t>20</w:t>
      </w:r>
      <w:r w:rsidR="009D4E07">
        <w:rPr>
          <w:rFonts w:ascii="Arial" w:hAnsi="Arial" w:cs="Arial"/>
          <w:sz w:val="20"/>
          <w:szCs w:val="20"/>
          <w:highlight w:val="white"/>
          <w:lang w:eastAsia="en-AU"/>
        </w:rPr>
        <w:t xml:space="preserve">14 </w:t>
      </w:r>
      <w:r w:rsidRPr="001D46D2">
        <w:rPr>
          <w:rFonts w:ascii="Arial" w:hAnsi="Arial" w:cs="Arial"/>
          <w:sz w:val="20"/>
          <w:szCs w:val="20"/>
          <w:highlight w:val="white"/>
          <w:lang w:eastAsia="en-AU"/>
        </w:rPr>
        <w:t>by comparing the PayGo cost base to be recovered in 2013-</w:t>
      </w:r>
      <w:r w:rsidR="008952ED">
        <w:rPr>
          <w:rFonts w:ascii="Arial" w:hAnsi="Arial" w:cs="Arial"/>
          <w:sz w:val="20"/>
          <w:szCs w:val="20"/>
          <w:highlight w:val="white"/>
          <w:lang w:eastAsia="en-AU"/>
        </w:rPr>
        <w:t>20</w:t>
      </w:r>
      <w:r w:rsidRPr="001D46D2">
        <w:rPr>
          <w:rFonts w:ascii="Arial" w:hAnsi="Arial" w:cs="Arial"/>
          <w:sz w:val="20"/>
          <w:szCs w:val="20"/>
          <w:highlight w:val="white"/>
          <w:lang w:eastAsia="en-AU"/>
        </w:rPr>
        <w:t>14 ($2.9 billion) with the estimated revenue taken in the 2013-</w:t>
      </w:r>
      <w:r w:rsidR="00DA1C78">
        <w:rPr>
          <w:rFonts w:ascii="Arial" w:hAnsi="Arial" w:cs="Arial"/>
          <w:sz w:val="20"/>
          <w:szCs w:val="20"/>
          <w:highlight w:val="white"/>
          <w:lang w:eastAsia="en-AU"/>
        </w:rPr>
        <w:t>20</w:t>
      </w:r>
      <w:r w:rsidRPr="001D46D2">
        <w:rPr>
          <w:rFonts w:ascii="Arial" w:hAnsi="Arial" w:cs="Arial"/>
          <w:sz w:val="20"/>
          <w:szCs w:val="20"/>
          <w:highlight w:val="white"/>
          <w:lang w:eastAsia="en-AU"/>
        </w:rPr>
        <w:t>14 period using actual registration figures from December 2011. Estimated revenue is calculated using 2013-</w:t>
      </w:r>
      <w:r w:rsidR="008952ED">
        <w:rPr>
          <w:rFonts w:ascii="Arial" w:hAnsi="Arial" w:cs="Arial"/>
          <w:sz w:val="20"/>
          <w:szCs w:val="20"/>
          <w:highlight w:val="white"/>
          <w:lang w:eastAsia="en-AU"/>
        </w:rPr>
        <w:t>20</w:t>
      </w:r>
      <w:r w:rsidRPr="001D46D2">
        <w:rPr>
          <w:rFonts w:ascii="Arial" w:hAnsi="Arial" w:cs="Arial"/>
          <w:sz w:val="20"/>
          <w:szCs w:val="20"/>
          <w:highlight w:val="white"/>
          <w:lang w:eastAsia="en-AU"/>
        </w:rPr>
        <w:t>14 heavy vehicle charges and the RUC for 2013-</w:t>
      </w:r>
      <w:r w:rsidR="008952ED">
        <w:rPr>
          <w:rFonts w:ascii="Arial" w:hAnsi="Arial" w:cs="Arial"/>
          <w:sz w:val="20"/>
          <w:szCs w:val="20"/>
          <w:highlight w:val="white"/>
          <w:lang w:eastAsia="en-AU"/>
        </w:rPr>
        <w:t>20</w:t>
      </w:r>
      <w:r w:rsidRPr="001D46D2">
        <w:rPr>
          <w:rFonts w:ascii="Arial" w:hAnsi="Arial" w:cs="Arial"/>
          <w:sz w:val="20"/>
          <w:szCs w:val="20"/>
          <w:highlight w:val="white"/>
          <w:lang w:eastAsia="en-AU"/>
        </w:rPr>
        <w:t xml:space="preserve">14. </w:t>
      </w:r>
      <w:r w:rsidR="009D4E07">
        <w:rPr>
          <w:rFonts w:ascii="Arial" w:hAnsi="Arial" w:cs="Arial"/>
          <w:sz w:val="20"/>
          <w:szCs w:val="20"/>
          <w:highlight w:val="white"/>
          <w:lang w:eastAsia="en-AU"/>
        </w:rPr>
        <w:t>In this calculation i</w:t>
      </w:r>
      <w:r w:rsidRPr="001D46D2">
        <w:rPr>
          <w:rFonts w:ascii="Arial" w:hAnsi="Arial" w:cs="Arial"/>
          <w:sz w:val="20"/>
          <w:szCs w:val="20"/>
          <w:highlight w:val="white"/>
          <w:lang w:eastAsia="en-AU"/>
        </w:rPr>
        <w:t xml:space="preserve">ndustry is projected to pay $3.7 billion, meaning an over-recovery of over $800 million. </w:t>
      </w:r>
    </w:p>
    <w:p w:rsidR="00B81F04" w:rsidRPr="001D46D2" w:rsidRDefault="00B81F04" w:rsidP="00B81F04">
      <w:pPr>
        <w:autoSpaceDE w:val="0"/>
        <w:autoSpaceDN w:val="0"/>
        <w:adjustRightInd w:val="0"/>
        <w:spacing w:line="264" w:lineRule="auto"/>
        <w:rPr>
          <w:rFonts w:ascii="Arial" w:hAnsi="Arial" w:cs="Arial"/>
          <w:sz w:val="20"/>
          <w:szCs w:val="20"/>
          <w:highlight w:val="white"/>
          <w:lang w:eastAsia="en-AU"/>
        </w:rPr>
      </w:pPr>
    </w:p>
    <w:tbl>
      <w:tblPr>
        <w:tblStyle w:val="TableGrid"/>
        <w:tblW w:w="0" w:type="auto"/>
        <w:tblLook w:val="04A0"/>
      </w:tblPr>
      <w:tblGrid>
        <w:gridCol w:w="2328"/>
        <w:gridCol w:w="3242"/>
        <w:gridCol w:w="4284"/>
      </w:tblGrid>
      <w:tr w:rsidR="00B81F04" w:rsidRPr="001D46D2" w:rsidTr="0055055C">
        <w:trPr>
          <w:trHeight w:val="800"/>
        </w:trPr>
        <w:tc>
          <w:tcPr>
            <w:tcW w:w="0" w:type="auto"/>
            <w:noWrap/>
            <w:hideMark/>
          </w:tcPr>
          <w:p w:rsidR="00B81F04" w:rsidRPr="001D46D2" w:rsidRDefault="00B81F04" w:rsidP="0055055C">
            <w:pPr>
              <w:rPr>
                <w:rFonts w:ascii="Arial" w:hAnsi="Arial" w:cs="Arial"/>
                <w:b/>
                <w:sz w:val="20"/>
                <w:szCs w:val="20"/>
                <w:highlight w:val="white"/>
                <w:lang w:eastAsia="en-AU"/>
              </w:rPr>
            </w:pPr>
          </w:p>
        </w:tc>
        <w:tc>
          <w:tcPr>
            <w:tcW w:w="0" w:type="auto"/>
            <w:hideMark/>
          </w:tcPr>
          <w:p w:rsidR="00B81F04" w:rsidRPr="001D46D2" w:rsidRDefault="00B81F04" w:rsidP="0055055C">
            <w:pPr>
              <w:jc w:val="center"/>
              <w:rPr>
                <w:rFonts w:ascii="Arial" w:hAnsi="Arial" w:cs="Arial"/>
                <w:b/>
                <w:sz w:val="20"/>
                <w:szCs w:val="20"/>
                <w:highlight w:val="white"/>
                <w:lang w:eastAsia="en-AU"/>
              </w:rPr>
            </w:pPr>
            <w:r w:rsidRPr="001D46D2">
              <w:rPr>
                <w:rFonts w:ascii="Arial" w:hAnsi="Arial" w:cs="Arial"/>
                <w:b/>
                <w:sz w:val="20"/>
                <w:szCs w:val="20"/>
                <w:highlight w:val="white"/>
                <w:lang w:eastAsia="en-AU"/>
              </w:rPr>
              <w:t>Expenditure cost base to be recovered in 2013-</w:t>
            </w:r>
            <w:r w:rsidR="008952ED">
              <w:rPr>
                <w:rFonts w:ascii="Arial" w:hAnsi="Arial" w:cs="Arial"/>
                <w:b/>
                <w:sz w:val="20"/>
                <w:szCs w:val="20"/>
                <w:highlight w:val="white"/>
                <w:lang w:eastAsia="en-AU"/>
              </w:rPr>
              <w:t>20</w:t>
            </w:r>
            <w:r w:rsidRPr="001D46D2">
              <w:rPr>
                <w:rFonts w:ascii="Arial" w:hAnsi="Arial" w:cs="Arial"/>
                <w:b/>
                <w:sz w:val="20"/>
                <w:szCs w:val="20"/>
                <w:highlight w:val="white"/>
                <w:lang w:eastAsia="en-AU"/>
              </w:rPr>
              <w:t>14</w:t>
            </w:r>
          </w:p>
        </w:tc>
        <w:tc>
          <w:tcPr>
            <w:tcW w:w="0" w:type="auto"/>
            <w:hideMark/>
          </w:tcPr>
          <w:p w:rsidR="00B81F04" w:rsidRPr="001D46D2" w:rsidRDefault="00B81F04" w:rsidP="0055055C">
            <w:pPr>
              <w:jc w:val="center"/>
              <w:rPr>
                <w:rFonts w:ascii="Arial" w:hAnsi="Arial" w:cs="Arial"/>
                <w:b/>
                <w:sz w:val="20"/>
                <w:szCs w:val="20"/>
                <w:highlight w:val="white"/>
                <w:lang w:eastAsia="en-AU"/>
              </w:rPr>
            </w:pPr>
            <w:r w:rsidRPr="001D46D2">
              <w:rPr>
                <w:rFonts w:ascii="Arial" w:hAnsi="Arial" w:cs="Arial"/>
                <w:b/>
                <w:sz w:val="20"/>
                <w:szCs w:val="20"/>
                <w:highlight w:val="white"/>
                <w:lang w:eastAsia="en-AU"/>
              </w:rPr>
              <w:t>Estimated registration revenue collected in 2013-</w:t>
            </w:r>
            <w:r w:rsidR="008952ED">
              <w:rPr>
                <w:rFonts w:ascii="Arial" w:hAnsi="Arial" w:cs="Arial"/>
                <w:b/>
                <w:sz w:val="20"/>
                <w:szCs w:val="20"/>
                <w:highlight w:val="white"/>
                <w:lang w:eastAsia="en-AU"/>
              </w:rPr>
              <w:t>20</w:t>
            </w:r>
            <w:r w:rsidRPr="001D46D2">
              <w:rPr>
                <w:rFonts w:ascii="Arial" w:hAnsi="Arial" w:cs="Arial"/>
                <w:b/>
                <w:sz w:val="20"/>
                <w:szCs w:val="20"/>
                <w:highlight w:val="white"/>
                <w:lang w:eastAsia="en-AU"/>
              </w:rPr>
              <w:t>14 (excludes concessions given by states)</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NSW</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421,800,000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280,897,664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VIC</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177,600,000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335,809,104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QLD</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359,300,000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301,135,332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SA</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61,700,000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109,273,288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NT</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14,000,000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20,811,748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TAS</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15,000,000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22,449,544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 xml:space="preserve">ACT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13,000,000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3,104,519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WA</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116,600,000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218,425,747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Commonwealth (RUC)</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1,703,179,408 </w:t>
            </w:r>
          </w:p>
        </w:tc>
        <w:tc>
          <w:tcPr>
            <w:tcW w:w="0" w:type="auto"/>
            <w:noWrap/>
            <w:hideMark/>
          </w:tcPr>
          <w:p w:rsidR="00B81F04" w:rsidRPr="001D46D2" w:rsidRDefault="00B81F04" w:rsidP="0055055C">
            <w:pPr>
              <w:rPr>
                <w:rFonts w:ascii="Arial" w:hAnsi="Arial" w:cs="Arial"/>
                <w:sz w:val="20"/>
                <w:szCs w:val="20"/>
                <w:highlight w:val="white"/>
                <w:lang w:eastAsia="en-AU"/>
              </w:rPr>
            </w:pPr>
            <w:r w:rsidRPr="001D46D2">
              <w:rPr>
                <w:rFonts w:ascii="Arial" w:hAnsi="Arial" w:cs="Arial"/>
                <w:sz w:val="20"/>
                <w:szCs w:val="20"/>
                <w:highlight w:val="white"/>
                <w:lang w:eastAsia="en-AU"/>
              </w:rPr>
              <w:t xml:space="preserve"> $                2,408,946,662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 xml:space="preserve">Total revenue </w:t>
            </w:r>
          </w:p>
        </w:tc>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 xml:space="preserve"> $                2,882,179,408 </w:t>
            </w:r>
          </w:p>
        </w:tc>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 xml:space="preserve"> $                3,700,853,608 </w:t>
            </w:r>
          </w:p>
        </w:tc>
      </w:tr>
      <w:tr w:rsidR="00B81F04" w:rsidRPr="001D46D2" w:rsidTr="0055055C">
        <w:trPr>
          <w:trHeight w:val="315"/>
        </w:trPr>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Difference</w:t>
            </w:r>
          </w:p>
        </w:tc>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 </w:t>
            </w:r>
          </w:p>
        </w:tc>
        <w:tc>
          <w:tcPr>
            <w:tcW w:w="0" w:type="auto"/>
            <w:noWrap/>
            <w:hideMark/>
          </w:tcPr>
          <w:p w:rsidR="00B81F04" w:rsidRPr="001D46D2" w:rsidRDefault="00B81F04" w:rsidP="0055055C">
            <w:pPr>
              <w:rPr>
                <w:rFonts w:ascii="Arial" w:hAnsi="Arial" w:cs="Arial"/>
                <w:b/>
                <w:sz w:val="20"/>
                <w:szCs w:val="20"/>
                <w:highlight w:val="white"/>
                <w:lang w:eastAsia="en-AU"/>
              </w:rPr>
            </w:pPr>
            <w:r w:rsidRPr="001D46D2">
              <w:rPr>
                <w:rFonts w:ascii="Arial" w:hAnsi="Arial" w:cs="Arial"/>
                <w:b/>
                <w:sz w:val="20"/>
                <w:szCs w:val="20"/>
                <w:highlight w:val="white"/>
                <w:lang w:eastAsia="en-AU"/>
              </w:rPr>
              <w:t xml:space="preserve"> $                    818,674,200 </w:t>
            </w:r>
          </w:p>
        </w:tc>
      </w:tr>
    </w:tbl>
    <w:p w:rsidR="00B81F04" w:rsidRPr="001D46D2" w:rsidRDefault="00B81F04" w:rsidP="00B81F04">
      <w:pPr>
        <w:autoSpaceDE w:val="0"/>
        <w:autoSpaceDN w:val="0"/>
        <w:adjustRightInd w:val="0"/>
        <w:spacing w:line="264" w:lineRule="auto"/>
        <w:rPr>
          <w:rFonts w:ascii="Arial" w:hAnsi="Arial" w:cs="Arial"/>
          <w:sz w:val="18"/>
          <w:szCs w:val="20"/>
          <w:highlight w:val="white"/>
          <w:lang w:eastAsia="en-AU"/>
        </w:rPr>
      </w:pPr>
      <w:r w:rsidRPr="001D46D2">
        <w:rPr>
          <w:rFonts w:ascii="Arial" w:hAnsi="Arial" w:cs="Arial"/>
          <w:sz w:val="18"/>
          <w:szCs w:val="20"/>
          <w:highlight w:val="white"/>
          <w:lang w:eastAsia="en-AU"/>
        </w:rPr>
        <w:t xml:space="preserve">Source: </w:t>
      </w:r>
    </w:p>
    <w:p w:rsidR="00B81F04" w:rsidRPr="001D46D2" w:rsidRDefault="00B81F04" w:rsidP="00B81F04">
      <w:pPr>
        <w:pStyle w:val="ListParagraph"/>
        <w:numPr>
          <w:ilvl w:val="0"/>
          <w:numId w:val="8"/>
        </w:numPr>
        <w:autoSpaceDE w:val="0"/>
        <w:autoSpaceDN w:val="0"/>
        <w:adjustRightInd w:val="0"/>
        <w:spacing w:line="264" w:lineRule="auto"/>
        <w:rPr>
          <w:rFonts w:ascii="Arial" w:hAnsi="Arial" w:cs="Arial"/>
          <w:sz w:val="18"/>
          <w:szCs w:val="20"/>
          <w:highlight w:val="white"/>
          <w:lang w:eastAsia="en-AU"/>
        </w:rPr>
      </w:pPr>
      <w:r w:rsidRPr="001D46D2">
        <w:rPr>
          <w:rFonts w:ascii="Arial" w:hAnsi="Arial" w:cs="Arial"/>
          <w:sz w:val="18"/>
          <w:szCs w:val="20"/>
          <w:highlight w:val="white"/>
          <w:lang w:eastAsia="en-AU"/>
        </w:rPr>
        <w:t>Expenditure cost base to be recovered 2013-</w:t>
      </w:r>
      <w:r w:rsidR="00DA1C78">
        <w:rPr>
          <w:rFonts w:ascii="Arial" w:hAnsi="Arial" w:cs="Arial"/>
          <w:sz w:val="18"/>
          <w:szCs w:val="20"/>
          <w:highlight w:val="white"/>
          <w:lang w:eastAsia="en-AU"/>
        </w:rPr>
        <w:t>20</w:t>
      </w:r>
      <w:r w:rsidRPr="001D46D2">
        <w:rPr>
          <w:rFonts w:ascii="Arial" w:hAnsi="Arial" w:cs="Arial"/>
          <w:sz w:val="18"/>
          <w:szCs w:val="20"/>
          <w:highlight w:val="white"/>
          <w:lang w:eastAsia="en-AU"/>
        </w:rPr>
        <w:t>14: NTC annual report 2011-</w:t>
      </w:r>
      <w:r w:rsidR="00DA1C78">
        <w:rPr>
          <w:rFonts w:ascii="Arial" w:hAnsi="Arial" w:cs="Arial"/>
          <w:sz w:val="18"/>
          <w:szCs w:val="20"/>
          <w:highlight w:val="white"/>
          <w:lang w:eastAsia="en-AU"/>
        </w:rPr>
        <w:t>20</w:t>
      </w:r>
      <w:r w:rsidRPr="001D46D2">
        <w:rPr>
          <w:rFonts w:ascii="Arial" w:hAnsi="Arial" w:cs="Arial"/>
          <w:sz w:val="18"/>
          <w:szCs w:val="20"/>
          <w:highlight w:val="white"/>
          <w:lang w:eastAsia="en-AU"/>
        </w:rPr>
        <w:t xml:space="preserve">12 page 93 </w:t>
      </w:r>
    </w:p>
    <w:p w:rsidR="00B81F04" w:rsidRPr="001D46D2" w:rsidRDefault="00B81F04" w:rsidP="00B81F04">
      <w:pPr>
        <w:pStyle w:val="ListParagraph"/>
        <w:numPr>
          <w:ilvl w:val="0"/>
          <w:numId w:val="8"/>
        </w:numPr>
        <w:autoSpaceDE w:val="0"/>
        <w:autoSpaceDN w:val="0"/>
        <w:adjustRightInd w:val="0"/>
        <w:spacing w:line="264" w:lineRule="auto"/>
        <w:rPr>
          <w:rFonts w:ascii="Arial" w:hAnsi="Arial" w:cs="Arial"/>
          <w:sz w:val="18"/>
          <w:szCs w:val="20"/>
          <w:highlight w:val="white"/>
          <w:lang w:eastAsia="en-AU"/>
        </w:rPr>
      </w:pPr>
      <w:r w:rsidRPr="001D46D2">
        <w:rPr>
          <w:rFonts w:ascii="Arial" w:hAnsi="Arial" w:cs="Arial"/>
          <w:sz w:val="18"/>
          <w:szCs w:val="20"/>
          <w:highlight w:val="white"/>
          <w:lang w:eastAsia="en-AU"/>
        </w:rPr>
        <w:t>Commonwealth (RUC): based on SMVU figures from Table 15. Scenario B usage and cost allocation data (for recalculated 2012/13 charges) page 37 of the NTC Heavy vehicle charges – Report to the Standing Council on Transport and Infrastructure February 2012 multiplied by 0.2614 cpl for 2013-</w:t>
      </w:r>
      <w:r w:rsidR="00DA1C78">
        <w:rPr>
          <w:rFonts w:ascii="Arial" w:hAnsi="Arial" w:cs="Arial"/>
          <w:sz w:val="18"/>
          <w:szCs w:val="20"/>
          <w:highlight w:val="white"/>
          <w:lang w:eastAsia="en-AU"/>
        </w:rPr>
        <w:t>20</w:t>
      </w:r>
      <w:r w:rsidRPr="001D46D2">
        <w:rPr>
          <w:rFonts w:ascii="Arial" w:hAnsi="Arial" w:cs="Arial"/>
          <w:sz w:val="18"/>
          <w:szCs w:val="20"/>
          <w:highlight w:val="white"/>
          <w:lang w:eastAsia="en-AU"/>
        </w:rPr>
        <w:t xml:space="preserve">14. </w:t>
      </w:r>
    </w:p>
    <w:p w:rsidR="00B81F04" w:rsidRPr="001D46D2" w:rsidRDefault="00B81F04" w:rsidP="00B81F04">
      <w:pPr>
        <w:pStyle w:val="ListParagraph"/>
        <w:numPr>
          <w:ilvl w:val="0"/>
          <w:numId w:val="8"/>
        </w:numPr>
        <w:autoSpaceDE w:val="0"/>
        <w:autoSpaceDN w:val="0"/>
        <w:adjustRightInd w:val="0"/>
        <w:spacing w:line="264" w:lineRule="auto"/>
        <w:rPr>
          <w:rFonts w:ascii="Arial" w:hAnsi="Arial" w:cs="Arial"/>
          <w:sz w:val="18"/>
          <w:szCs w:val="20"/>
          <w:highlight w:val="white"/>
          <w:lang w:eastAsia="en-AU"/>
        </w:rPr>
      </w:pPr>
      <w:r w:rsidRPr="001D46D2">
        <w:rPr>
          <w:rFonts w:ascii="Arial" w:hAnsi="Arial" w:cs="Arial"/>
          <w:sz w:val="18"/>
          <w:szCs w:val="20"/>
          <w:highlight w:val="white"/>
          <w:lang w:eastAsia="en-AU"/>
        </w:rPr>
        <w:t>Estimated registration revenue collected in 2013-</w:t>
      </w:r>
      <w:r w:rsidR="00DA1C78">
        <w:rPr>
          <w:rFonts w:ascii="Arial" w:hAnsi="Arial" w:cs="Arial"/>
          <w:sz w:val="18"/>
          <w:szCs w:val="20"/>
          <w:highlight w:val="white"/>
          <w:lang w:eastAsia="en-AU"/>
        </w:rPr>
        <w:t>20</w:t>
      </w:r>
      <w:r w:rsidRPr="001D46D2">
        <w:rPr>
          <w:rFonts w:ascii="Arial" w:hAnsi="Arial" w:cs="Arial"/>
          <w:sz w:val="18"/>
          <w:szCs w:val="20"/>
          <w:highlight w:val="white"/>
          <w:lang w:eastAsia="en-AU"/>
        </w:rPr>
        <w:t>14 (excludes concessions given by states): from December 2011 registration figures multiplied by 2013-</w:t>
      </w:r>
      <w:r w:rsidR="00DA1C78">
        <w:rPr>
          <w:rFonts w:ascii="Arial" w:hAnsi="Arial" w:cs="Arial"/>
          <w:sz w:val="18"/>
          <w:szCs w:val="20"/>
          <w:highlight w:val="white"/>
          <w:lang w:eastAsia="en-AU"/>
        </w:rPr>
        <w:t>20</w:t>
      </w:r>
      <w:r w:rsidRPr="001D46D2">
        <w:rPr>
          <w:rFonts w:ascii="Arial" w:hAnsi="Arial" w:cs="Arial"/>
          <w:sz w:val="18"/>
          <w:szCs w:val="20"/>
          <w:highlight w:val="white"/>
          <w:lang w:eastAsia="en-AU"/>
        </w:rPr>
        <w:t>14 heavy vehicle charges</w:t>
      </w:r>
    </w:p>
    <w:p w:rsidR="00B81F04" w:rsidRPr="001D46D2" w:rsidRDefault="00B81F04" w:rsidP="00B81F04">
      <w:pPr>
        <w:pStyle w:val="ListParagraph"/>
        <w:numPr>
          <w:ilvl w:val="0"/>
          <w:numId w:val="8"/>
        </w:numPr>
        <w:autoSpaceDE w:val="0"/>
        <w:autoSpaceDN w:val="0"/>
        <w:adjustRightInd w:val="0"/>
        <w:spacing w:line="264" w:lineRule="auto"/>
        <w:rPr>
          <w:rFonts w:ascii="Arial" w:hAnsi="Arial" w:cs="Arial"/>
          <w:sz w:val="18"/>
          <w:szCs w:val="20"/>
          <w:highlight w:val="white"/>
          <w:lang w:eastAsia="en-AU"/>
        </w:rPr>
      </w:pPr>
      <w:r w:rsidRPr="001D46D2">
        <w:rPr>
          <w:rFonts w:ascii="Arial" w:hAnsi="Arial" w:cs="Arial"/>
          <w:sz w:val="18"/>
          <w:szCs w:val="20"/>
          <w:highlight w:val="white"/>
          <w:lang w:eastAsia="en-AU"/>
        </w:rPr>
        <w:t>Commonwealth (RUC) revenue: 2011 December registration figures allocated to NTC vehicle classes multiplied by 0.2614 cpl for 2013-</w:t>
      </w:r>
      <w:r w:rsidR="00DA1C78">
        <w:rPr>
          <w:rFonts w:ascii="Arial" w:hAnsi="Arial" w:cs="Arial"/>
          <w:sz w:val="18"/>
          <w:szCs w:val="20"/>
          <w:highlight w:val="white"/>
          <w:lang w:eastAsia="en-AU"/>
        </w:rPr>
        <w:t>20</w:t>
      </w:r>
      <w:r w:rsidRPr="001D46D2">
        <w:rPr>
          <w:rFonts w:ascii="Arial" w:hAnsi="Arial" w:cs="Arial"/>
          <w:sz w:val="18"/>
          <w:szCs w:val="20"/>
          <w:highlight w:val="white"/>
          <w:lang w:eastAsia="en-AU"/>
        </w:rPr>
        <w:t xml:space="preserve">14.  See appendix A for further information. </w:t>
      </w:r>
    </w:p>
    <w:p w:rsidR="001922E5" w:rsidRPr="001D46D2" w:rsidRDefault="003215A3" w:rsidP="001922E5">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In the charges determination co-design workshops t</w:t>
      </w:r>
      <w:r w:rsidR="001922E5" w:rsidRPr="001D46D2">
        <w:rPr>
          <w:rFonts w:ascii="Arial" w:hAnsi="Arial" w:cs="Arial"/>
          <w:sz w:val="20"/>
          <w:szCs w:val="20"/>
          <w:highlight w:val="white"/>
          <w:lang w:eastAsia="en-AU"/>
        </w:rPr>
        <w:t xml:space="preserve">he ATA questioned the accuracy and reliability of the Survey of Motor Vehicle Use (SMVU) data used in the PayGo model. The SMVU is a </w:t>
      </w:r>
      <w:r w:rsidR="009D4E07">
        <w:rPr>
          <w:rFonts w:ascii="Arial" w:hAnsi="Arial" w:cs="Arial"/>
          <w:sz w:val="20"/>
          <w:szCs w:val="20"/>
          <w:highlight w:val="white"/>
          <w:lang w:eastAsia="en-AU"/>
        </w:rPr>
        <w:t xml:space="preserve">survey and has unrecorded years, causing a </w:t>
      </w:r>
      <w:r w:rsidR="001922E5" w:rsidRPr="001D46D2">
        <w:rPr>
          <w:rFonts w:ascii="Arial" w:hAnsi="Arial" w:cs="Arial"/>
          <w:sz w:val="20"/>
          <w:szCs w:val="20"/>
          <w:highlight w:val="white"/>
          <w:lang w:eastAsia="en-AU"/>
        </w:rPr>
        <w:t>trended estimate to be used in its place.</w:t>
      </w:r>
      <w:r w:rsidR="00CD3F5B" w:rsidRPr="001D46D2">
        <w:rPr>
          <w:rFonts w:ascii="Arial" w:hAnsi="Arial" w:cs="Arial"/>
          <w:sz w:val="20"/>
          <w:szCs w:val="20"/>
          <w:highlight w:val="white"/>
          <w:lang w:eastAsia="en-AU"/>
        </w:rPr>
        <w:t xml:space="preserve"> The SMVU records </w:t>
      </w:r>
      <w:r w:rsidR="00BB5FBA" w:rsidRPr="001D46D2">
        <w:rPr>
          <w:rFonts w:ascii="Arial" w:hAnsi="Arial" w:cs="Arial"/>
          <w:sz w:val="20"/>
          <w:szCs w:val="20"/>
          <w:highlight w:val="white"/>
          <w:lang w:eastAsia="en-AU"/>
        </w:rPr>
        <w:t xml:space="preserve">vehicle population, Vehicle Kilometres Travelled (VKT), Gross Tonne Kilometres (GTK) and fuel consumption.  </w:t>
      </w:r>
      <w:r w:rsidR="00CD3F5B" w:rsidRPr="001D46D2">
        <w:rPr>
          <w:rFonts w:ascii="Arial" w:hAnsi="Arial" w:cs="Arial"/>
          <w:sz w:val="20"/>
          <w:szCs w:val="20"/>
          <w:highlight w:val="white"/>
          <w:lang w:eastAsia="en-AU"/>
        </w:rPr>
        <w:t xml:space="preserve"> </w:t>
      </w:r>
    </w:p>
    <w:p w:rsidR="003215A3" w:rsidRPr="001D46D2" w:rsidRDefault="003215A3" w:rsidP="003215A3">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Given this difference </w:t>
      </w:r>
      <w:r w:rsidR="00B81F04" w:rsidRPr="001D46D2">
        <w:rPr>
          <w:rFonts w:ascii="Arial" w:hAnsi="Arial" w:cs="Arial"/>
          <w:sz w:val="20"/>
          <w:szCs w:val="20"/>
          <w:highlight w:val="white"/>
          <w:lang w:eastAsia="en-AU"/>
        </w:rPr>
        <w:t xml:space="preserve">between SMVU heavy vehicle population figures and the jurisdictional figures, </w:t>
      </w:r>
      <w:r w:rsidRPr="001D46D2">
        <w:rPr>
          <w:rFonts w:ascii="Arial" w:hAnsi="Arial" w:cs="Arial"/>
          <w:sz w:val="20"/>
          <w:szCs w:val="20"/>
          <w:highlight w:val="white"/>
          <w:lang w:eastAsia="en-AU"/>
        </w:rPr>
        <w:t xml:space="preserve">the ATA advised the NTC to investigate alternative sources of data for the PayGo model. The NTC investigated alternative data sets to use in the PayGo model for parameters such as </w:t>
      </w:r>
      <w:r w:rsidR="00F322F1" w:rsidRPr="001D46D2">
        <w:rPr>
          <w:rFonts w:ascii="Arial" w:hAnsi="Arial" w:cs="Arial"/>
          <w:sz w:val="20"/>
          <w:szCs w:val="20"/>
          <w:highlight w:val="white"/>
          <w:lang w:eastAsia="en-AU"/>
        </w:rPr>
        <w:t xml:space="preserve">heavy vehicle </w:t>
      </w:r>
      <w:r w:rsidRPr="001D46D2">
        <w:rPr>
          <w:rFonts w:ascii="Arial" w:hAnsi="Arial" w:cs="Arial"/>
          <w:sz w:val="20"/>
          <w:szCs w:val="20"/>
          <w:highlight w:val="white"/>
          <w:lang w:eastAsia="en-AU"/>
        </w:rPr>
        <w:t>population, fuel usage and vehicle kilometres travelled. However, th</w:t>
      </w:r>
      <w:r w:rsidR="009D4E07">
        <w:rPr>
          <w:rFonts w:ascii="Arial" w:hAnsi="Arial" w:cs="Arial"/>
          <w:sz w:val="20"/>
          <w:szCs w:val="20"/>
          <w:highlight w:val="white"/>
          <w:lang w:eastAsia="en-AU"/>
        </w:rPr>
        <w:t xml:space="preserve">ey found the </w:t>
      </w:r>
      <w:r w:rsidRPr="001D46D2">
        <w:rPr>
          <w:rFonts w:ascii="Arial" w:hAnsi="Arial" w:cs="Arial"/>
          <w:sz w:val="20"/>
          <w:szCs w:val="20"/>
          <w:highlight w:val="white"/>
          <w:lang w:eastAsia="en-AU"/>
        </w:rPr>
        <w:t xml:space="preserve">SMVU still provides an integrated data set superior to other sources.  </w:t>
      </w:r>
    </w:p>
    <w:p w:rsidR="001922E5" w:rsidRPr="001D46D2" w:rsidRDefault="001922E5" w:rsidP="001922E5">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ATA </w:t>
      </w:r>
      <w:r w:rsidR="003215A3" w:rsidRPr="001D46D2">
        <w:rPr>
          <w:rFonts w:ascii="Arial" w:hAnsi="Arial" w:cs="Arial"/>
          <w:sz w:val="20"/>
          <w:szCs w:val="20"/>
          <w:highlight w:val="white"/>
          <w:lang w:eastAsia="en-AU"/>
        </w:rPr>
        <w:t xml:space="preserve">also </w:t>
      </w:r>
      <w:r w:rsidRPr="001D46D2">
        <w:rPr>
          <w:rFonts w:ascii="Arial" w:hAnsi="Arial" w:cs="Arial"/>
          <w:sz w:val="20"/>
          <w:szCs w:val="20"/>
          <w:highlight w:val="white"/>
          <w:lang w:eastAsia="en-AU"/>
        </w:rPr>
        <w:t>recommended that most recent actual state registration figures should be used in the PayGo model, instead of the mid-point SMVU.</w:t>
      </w:r>
      <w:r w:rsidR="003215A3" w:rsidRPr="001D46D2">
        <w:rPr>
          <w:rFonts w:ascii="Arial" w:hAnsi="Arial" w:cs="Arial"/>
          <w:sz w:val="20"/>
          <w:szCs w:val="20"/>
          <w:highlight w:val="white"/>
          <w:lang w:eastAsia="en-AU"/>
        </w:rPr>
        <w:t xml:space="preserve"> </w:t>
      </w:r>
      <w:r w:rsidRPr="001D46D2">
        <w:rPr>
          <w:rFonts w:ascii="Arial" w:hAnsi="Arial" w:cs="Arial"/>
          <w:sz w:val="20"/>
          <w:szCs w:val="20"/>
          <w:highlight w:val="white"/>
          <w:lang w:eastAsia="en-AU"/>
        </w:rPr>
        <w:t>The NTC compared SMVU</w:t>
      </w:r>
      <w:r w:rsidR="00B81F04" w:rsidRPr="001D46D2">
        <w:rPr>
          <w:rFonts w:ascii="Arial" w:hAnsi="Arial" w:cs="Arial"/>
          <w:sz w:val="20"/>
          <w:szCs w:val="20"/>
          <w:highlight w:val="white"/>
          <w:lang w:eastAsia="en-AU"/>
        </w:rPr>
        <w:t xml:space="preserve"> heavy vehicle</w:t>
      </w:r>
      <w:r w:rsidRPr="001D46D2">
        <w:rPr>
          <w:rFonts w:ascii="Arial" w:hAnsi="Arial" w:cs="Arial"/>
          <w:sz w:val="20"/>
          <w:szCs w:val="20"/>
          <w:highlight w:val="white"/>
          <w:lang w:eastAsia="en-AU"/>
        </w:rPr>
        <w:t xml:space="preserve"> population figures against jurisdictional heavy vehicle registration figures for the same period and found that after statistical testing SMVU data was shown to be a reliable estimate to vehicle usage. However, for some vehicle classes there were high relative standard errors, meaning for some less populated vehicle classes the data was not as accurate as it could be. </w:t>
      </w:r>
    </w:p>
    <w:p w:rsidR="003669CC" w:rsidRDefault="001922E5" w:rsidP="001922E5">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While </w:t>
      </w:r>
      <w:r w:rsidR="00230598">
        <w:rPr>
          <w:rFonts w:ascii="Arial" w:hAnsi="Arial" w:cs="Arial"/>
          <w:sz w:val="20"/>
          <w:szCs w:val="20"/>
          <w:highlight w:val="white"/>
          <w:lang w:eastAsia="en-AU"/>
        </w:rPr>
        <w:t>no changes have been recommended for the data set,</w:t>
      </w:r>
      <w:r w:rsidRPr="001D46D2">
        <w:rPr>
          <w:rFonts w:ascii="Arial" w:hAnsi="Arial" w:cs="Arial"/>
          <w:sz w:val="20"/>
          <w:szCs w:val="20"/>
          <w:highlight w:val="white"/>
          <w:lang w:eastAsia="en-AU"/>
        </w:rPr>
        <w:t xml:space="preserve"> the NTC are recommending the latest SMVU figures be trended to the most recent PayGo year using a transparent methodology</w:t>
      </w:r>
      <w:r w:rsidR="00BB5FBA" w:rsidRPr="001D46D2">
        <w:rPr>
          <w:rFonts w:ascii="Arial" w:hAnsi="Arial" w:cs="Arial"/>
          <w:sz w:val="20"/>
          <w:szCs w:val="20"/>
          <w:highlight w:val="white"/>
          <w:lang w:eastAsia="en-AU"/>
        </w:rPr>
        <w:t xml:space="preserve"> instead of the midpoint population</w:t>
      </w:r>
      <w:r w:rsidRPr="001D46D2">
        <w:rPr>
          <w:rFonts w:ascii="Arial" w:hAnsi="Arial" w:cs="Arial"/>
          <w:sz w:val="20"/>
          <w:szCs w:val="20"/>
          <w:highlight w:val="white"/>
          <w:lang w:eastAsia="en-AU"/>
        </w:rPr>
        <w:t>.</w:t>
      </w:r>
    </w:p>
    <w:p w:rsidR="00AF3626" w:rsidRDefault="00AF3626" w:rsidP="001922E5">
      <w:pPr>
        <w:autoSpaceDE w:val="0"/>
        <w:autoSpaceDN w:val="0"/>
        <w:adjustRightInd w:val="0"/>
        <w:spacing w:after="200" w:line="276" w:lineRule="auto"/>
        <w:rPr>
          <w:rFonts w:ascii="Arial" w:hAnsi="Arial" w:cs="Arial"/>
          <w:sz w:val="20"/>
          <w:szCs w:val="20"/>
          <w:highlight w:val="white"/>
          <w:lang w:eastAsia="en-AU"/>
        </w:rPr>
      </w:pPr>
    </w:p>
    <w:p w:rsidR="00AF3626" w:rsidRPr="001D46D2" w:rsidRDefault="00AF3626" w:rsidP="001922E5">
      <w:pPr>
        <w:autoSpaceDE w:val="0"/>
        <w:autoSpaceDN w:val="0"/>
        <w:adjustRightInd w:val="0"/>
        <w:spacing w:after="200" w:line="276" w:lineRule="auto"/>
        <w:rPr>
          <w:rFonts w:ascii="Arial" w:hAnsi="Arial" w:cs="Arial"/>
          <w:sz w:val="20"/>
          <w:szCs w:val="20"/>
          <w:highlight w:val="white"/>
          <w:lang w:eastAsia="en-AU"/>
        </w:rPr>
      </w:pPr>
    </w:p>
    <w:p w:rsidR="00A12A25" w:rsidRPr="001D46D2" w:rsidRDefault="001922E5" w:rsidP="001922E5">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lastRenderedPageBreak/>
        <w:t>The</w:t>
      </w:r>
      <w:r w:rsidR="005E7C87" w:rsidRPr="001D46D2">
        <w:rPr>
          <w:rFonts w:ascii="Arial" w:hAnsi="Arial" w:cs="Arial"/>
          <w:sz w:val="20"/>
          <w:szCs w:val="20"/>
          <w:highlight w:val="white"/>
          <w:lang w:eastAsia="en-AU"/>
        </w:rPr>
        <w:t xml:space="preserve"> NTC have recommended using the EMA method </w:t>
      </w:r>
      <w:r w:rsidRPr="001D46D2">
        <w:rPr>
          <w:rFonts w:ascii="Arial" w:hAnsi="Arial" w:cs="Arial"/>
          <w:sz w:val="20"/>
          <w:szCs w:val="20"/>
          <w:highlight w:val="white"/>
          <w:lang w:eastAsia="en-AU"/>
        </w:rPr>
        <w:t>using the same alpha value a</w:t>
      </w:r>
      <w:r w:rsidR="001D5BA0" w:rsidRPr="001D46D2">
        <w:rPr>
          <w:rFonts w:ascii="Arial" w:hAnsi="Arial" w:cs="Arial"/>
          <w:sz w:val="20"/>
          <w:szCs w:val="20"/>
          <w:highlight w:val="white"/>
          <w:lang w:eastAsia="en-AU"/>
        </w:rPr>
        <w:t>s the cost base calculation</w:t>
      </w:r>
      <w:r w:rsidR="005E7C87" w:rsidRPr="001D46D2">
        <w:rPr>
          <w:rFonts w:ascii="Arial" w:hAnsi="Arial" w:cs="Arial"/>
          <w:sz w:val="20"/>
          <w:szCs w:val="20"/>
          <w:highlight w:val="white"/>
          <w:lang w:eastAsia="en-AU"/>
        </w:rPr>
        <w:t>, 0.5</w:t>
      </w:r>
      <w:r w:rsidR="001D5BA0" w:rsidRPr="001D46D2">
        <w:rPr>
          <w:rFonts w:ascii="Arial" w:hAnsi="Arial" w:cs="Arial"/>
          <w:sz w:val="20"/>
          <w:szCs w:val="20"/>
          <w:highlight w:val="white"/>
          <w:lang w:eastAsia="en-AU"/>
        </w:rPr>
        <w:t>.  The EMA jus</w:t>
      </w:r>
      <w:r w:rsidR="00230598">
        <w:rPr>
          <w:rFonts w:ascii="Arial" w:hAnsi="Arial" w:cs="Arial"/>
          <w:sz w:val="20"/>
          <w:szCs w:val="20"/>
          <w:highlight w:val="white"/>
          <w:lang w:eastAsia="en-AU"/>
        </w:rPr>
        <w:t>tification is that it produces fewer</w:t>
      </w:r>
      <w:r w:rsidR="001D5BA0" w:rsidRPr="001D46D2">
        <w:rPr>
          <w:rFonts w:ascii="Arial" w:hAnsi="Arial" w:cs="Arial"/>
          <w:sz w:val="20"/>
          <w:szCs w:val="20"/>
          <w:highlight w:val="white"/>
          <w:lang w:eastAsia="en-AU"/>
        </w:rPr>
        <w:t xml:space="preserve"> relative standard errors than </w:t>
      </w:r>
      <w:r w:rsidR="0055055C" w:rsidRPr="001D46D2">
        <w:rPr>
          <w:rFonts w:ascii="Arial" w:hAnsi="Arial" w:cs="Arial"/>
          <w:sz w:val="20"/>
          <w:szCs w:val="20"/>
          <w:highlight w:val="white"/>
          <w:lang w:eastAsia="en-AU"/>
        </w:rPr>
        <w:t xml:space="preserve">the </w:t>
      </w:r>
      <w:r w:rsidR="0020796A">
        <w:rPr>
          <w:rFonts w:ascii="Arial" w:hAnsi="Arial" w:cs="Arial"/>
          <w:sz w:val="20"/>
          <w:szCs w:val="20"/>
          <w:highlight w:val="white"/>
          <w:lang w:eastAsia="en-AU"/>
        </w:rPr>
        <w:t>Ordinary Least S</w:t>
      </w:r>
      <w:r w:rsidR="001D5BA0" w:rsidRPr="001D46D2">
        <w:rPr>
          <w:rFonts w:ascii="Arial" w:hAnsi="Arial" w:cs="Arial"/>
          <w:sz w:val="20"/>
          <w:szCs w:val="20"/>
          <w:highlight w:val="white"/>
          <w:lang w:eastAsia="en-AU"/>
        </w:rPr>
        <w:t xml:space="preserve">quares (OLS) method of trending. The EMA will produce parameter figures that stay within the bounds of </w:t>
      </w:r>
      <w:r w:rsidR="00CF17E9" w:rsidRPr="001D46D2">
        <w:rPr>
          <w:rFonts w:ascii="Arial" w:hAnsi="Arial" w:cs="Arial"/>
          <w:sz w:val="20"/>
          <w:szCs w:val="20"/>
          <w:highlight w:val="white"/>
          <w:lang w:eastAsia="en-AU"/>
        </w:rPr>
        <w:t>the lowest and highest recorded figures</w:t>
      </w:r>
      <w:r w:rsidR="0055055C" w:rsidRPr="001D46D2">
        <w:rPr>
          <w:rFonts w:ascii="Arial" w:hAnsi="Arial" w:cs="Arial"/>
          <w:sz w:val="20"/>
          <w:szCs w:val="20"/>
          <w:highlight w:val="white"/>
          <w:lang w:eastAsia="en-AU"/>
        </w:rPr>
        <w:t xml:space="preserve"> (VKT</w:t>
      </w:r>
      <w:proofErr w:type="gramStart"/>
      <w:r w:rsidR="0055055C" w:rsidRPr="001D46D2">
        <w:rPr>
          <w:rFonts w:ascii="Arial" w:hAnsi="Arial" w:cs="Arial"/>
          <w:sz w:val="20"/>
          <w:szCs w:val="20"/>
          <w:highlight w:val="white"/>
          <w:lang w:eastAsia="en-AU"/>
        </w:rPr>
        <w:t>,GTK</w:t>
      </w:r>
      <w:proofErr w:type="gramEnd"/>
      <w:r w:rsidR="0055055C" w:rsidRPr="001D46D2">
        <w:rPr>
          <w:rFonts w:ascii="Arial" w:hAnsi="Arial" w:cs="Arial"/>
          <w:sz w:val="20"/>
          <w:szCs w:val="20"/>
          <w:highlight w:val="white"/>
          <w:lang w:eastAsia="en-AU"/>
        </w:rPr>
        <w:t xml:space="preserve"> and</w:t>
      </w:r>
      <w:r w:rsidR="005E7C87" w:rsidRPr="001D46D2">
        <w:rPr>
          <w:rFonts w:ascii="Arial" w:hAnsi="Arial" w:cs="Arial"/>
          <w:sz w:val="20"/>
          <w:szCs w:val="20"/>
          <w:highlight w:val="white"/>
          <w:lang w:eastAsia="en-AU"/>
        </w:rPr>
        <w:t xml:space="preserve"> fuel consumption</w:t>
      </w:r>
      <w:r w:rsidR="0055055C" w:rsidRPr="001D46D2">
        <w:rPr>
          <w:rFonts w:ascii="Arial" w:hAnsi="Arial" w:cs="Arial"/>
          <w:sz w:val="20"/>
          <w:szCs w:val="20"/>
          <w:highlight w:val="white"/>
          <w:lang w:eastAsia="en-AU"/>
        </w:rPr>
        <w:t>)</w:t>
      </w:r>
      <w:r w:rsidR="00CF17E9" w:rsidRPr="001D46D2">
        <w:rPr>
          <w:rFonts w:ascii="Arial" w:hAnsi="Arial" w:cs="Arial"/>
          <w:sz w:val="20"/>
          <w:szCs w:val="20"/>
          <w:highlight w:val="white"/>
          <w:lang w:eastAsia="en-AU"/>
        </w:rPr>
        <w:t xml:space="preserve">. </w:t>
      </w:r>
      <w:r w:rsidR="001D5BA0" w:rsidRPr="001D46D2">
        <w:rPr>
          <w:rFonts w:ascii="Arial" w:hAnsi="Arial" w:cs="Arial"/>
          <w:sz w:val="20"/>
          <w:szCs w:val="20"/>
          <w:highlight w:val="white"/>
          <w:lang w:eastAsia="en-AU"/>
        </w:rPr>
        <w:t xml:space="preserve"> </w:t>
      </w:r>
    </w:p>
    <w:p w:rsidR="00B14E27" w:rsidRPr="001D46D2" w:rsidRDefault="00A12A25"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ATA has also suggested that </w:t>
      </w:r>
      <w:r w:rsidR="00E06511" w:rsidRPr="001D46D2">
        <w:rPr>
          <w:rFonts w:ascii="Arial" w:hAnsi="Arial" w:cs="Arial"/>
          <w:sz w:val="20"/>
          <w:szCs w:val="20"/>
          <w:highlight w:val="white"/>
          <w:lang w:eastAsia="en-AU"/>
        </w:rPr>
        <w:t>actual st</w:t>
      </w:r>
      <w:r w:rsidR="007320EE" w:rsidRPr="001D46D2">
        <w:rPr>
          <w:rFonts w:ascii="Arial" w:hAnsi="Arial" w:cs="Arial"/>
          <w:sz w:val="20"/>
          <w:szCs w:val="20"/>
          <w:highlight w:val="white"/>
          <w:lang w:eastAsia="en-AU"/>
        </w:rPr>
        <w:t>ate registration data a</w:t>
      </w:r>
      <w:r w:rsidR="001922E5" w:rsidRPr="001D46D2">
        <w:rPr>
          <w:rFonts w:ascii="Arial" w:hAnsi="Arial" w:cs="Arial"/>
          <w:sz w:val="20"/>
          <w:szCs w:val="20"/>
          <w:highlight w:val="white"/>
          <w:lang w:eastAsia="en-AU"/>
        </w:rPr>
        <w:t>nd other indicative data</w:t>
      </w:r>
      <w:r w:rsidR="005E7C87" w:rsidRPr="001D46D2">
        <w:rPr>
          <w:rFonts w:ascii="Arial" w:hAnsi="Arial" w:cs="Arial"/>
          <w:sz w:val="20"/>
          <w:szCs w:val="20"/>
          <w:highlight w:val="white"/>
          <w:lang w:eastAsia="en-AU"/>
        </w:rPr>
        <w:t xml:space="preserve"> should be used</w:t>
      </w:r>
      <w:r w:rsidR="001922E5" w:rsidRPr="001D46D2">
        <w:rPr>
          <w:rFonts w:ascii="Arial" w:hAnsi="Arial" w:cs="Arial"/>
          <w:sz w:val="20"/>
          <w:szCs w:val="20"/>
          <w:highlight w:val="white"/>
          <w:lang w:eastAsia="en-AU"/>
        </w:rPr>
        <w:t xml:space="preserve"> to cross-check the figures produced in the SMVU inputs in order to make sure it remains consistent with actual registration data.</w:t>
      </w:r>
      <w:r w:rsidR="007320EE" w:rsidRPr="001D46D2">
        <w:rPr>
          <w:rFonts w:ascii="Arial" w:hAnsi="Arial" w:cs="Arial"/>
          <w:sz w:val="20"/>
          <w:szCs w:val="20"/>
          <w:highlight w:val="white"/>
          <w:lang w:eastAsia="en-AU"/>
        </w:rPr>
        <w:t xml:space="preserve"> The NTC are recommending</w:t>
      </w:r>
      <w:r w:rsidR="00B97112" w:rsidRPr="001D46D2">
        <w:rPr>
          <w:rFonts w:ascii="Arial" w:hAnsi="Arial" w:cs="Arial"/>
          <w:sz w:val="20"/>
          <w:szCs w:val="20"/>
          <w:highlight w:val="white"/>
          <w:lang w:eastAsia="en-AU"/>
        </w:rPr>
        <w:t xml:space="preserve"> </w:t>
      </w:r>
      <w:r w:rsidR="005E7C87" w:rsidRPr="001D46D2">
        <w:rPr>
          <w:rFonts w:ascii="Arial" w:hAnsi="Arial" w:cs="Arial"/>
          <w:sz w:val="20"/>
          <w:szCs w:val="20"/>
          <w:highlight w:val="white"/>
          <w:lang w:eastAsia="en-AU"/>
        </w:rPr>
        <w:t>ensu</w:t>
      </w:r>
      <w:r w:rsidR="0055055C" w:rsidRPr="001D46D2">
        <w:rPr>
          <w:rFonts w:ascii="Arial" w:hAnsi="Arial" w:cs="Arial"/>
          <w:sz w:val="20"/>
          <w:szCs w:val="20"/>
          <w:highlight w:val="white"/>
          <w:lang w:eastAsia="en-AU"/>
        </w:rPr>
        <w:t>r</w:t>
      </w:r>
      <w:r w:rsidR="005E7C87" w:rsidRPr="001D46D2">
        <w:rPr>
          <w:rFonts w:ascii="Arial" w:hAnsi="Arial" w:cs="Arial"/>
          <w:sz w:val="20"/>
          <w:szCs w:val="20"/>
          <w:highlight w:val="white"/>
          <w:lang w:eastAsia="en-AU"/>
        </w:rPr>
        <w:t>ing</w:t>
      </w:r>
      <w:r w:rsidR="00B97112" w:rsidRPr="001D46D2">
        <w:rPr>
          <w:rFonts w:ascii="Arial" w:hAnsi="Arial" w:cs="Arial"/>
          <w:sz w:val="20"/>
          <w:szCs w:val="20"/>
          <w:highlight w:val="white"/>
          <w:lang w:eastAsia="en-AU"/>
        </w:rPr>
        <w:t xml:space="preserve"> the figures </w:t>
      </w:r>
      <w:r w:rsidR="005E7C87" w:rsidRPr="001D46D2">
        <w:rPr>
          <w:rFonts w:ascii="Arial" w:hAnsi="Arial" w:cs="Arial"/>
          <w:sz w:val="20"/>
          <w:szCs w:val="20"/>
          <w:highlight w:val="white"/>
          <w:lang w:eastAsia="en-AU"/>
        </w:rPr>
        <w:t xml:space="preserve">produced </w:t>
      </w:r>
      <w:r w:rsidR="00B97112" w:rsidRPr="001D46D2">
        <w:rPr>
          <w:rFonts w:ascii="Arial" w:hAnsi="Arial" w:cs="Arial"/>
          <w:sz w:val="20"/>
          <w:szCs w:val="20"/>
          <w:highlight w:val="white"/>
          <w:lang w:eastAsia="en-AU"/>
        </w:rPr>
        <w:t>from the EMA are scaled to changes in total jurisdictional figures.</w:t>
      </w:r>
    </w:p>
    <w:p w:rsidR="00BB4E99" w:rsidRPr="001D46D2" w:rsidRDefault="00BB4E99" w:rsidP="00183923">
      <w:pPr>
        <w:pStyle w:val="Heading1"/>
        <w:numPr>
          <w:ilvl w:val="1"/>
          <w:numId w:val="3"/>
        </w:numPr>
        <w:jc w:val="both"/>
        <w:rPr>
          <w:szCs w:val="20"/>
        </w:rPr>
      </w:pPr>
      <w:r w:rsidRPr="001D46D2">
        <w:rPr>
          <w:szCs w:val="20"/>
        </w:rPr>
        <w:t xml:space="preserve"> </w:t>
      </w:r>
      <w:bookmarkStart w:id="24" w:name="_Toc377542674"/>
      <w:r w:rsidR="000A102A" w:rsidRPr="001D46D2">
        <w:rPr>
          <w:szCs w:val="20"/>
        </w:rPr>
        <w:t xml:space="preserve">Expenditure template </w:t>
      </w:r>
      <w:r w:rsidRPr="001D46D2">
        <w:rPr>
          <w:szCs w:val="20"/>
        </w:rPr>
        <w:t>and expenditure accountability</w:t>
      </w:r>
      <w:bookmarkEnd w:id="24"/>
    </w:p>
    <w:p w:rsidR="00BB4E99" w:rsidRPr="001D46D2" w:rsidRDefault="00BB4E99" w:rsidP="00BB4E99">
      <w:pPr>
        <w:rPr>
          <w:rFonts w:ascii="Arial" w:hAnsi="Arial" w:cs="Arial"/>
          <w:sz w:val="20"/>
          <w:szCs w:val="20"/>
        </w:rPr>
      </w:pPr>
    </w:p>
    <w:p w:rsidR="00795D7B" w:rsidRPr="001D46D2" w:rsidRDefault="00547CA9" w:rsidP="00547CA9">
      <w:pPr>
        <w:autoSpaceDE w:val="0"/>
        <w:autoSpaceDN w:val="0"/>
        <w:adjustRightInd w:val="0"/>
        <w:spacing w:after="200" w:line="276" w:lineRule="auto"/>
        <w:rPr>
          <w:rFonts w:ascii="Arial" w:hAnsi="Arial" w:cs="Arial"/>
          <w:sz w:val="20"/>
          <w:szCs w:val="20"/>
          <w:highlight w:val="white"/>
          <w:lang w:eastAsia="en-AU"/>
        </w:rPr>
      </w:pPr>
      <w:bookmarkStart w:id="25" w:name="_Toc352059655"/>
      <w:bookmarkStart w:id="26" w:name="_Toc352070712"/>
      <w:bookmarkStart w:id="27" w:name="_Toc352071964"/>
      <w:bookmarkStart w:id="28" w:name="_Toc352149581"/>
      <w:bookmarkEnd w:id="25"/>
      <w:bookmarkEnd w:id="26"/>
      <w:bookmarkEnd w:id="27"/>
      <w:bookmarkEnd w:id="28"/>
      <w:r w:rsidRPr="001D46D2">
        <w:rPr>
          <w:rFonts w:ascii="Arial" w:hAnsi="Arial" w:cs="Arial"/>
          <w:sz w:val="20"/>
          <w:szCs w:val="20"/>
          <w:lang w:eastAsia="en-AU"/>
        </w:rPr>
        <w:t>T</w:t>
      </w:r>
      <w:r w:rsidRPr="001D46D2">
        <w:rPr>
          <w:rFonts w:ascii="Arial" w:hAnsi="Arial" w:cs="Arial"/>
          <w:sz w:val="20"/>
          <w:szCs w:val="20"/>
          <w:highlight w:val="white"/>
          <w:lang w:eastAsia="en-AU"/>
        </w:rPr>
        <w:t xml:space="preserve">he current state heavy vehicle road expenditure and maintenance inputs into the PayGo model are unaudited. Industry has raised the issue of </w:t>
      </w:r>
      <w:r w:rsidR="00182648" w:rsidRPr="001D46D2">
        <w:rPr>
          <w:rFonts w:ascii="Arial" w:hAnsi="Arial" w:cs="Arial"/>
          <w:sz w:val="20"/>
          <w:szCs w:val="20"/>
          <w:highlight w:val="white"/>
          <w:lang w:eastAsia="en-AU"/>
        </w:rPr>
        <w:t>possible in</w:t>
      </w:r>
      <w:r w:rsidRPr="001D46D2">
        <w:rPr>
          <w:rFonts w:ascii="Arial" w:hAnsi="Arial" w:cs="Arial"/>
          <w:sz w:val="20"/>
          <w:szCs w:val="20"/>
          <w:highlight w:val="white"/>
          <w:lang w:eastAsia="en-AU"/>
        </w:rPr>
        <w:t xml:space="preserve">efficient spending due to the fact that the expenditure industry pays for is </w:t>
      </w:r>
      <w:r w:rsidR="0055055C" w:rsidRPr="001D46D2">
        <w:rPr>
          <w:rFonts w:ascii="Arial" w:hAnsi="Arial" w:cs="Arial"/>
          <w:sz w:val="20"/>
          <w:szCs w:val="20"/>
          <w:highlight w:val="white"/>
          <w:lang w:eastAsia="en-AU"/>
        </w:rPr>
        <w:t xml:space="preserve">not </w:t>
      </w:r>
      <w:r w:rsidR="00182648" w:rsidRPr="001D46D2">
        <w:rPr>
          <w:rFonts w:ascii="Arial" w:hAnsi="Arial" w:cs="Arial"/>
          <w:sz w:val="20"/>
          <w:szCs w:val="20"/>
          <w:highlight w:val="white"/>
          <w:lang w:eastAsia="en-AU"/>
        </w:rPr>
        <w:t>subjected to</w:t>
      </w:r>
      <w:r w:rsidRPr="001D46D2">
        <w:rPr>
          <w:rFonts w:ascii="Arial" w:hAnsi="Arial" w:cs="Arial"/>
          <w:sz w:val="20"/>
          <w:szCs w:val="20"/>
          <w:highlight w:val="white"/>
          <w:lang w:eastAsia="en-AU"/>
        </w:rPr>
        <w:t xml:space="preserve"> independent audits. </w:t>
      </w:r>
    </w:p>
    <w:p w:rsidR="00547CA9" w:rsidRPr="001D46D2" w:rsidRDefault="00547CA9" w:rsidP="00547CA9">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findings in the Deloittes Review of Reported Jurisdictional Road Expenditure Data report showed inconsistency in what some states included in categories, </w:t>
      </w:r>
      <w:r w:rsidR="00182648" w:rsidRPr="001D46D2">
        <w:rPr>
          <w:rFonts w:ascii="Arial" w:hAnsi="Arial" w:cs="Arial"/>
          <w:sz w:val="20"/>
          <w:szCs w:val="20"/>
          <w:highlight w:val="white"/>
          <w:lang w:eastAsia="en-AU"/>
        </w:rPr>
        <w:t xml:space="preserve">some including </w:t>
      </w:r>
      <w:r w:rsidRPr="001D46D2">
        <w:rPr>
          <w:rFonts w:ascii="Arial" w:hAnsi="Arial" w:cs="Arial"/>
          <w:sz w:val="20"/>
          <w:szCs w:val="20"/>
          <w:highlight w:val="white"/>
          <w:lang w:eastAsia="en-AU"/>
        </w:rPr>
        <w:t xml:space="preserve">costs which were not listed in the guidelines. </w:t>
      </w:r>
    </w:p>
    <w:p w:rsidR="00547CA9" w:rsidRPr="001D46D2" w:rsidRDefault="0020796A" w:rsidP="00547CA9">
      <w:pPr>
        <w:autoSpaceDE w:val="0"/>
        <w:autoSpaceDN w:val="0"/>
        <w:adjustRightInd w:val="0"/>
        <w:spacing w:after="200" w:line="276" w:lineRule="auto"/>
        <w:rPr>
          <w:rFonts w:ascii="Arial" w:hAnsi="Arial" w:cs="Arial"/>
          <w:sz w:val="20"/>
          <w:szCs w:val="20"/>
          <w:highlight w:val="white"/>
          <w:lang w:eastAsia="en-AU"/>
        </w:rPr>
      </w:pPr>
      <w:r>
        <w:rPr>
          <w:rFonts w:ascii="Arial" w:hAnsi="Arial" w:cs="Arial"/>
          <w:sz w:val="20"/>
          <w:szCs w:val="20"/>
          <w:highlight w:val="white"/>
          <w:lang w:eastAsia="en-AU"/>
        </w:rPr>
        <w:t>State</w:t>
      </w:r>
      <w:r w:rsidR="00547CA9" w:rsidRPr="001D46D2">
        <w:rPr>
          <w:rFonts w:ascii="Arial" w:hAnsi="Arial" w:cs="Arial"/>
          <w:sz w:val="20"/>
          <w:szCs w:val="20"/>
          <w:highlight w:val="white"/>
          <w:lang w:eastAsia="en-AU"/>
        </w:rPr>
        <w:t xml:space="preserve"> heavy vehicle expenditure inputs should have the same level of accountability and scrutiny as other public and private entities.</w:t>
      </w:r>
      <w:r w:rsidR="00C26866" w:rsidRPr="001D46D2">
        <w:rPr>
          <w:rFonts w:ascii="Arial" w:hAnsi="Arial" w:cs="Arial"/>
          <w:sz w:val="20"/>
          <w:szCs w:val="20"/>
          <w:highlight w:val="white"/>
          <w:lang w:eastAsia="en-AU"/>
        </w:rPr>
        <w:t xml:space="preserve"> Expenditure should also b</w:t>
      </w:r>
      <w:r w:rsidR="0055055C" w:rsidRPr="001D46D2">
        <w:rPr>
          <w:rFonts w:ascii="Arial" w:hAnsi="Arial" w:cs="Arial"/>
          <w:sz w:val="20"/>
          <w:szCs w:val="20"/>
          <w:highlight w:val="white"/>
          <w:lang w:eastAsia="en-AU"/>
        </w:rPr>
        <w:t xml:space="preserve">e benchmarked to gives states an incentive to provide the road users with </w:t>
      </w:r>
      <w:r w:rsidR="00C26866" w:rsidRPr="001D46D2">
        <w:rPr>
          <w:rFonts w:ascii="Arial" w:hAnsi="Arial" w:cs="Arial"/>
          <w:sz w:val="20"/>
          <w:szCs w:val="20"/>
          <w:highlight w:val="white"/>
          <w:lang w:eastAsia="en-AU"/>
        </w:rPr>
        <w:t>value for money</w:t>
      </w:r>
      <w:r w:rsidR="0055055C" w:rsidRPr="001D46D2">
        <w:rPr>
          <w:rFonts w:ascii="Arial" w:hAnsi="Arial" w:cs="Arial"/>
          <w:sz w:val="20"/>
          <w:szCs w:val="20"/>
          <w:highlight w:val="white"/>
          <w:lang w:eastAsia="en-AU"/>
        </w:rPr>
        <w:t>.</w:t>
      </w:r>
      <w:r w:rsidR="00C26866" w:rsidRPr="001D46D2">
        <w:rPr>
          <w:rFonts w:ascii="Arial" w:hAnsi="Arial" w:cs="Arial"/>
          <w:sz w:val="20"/>
          <w:szCs w:val="20"/>
          <w:highlight w:val="white"/>
          <w:lang w:eastAsia="en-AU"/>
        </w:rPr>
        <w:t xml:space="preserve"> </w:t>
      </w:r>
    </w:p>
    <w:p w:rsidR="007907E5" w:rsidRPr="001D46D2" w:rsidRDefault="00FC69C6" w:rsidP="00927553">
      <w:pPr>
        <w:rPr>
          <w:rFonts w:ascii="Arial" w:hAnsi="Arial" w:cs="Arial"/>
          <w:sz w:val="20"/>
          <w:szCs w:val="20"/>
          <w:lang w:eastAsia="en-AU"/>
        </w:rPr>
      </w:pPr>
      <w:bookmarkStart w:id="29" w:name="_Toc352163838"/>
      <w:bookmarkStart w:id="30" w:name="_Toc352228479"/>
      <w:bookmarkStart w:id="31" w:name="_Toc352231723"/>
      <w:bookmarkStart w:id="32" w:name="_Toc352740565"/>
      <w:bookmarkStart w:id="33" w:name="_Toc353434617"/>
      <w:bookmarkStart w:id="34" w:name="_Toc353435601"/>
      <w:bookmarkEnd w:id="29"/>
      <w:bookmarkEnd w:id="30"/>
      <w:bookmarkEnd w:id="31"/>
      <w:bookmarkEnd w:id="32"/>
      <w:bookmarkEnd w:id="33"/>
      <w:bookmarkEnd w:id="34"/>
      <w:r w:rsidRPr="001D46D2">
        <w:rPr>
          <w:rFonts w:ascii="Arial" w:hAnsi="Arial" w:cs="Arial"/>
          <w:sz w:val="20"/>
          <w:szCs w:val="20"/>
          <w:lang w:eastAsia="en-AU"/>
        </w:rPr>
        <w:t>The ATA previously stated disappointment that the NTC issues paper did not raise the issue of independent audit of state road expenditure figures.</w:t>
      </w:r>
      <w:r w:rsidR="007907E5" w:rsidRPr="001D46D2">
        <w:rPr>
          <w:rFonts w:ascii="Arial" w:hAnsi="Arial" w:cs="Arial"/>
          <w:sz w:val="20"/>
          <w:szCs w:val="20"/>
          <w:lang w:eastAsia="en-AU"/>
        </w:rPr>
        <w:t xml:space="preserve"> We raised issues over the accuracy and consistency of the reported expenditure. The ATA has also asked how road agencies could demonstrate they were spending heavy vehicle charge</w:t>
      </w:r>
      <w:r w:rsidR="0055055C" w:rsidRPr="001D46D2">
        <w:rPr>
          <w:rFonts w:ascii="Arial" w:hAnsi="Arial" w:cs="Arial"/>
          <w:sz w:val="20"/>
          <w:szCs w:val="20"/>
          <w:lang w:eastAsia="en-AU"/>
        </w:rPr>
        <w:t>s</w:t>
      </w:r>
      <w:r w:rsidR="007907E5" w:rsidRPr="001D46D2">
        <w:rPr>
          <w:rFonts w:ascii="Arial" w:hAnsi="Arial" w:cs="Arial"/>
          <w:sz w:val="20"/>
          <w:szCs w:val="20"/>
          <w:lang w:eastAsia="en-AU"/>
        </w:rPr>
        <w:t xml:space="preserve"> efficiently and maintain</w:t>
      </w:r>
      <w:r w:rsidR="0055055C" w:rsidRPr="001D46D2">
        <w:rPr>
          <w:rFonts w:ascii="Arial" w:hAnsi="Arial" w:cs="Arial"/>
          <w:sz w:val="20"/>
          <w:szCs w:val="20"/>
          <w:lang w:eastAsia="en-AU"/>
        </w:rPr>
        <w:t>ing</w:t>
      </w:r>
      <w:r w:rsidR="007907E5" w:rsidRPr="001D46D2">
        <w:rPr>
          <w:rFonts w:ascii="Arial" w:hAnsi="Arial" w:cs="Arial"/>
          <w:sz w:val="20"/>
          <w:szCs w:val="20"/>
          <w:lang w:eastAsia="en-AU"/>
        </w:rPr>
        <w:t xml:space="preserve"> the network.  </w:t>
      </w:r>
    </w:p>
    <w:p w:rsidR="00795D7B" w:rsidRPr="001D46D2" w:rsidRDefault="00795D7B" w:rsidP="00927553">
      <w:pPr>
        <w:rPr>
          <w:rFonts w:ascii="Arial" w:hAnsi="Arial" w:cs="Arial"/>
          <w:sz w:val="20"/>
          <w:szCs w:val="20"/>
          <w:lang w:eastAsia="en-AU"/>
        </w:rPr>
      </w:pPr>
    </w:p>
    <w:p w:rsidR="00AE061A" w:rsidRPr="001D46D2" w:rsidRDefault="00795D7B" w:rsidP="00AE061A">
      <w:pPr>
        <w:rPr>
          <w:rFonts w:ascii="Arial" w:hAnsi="Arial" w:cs="Arial"/>
          <w:sz w:val="20"/>
          <w:szCs w:val="20"/>
          <w:lang w:eastAsia="en-AU"/>
        </w:rPr>
      </w:pPr>
      <w:r w:rsidRPr="001D46D2">
        <w:rPr>
          <w:rFonts w:ascii="Arial" w:hAnsi="Arial" w:cs="Arial"/>
          <w:sz w:val="20"/>
          <w:szCs w:val="20"/>
          <w:lang w:eastAsia="en-AU"/>
        </w:rPr>
        <w:t xml:space="preserve">It was highlighted that the cost categories in the expenditure template </w:t>
      </w:r>
      <w:r w:rsidR="00B14E27" w:rsidRPr="001D46D2">
        <w:rPr>
          <w:rFonts w:ascii="Arial" w:hAnsi="Arial" w:cs="Arial"/>
          <w:sz w:val="20"/>
          <w:szCs w:val="20"/>
          <w:lang w:eastAsia="en-AU"/>
        </w:rPr>
        <w:t>differ</w:t>
      </w:r>
      <w:r w:rsidRPr="001D46D2">
        <w:rPr>
          <w:rFonts w:ascii="Arial" w:hAnsi="Arial" w:cs="Arial"/>
          <w:sz w:val="20"/>
          <w:szCs w:val="20"/>
          <w:lang w:eastAsia="en-AU"/>
        </w:rPr>
        <w:t xml:space="preserve"> to how jurisdictions record their financial costs. This has given rise to a number of reporting issues. </w:t>
      </w:r>
      <w:r w:rsidR="00AE061A" w:rsidRPr="001D46D2">
        <w:rPr>
          <w:rFonts w:ascii="Arial" w:hAnsi="Arial" w:cs="Arial"/>
          <w:sz w:val="20"/>
          <w:szCs w:val="20"/>
          <w:lang w:eastAsia="en-AU"/>
        </w:rPr>
        <w:t xml:space="preserve">In the co-design workshops the ATA also supported the states view that the expenditure templates cost categories were vague and needed refining. </w:t>
      </w:r>
    </w:p>
    <w:p w:rsidR="008622E4" w:rsidRPr="001D46D2" w:rsidRDefault="008622E4" w:rsidP="00927553">
      <w:pPr>
        <w:rPr>
          <w:rFonts w:ascii="Arial" w:hAnsi="Arial" w:cs="Arial"/>
          <w:sz w:val="20"/>
          <w:szCs w:val="20"/>
          <w:lang w:eastAsia="en-AU"/>
        </w:rPr>
      </w:pPr>
    </w:p>
    <w:p w:rsidR="00795D7B" w:rsidRPr="001D46D2" w:rsidRDefault="008622E4" w:rsidP="00927553">
      <w:pPr>
        <w:rPr>
          <w:rFonts w:ascii="Arial" w:hAnsi="Arial" w:cs="Arial"/>
          <w:sz w:val="20"/>
          <w:szCs w:val="20"/>
          <w:lang w:eastAsia="en-AU"/>
        </w:rPr>
      </w:pPr>
      <w:r w:rsidRPr="001D46D2">
        <w:rPr>
          <w:rFonts w:ascii="Arial" w:hAnsi="Arial" w:cs="Arial"/>
          <w:sz w:val="20"/>
          <w:szCs w:val="20"/>
          <w:lang w:eastAsia="en-AU"/>
        </w:rPr>
        <w:t xml:space="preserve">The </w:t>
      </w:r>
      <w:r w:rsidR="0055055C" w:rsidRPr="001D46D2">
        <w:rPr>
          <w:rFonts w:ascii="Arial" w:hAnsi="Arial" w:cs="Arial"/>
          <w:sz w:val="20"/>
          <w:szCs w:val="20"/>
          <w:lang w:eastAsia="en-AU"/>
        </w:rPr>
        <w:t>RIS stated that</w:t>
      </w:r>
      <w:r w:rsidRPr="001D46D2">
        <w:rPr>
          <w:rFonts w:ascii="Arial" w:hAnsi="Arial" w:cs="Arial"/>
          <w:sz w:val="20"/>
          <w:szCs w:val="20"/>
          <w:lang w:eastAsia="en-AU"/>
        </w:rPr>
        <w:t xml:space="preserve"> </w:t>
      </w:r>
      <w:r w:rsidR="009A0227" w:rsidRPr="001D46D2">
        <w:rPr>
          <w:rFonts w:ascii="Arial" w:hAnsi="Arial" w:cs="Arial"/>
          <w:sz w:val="20"/>
          <w:szCs w:val="20"/>
          <w:lang w:eastAsia="en-AU"/>
        </w:rPr>
        <w:t>designing an app</w:t>
      </w:r>
      <w:r w:rsidR="00B14E27" w:rsidRPr="001D46D2">
        <w:rPr>
          <w:rFonts w:ascii="Arial" w:hAnsi="Arial" w:cs="Arial"/>
          <w:sz w:val="20"/>
          <w:szCs w:val="20"/>
          <w:lang w:eastAsia="en-AU"/>
        </w:rPr>
        <w:t xml:space="preserve">ropriate </w:t>
      </w:r>
      <w:r w:rsidR="009A0227" w:rsidRPr="001D46D2">
        <w:rPr>
          <w:rFonts w:ascii="Arial" w:hAnsi="Arial" w:cs="Arial"/>
          <w:sz w:val="20"/>
          <w:szCs w:val="20"/>
          <w:lang w:eastAsia="en-AU"/>
        </w:rPr>
        <w:t xml:space="preserve">framework for the scrutiny of costs can </w:t>
      </w:r>
      <w:r w:rsidR="00B14E27" w:rsidRPr="001D46D2">
        <w:rPr>
          <w:rFonts w:ascii="Arial" w:hAnsi="Arial" w:cs="Arial"/>
          <w:sz w:val="20"/>
          <w:szCs w:val="20"/>
          <w:lang w:eastAsia="en-AU"/>
        </w:rPr>
        <w:t>deliver</w:t>
      </w:r>
      <w:r w:rsidR="009A0227" w:rsidRPr="001D46D2">
        <w:rPr>
          <w:rFonts w:ascii="Arial" w:hAnsi="Arial" w:cs="Arial"/>
          <w:sz w:val="20"/>
          <w:szCs w:val="20"/>
          <w:lang w:eastAsia="en-AU"/>
        </w:rPr>
        <w:t xml:space="preserve"> significant effi</w:t>
      </w:r>
      <w:r w:rsidR="00B14E27" w:rsidRPr="001D46D2">
        <w:rPr>
          <w:rFonts w:ascii="Arial" w:hAnsi="Arial" w:cs="Arial"/>
          <w:sz w:val="20"/>
          <w:szCs w:val="20"/>
          <w:lang w:eastAsia="en-AU"/>
        </w:rPr>
        <w:t>ciency</w:t>
      </w:r>
      <w:r w:rsidR="009A0227" w:rsidRPr="001D46D2">
        <w:rPr>
          <w:rFonts w:ascii="Arial" w:hAnsi="Arial" w:cs="Arial"/>
          <w:sz w:val="20"/>
          <w:szCs w:val="20"/>
          <w:lang w:eastAsia="en-AU"/>
        </w:rPr>
        <w:t xml:space="preserve"> benefits for road </w:t>
      </w:r>
      <w:r w:rsidR="0020796A">
        <w:rPr>
          <w:rFonts w:ascii="Arial" w:hAnsi="Arial" w:cs="Arial"/>
          <w:sz w:val="20"/>
          <w:szCs w:val="20"/>
          <w:lang w:eastAsia="en-AU"/>
        </w:rPr>
        <w:t>users. T</w:t>
      </w:r>
      <w:r w:rsidR="00AE061A" w:rsidRPr="001D46D2">
        <w:rPr>
          <w:rFonts w:ascii="Arial" w:hAnsi="Arial" w:cs="Arial"/>
          <w:sz w:val="20"/>
          <w:szCs w:val="20"/>
          <w:lang w:eastAsia="en-AU"/>
        </w:rPr>
        <w:t>he ATA shares this view</w:t>
      </w:r>
      <w:r w:rsidR="009A0227" w:rsidRPr="001D46D2">
        <w:rPr>
          <w:rFonts w:ascii="Arial" w:hAnsi="Arial" w:cs="Arial"/>
          <w:sz w:val="20"/>
          <w:szCs w:val="20"/>
          <w:lang w:eastAsia="en-AU"/>
        </w:rPr>
        <w:t xml:space="preserve">. </w:t>
      </w:r>
    </w:p>
    <w:p w:rsidR="007907E5" w:rsidRPr="001D46D2" w:rsidRDefault="007907E5" w:rsidP="00927553">
      <w:pPr>
        <w:rPr>
          <w:rFonts w:ascii="Arial" w:hAnsi="Arial" w:cs="Arial"/>
          <w:sz w:val="20"/>
          <w:szCs w:val="20"/>
          <w:lang w:eastAsia="en-AU"/>
        </w:rPr>
      </w:pPr>
    </w:p>
    <w:p w:rsidR="00AE061A" w:rsidRPr="001D46D2" w:rsidRDefault="007907E5" w:rsidP="00927553">
      <w:pPr>
        <w:rPr>
          <w:rFonts w:ascii="Arial" w:hAnsi="Arial" w:cs="Arial"/>
          <w:sz w:val="20"/>
          <w:szCs w:val="20"/>
          <w:lang w:eastAsia="en-AU"/>
        </w:rPr>
      </w:pPr>
      <w:r w:rsidRPr="001D46D2">
        <w:rPr>
          <w:rFonts w:ascii="Arial" w:hAnsi="Arial" w:cs="Arial"/>
          <w:sz w:val="20"/>
          <w:szCs w:val="20"/>
          <w:lang w:eastAsia="en-AU"/>
        </w:rPr>
        <w:t>The NTC have recommended a commitment to investigate the possibility of introduc</w:t>
      </w:r>
      <w:r w:rsidR="00AE061A" w:rsidRPr="001D46D2">
        <w:rPr>
          <w:rFonts w:ascii="Arial" w:hAnsi="Arial" w:cs="Arial"/>
          <w:sz w:val="20"/>
          <w:szCs w:val="20"/>
          <w:lang w:eastAsia="en-AU"/>
        </w:rPr>
        <w:t>ing</w:t>
      </w:r>
      <w:r w:rsidRPr="001D46D2">
        <w:rPr>
          <w:rFonts w:ascii="Arial" w:hAnsi="Arial" w:cs="Arial"/>
          <w:sz w:val="20"/>
          <w:szCs w:val="20"/>
          <w:lang w:eastAsia="en-AU"/>
        </w:rPr>
        <w:t xml:space="preserve"> procedural style audits for completion on the returned expenditure templates. </w:t>
      </w:r>
      <w:r w:rsidR="00AE061A" w:rsidRPr="001D46D2">
        <w:rPr>
          <w:rFonts w:ascii="Arial" w:hAnsi="Arial" w:cs="Arial"/>
          <w:sz w:val="20"/>
          <w:szCs w:val="20"/>
          <w:lang w:eastAsia="en-AU"/>
        </w:rPr>
        <w:t xml:space="preserve">This would increase the transparency and accountability of reported costs. </w:t>
      </w:r>
    </w:p>
    <w:p w:rsidR="00AE061A" w:rsidRPr="001D46D2" w:rsidRDefault="00AE061A" w:rsidP="00927553">
      <w:pPr>
        <w:rPr>
          <w:rFonts w:ascii="Arial" w:hAnsi="Arial" w:cs="Arial"/>
          <w:sz w:val="20"/>
          <w:szCs w:val="20"/>
          <w:lang w:eastAsia="en-AU"/>
        </w:rPr>
      </w:pPr>
    </w:p>
    <w:p w:rsidR="007069EB" w:rsidRPr="001D46D2" w:rsidRDefault="00AE061A" w:rsidP="00AE061A">
      <w:pPr>
        <w:spacing w:after="200" w:line="276" w:lineRule="auto"/>
        <w:rPr>
          <w:rFonts w:ascii="Arial" w:hAnsi="Arial" w:cs="Arial"/>
          <w:sz w:val="20"/>
          <w:szCs w:val="20"/>
          <w:lang w:eastAsia="en-AU"/>
        </w:rPr>
      </w:pPr>
      <w:r w:rsidRPr="001D46D2">
        <w:rPr>
          <w:rFonts w:ascii="Arial" w:hAnsi="Arial" w:cs="Arial"/>
          <w:sz w:val="20"/>
          <w:szCs w:val="20"/>
          <w:lang w:eastAsia="en-AU"/>
        </w:rPr>
        <w:t xml:space="preserve">An independent external consultant designed a range of audit options that could be implemented to increase the transparency and accountability of reported costs. </w:t>
      </w:r>
    </w:p>
    <w:p w:rsidR="00AE061A" w:rsidRPr="001D46D2" w:rsidRDefault="00AE061A" w:rsidP="00AE061A">
      <w:pPr>
        <w:spacing w:after="200" w:line="276" w:lineRule="auto"/>
        <w:rPr>
          <w:rFonts w:ascii="Arial" w:eastAsiaTheme="minorHAnsi" w:hAnsi="Arial" w:cs="Arial"/>
          <w:sz w:val="20"/>
          <w:szCs w:val="20"/>
        </w:rPr>
      </w:pPr>
      <w:r w:rsidRPr="001D46D2">
        <w:rPr>
          <w:rFonts w:ascii="Arial" w:hAnsi="Arial" w:cs="Arial"/>
          <w:sz w:val="20"/>
          <w:szCs w:val="20"/>
          <w:lang w:eastAsia="en-AU"/>
        </w:rPr>
        <w:t>The audit option recommended by the NTC (option 4) would involve a team</w:t>
      </w:r>
      <w:r w:rsidRPr="001D46D2">
        <w:rPr>
          <w:rFonts w:ascii="Arial" w:eastAsiaTheme="minorHAnsi" w:hAnsi="Arial" w:cs="Arial"/>
          <w:sz w:val="20"/>
          <w:szCs w:val="20"/>
        </w:rPr>
        <w:t xml:space="preserve"> of auditors that comprehensively examine the data inputs and calculation of figures reported in the NTC expenditure template via </w:t>
      </w:r>
      <w:r w:rsidR="00F97363" w:rsidRPr="001D46D2">
        <w:rPr>
          <w:rFonts w:ascii="Arial" w:eastAsiaTheme="minorHAnsi" w:hAnsi="Arial" w:cs="Arial"/>
          <w:sz w:val="20"/>
          <w:szCs w:val="20"/>
        </w:rPr>
        <w:t>an onsite</w:t>
      </w:r>
      <w:r w:rsidRPr="001D46D2">
        <w:rPr>
          <w:rFonts w:ascii="Arial" w:eastAsiaTheme="minorHAnsi" w:hAnsi="Arial" w:cs="Arial"/>
          <w:sz w:val="20"/>
          <w:szCs w:val="20"/>
        </w:rPr>
        <w:t xml:space="preserve"> visit with detailed testing.  This option</w:t>
      </w:r>
      <w:r w:rsidR="00F97363" w:rsidRPr="001D46D2">
        <w:rPr>
          <w:rFonts w:ascii="Arial" w:eastAsiaTheme="minorHAnsi" w:hAnsi="Arial" w:cs="Arial"/>
          <w:sz w:val="20"/>
          <w:szCs w:val="20"/>
        </w:rPr>
        <w:t xml:space="preserve"> would give industry a</w:t>
      </w:r>
      <w:r w:rsidRPr="001D46D2">
        <w:rPr>
          <w:rFonts w:ascii="Arial" w:eastAsiaTheme="minorHAnsi" w:hAnsi="Arial" w:cs="Arial"/>
          <w:sz w:val="20"/>
          <w:szCs w:val="20"/>
        </w:rPr>
        <w:t xml:space="preserve"> </w:t>
      </w:r>
      <w:r w:rsidR="0020796A">
        <w:rPr>
          <w:rFonts w:ascii="Arial" w:eastAsiaTheme="minorHAnsi" w:hAnsi="Arial" w:cs="Arial"/>
          <w:sz w:val="20"/>
          <w:szCs w:val="20"/>
        </w:rPr>
        <w:t>high level of confidence</w:t>
      </w:r>
      <w:r w:rsidR="00F97363" w:rsidRPr="001D46D2">
        <w:rPr>
          <w:rFonts w:ascii="Arial" w:eastAsiaTheme="minorHAnsi" w:hAnsi="Arial" w:cs="Arial"/>
          <w:sz w:val="20"/>
          <w:szCs w:val="20"/>
        </w:rPr>
        <w:t xml:space="preserve"> in terms of oversight, as</w:t>
      </w:r>
      <w:r w:rsidRPr="001D46D2">
        <w:rPr>
          <w:rFonts w:ascii="Arial" w:eastAsiaTheme="minorHAnsi" w:hAnsi="Arial" w:cs="Arial"/>
          <w:sz w:val="20"/>
          <w:szCs w:val="20"/>
        </w:rPr>
        <w:t xml:space="preserve"> it would look at the consistency of reporting to the guidelines</w:t>
      </w:r>
      <w:r w:rsidR="008B64B9" w:rsidRPr="001D46D2">
        <w:rPr>
          <w:rFonts w:ascii="Arial" w:eastAsiaTheme="minorHAnsi" w:hAnsi="Arial" w:cs="Arial"/>
          <w:sz w:val="20"/>
          <w:szCs w:val="20"/>
        </w:rPr>
        <w:t xml:space="preserve"> as well as a range of in-depth checks and balances</w:t>
      </w:r>
      <w:r w:rsidRPr="001D46D2">
        <w:rPr>
          <w:rFonts w:ascii="Arial" w:eastAsiaTheme="minorHAnsi" w:hAnsi="Arial" w:cs="Arial"/>
          <w:sz w:val="20"/>
          <w:szCs w:val="20"/>
        </w:rPr>
        <w:t xml:space="preserve">. </w:t>
      </w:r>
    </w:p>
    <w:p w:rsidR="00AE061A" w:rsidRPr="001D46D2" w:rsidRDefault="007069EB" w:rsidP="007069EB">
      <w:pPr>
        <w:spacing w:after="200" w:line="276" w:lineRule="auto"/>
        <w:rPr>
          <w:rFonts w:ascii="Arial" w:hAnsi="Arial" w:cs="Arial"/>
          <w:sz w:val="20"/>
          <w:szCs w:val="20"/>
          <w:lang w:eastAsia="en-AU"/>
        </w:rPr>
      </w:pPr>
      <w:r w:rsidRPr="001D46D2">
        <w:rPr>
          <w:rFonts w:ascii="Arial" w:hAnsi="Arial" w:cs="Arial"/>
          <w:sz w:val="20"/>
          <w:szCs w:val="20"/>
          <w:lang w:eastAsia="en-AU"/>
        </w:rPr>
        <w:t xml:space="preserve">The </w:t>
      </w:r>
      <w:r w:rsidR="00F97363" w:rsidRPr="001D46D2">
        <w:rPr>
          <w:rFonts w:ascii="Arial" w:hAnsi="Arial" w:cs="Arial"/>
          <w:sz w:val="20"/>
          <w:szCs w:val="20"/>
          <w:lang w:eastAsia="en-AU"/>
        </w:rPr>
        <w:t xml:space="preserve">total </w:t>
      </w:r>
      <w:r w:rsidRPr="001D46D2">
        <w:rPr>
          <w:rFonts w:ascii="Arial" w:hAnsi="Arial" w:cs="Arial"/>
          <w:sz w:val="20"/>
          <w:szCs w:val="20"/>
          <w:lang w:eastAsia="en-AU"/>
        </w:rPr>
        <w:t xml:space="preserve">cost associated with this level of audit is estimated to be $115,000 to $125,000. </w:t>
      </w:r>
      <w:r w:rsidRPr="001D46D2">
        <w:rPr>
          <w:rFonts w:ascii="Arial" w:eastAsiaTheme="minorHAnsi" w:hAnsi="Arial" w:cs="Arial"/>
          <w:sz w:val="20"/>
          <w:szCs w:val="20"/>
        </w:rPr>
        <w:t xml:space="preserve">The cost of the audit being recovered from industry is not ideal, given that the audit process is an established </w:t>
      </w:r>
      <w:r w:rsidR="00F97363" w:rsidRPr="001D46D2">
        <w:rPr>
          <w:rFonts w:ascii="Arial" w:eastAsiaTheme="minorHAnsi" w:hAnsi="Arial" w:cs="Arial"/>
          <w:sz w:val="20"/>
          <w:szCs w:val="20"/>
        </w:rPr>
        <w:t>procedure</w:t>
      </w:r>
      <w:r w:rsidRPr="001D46D2">
        <w:rPr>
          <w:rFonts w:ascii="Arial" w:eastAsiaTheme="minorHAnsi" w:hAnsi="Arial" w:cs="Arial"/>
          <w:sz w:val="20"/>
          <w:szCs w:val="20"/>
        </w:rPr>
        <w:t xml:space="preserve"> that should have already been in place years ago. However, if the audit is done correctly and provides industry with more understanding about the reported costs and leads to an improvement in road agency recording practices it will be a benefit for all. </w:t>
      </w:r>
    </w:p>
    <w:p w:rsidR="007069EB" w:rsidRPr="001D46D2" w:rsidRDefault="007069EB" w:rsidP="007069EB">
      <w:pPr>
        <w:spacing w:after="200" w:line="276" w:lineRule="auto"/>
        <w:rPr>
          <w:rFonts w:ascii="Arial" w:eastAsiaTheme="minorHAnsi" w:hAnsi="Arial" w:cs="Arial"/>
          <w:sz w:val="20"/>
          <w:szCs w:val="20"/>
        </w:rPr>
      </w:pPr>
      <w:r w:rsidRPr="001D46D2">
        <w:rPr>
          <w:rFonts w:ascii="Arial" w:eastAsiaTheme="minorHAnsi" w:hAnsi="Arial" w:cs="Arial"/>
          <w:sz w:val="20"/>
          <w:szCs w:val="20"/>
        </w:rPr>
        <w:t>The NTC are recommending a one off audit/review of expenditure data modell</w:t>
      </w:r>
      <w:r w:rsidR="0020796A">
        <w:rPr>
          <w:rFonts w:ascii="Arial" w:eastAsiaTheme="minorHAnsi" w:hAnsi="Arial" w:cs="Arial"/>
          <w:sz w:val="20"/>
          <w:szCs w:val="20"/>
        </w:rPr>
        <w:t>ed on option 4</w:t>
      </w:r>
      <w:r w:rsidRPr="001D46D2">
        <w:rPr>
          <w:rFonts w:ascii="Arial" w:eastAsiaTheme="minorHAnsi" w:hAnsi="Arial" w:cs="Arial"/>
          <w:sz w:val="20"/>
          <w:szCs w:val="20"/>
        </w:rPr>
        <w:t xml:space="preserve"> should be implemented from the next financial year. </w:t>
      </w:r>
    </w:p>
    <w:p w:rsidR="00970BBB" w:rsidRPr="001D46D2" w:rsidRDefault="007069EB" w:rsidP="007069EB">
      <w:pPr>
        <w:spacing w:after="200" w:line="276" w:lineRule="auto"/>
        <w:rPr>
          <w:rFonts w:ascii="Arial" w:eastAsiaTheme="minorHAnsi" w:hAnsi="Arial" w:cs="Arial"/>
          <w:sz w:val="20"/>
          <w:szCs w:val="20"/>
        </w:rPr>
      </w:pPr>
      <w:r w:rsidRPr="001D46D2">
        <w:rPr>
          <w:rFonts w:ascii="Arial" w:eastAsiaTheme="minorHAnsi" w:hAnsi="Arial" w:cs="Arial"/>
          <w:sz w:val="20"/>
          <w:szCs w:val="20"/>
        </w:rPr>
        <w:t xml:space="preserve">The ATA supports this recommendation with the </w:t>
      </w:r>
      <w:r w:rsidR="00DF08B1" w:rsidRPr="001D46D2">
        <w:rPr>
          <w:rFonts w:ascii="Arial" w:eastAsiaTheme="minorHAnsi" w:hAnsi="Arial" w:cs="Arial"/>
          <w:sz w:val="20"/>
          <w:szCs w:val="20"/>
        </w:rPr>
        <w:t xml:space="preserve">expectation </w:t>
      </w:r>
      <w:r w:rsidRPr="001D46D2">
        <w:rPr>
          <w:rFonts w:ascii="Arial" w:eastAsiaTheme="minorHAnsi" w:hAnsi="Arial" w:cs="Arial"/>
          <w:sz w:val="20"/>
          <w:szCs w:val="20"/>
        </w:rPr>
        <w:t>that the audit process becomes an established practice road agencies carry out in order for industry to have more confidence tha</w:t>
      </w:r>
      <w:r w:rsidR="00E67F9B" w:rsidRPr="001D46D2">
        <w:rPr>
          <w:rFonts w:ascii="Arial" w:eastAsiaTheme="minorHAnsi" w:hAnsi="Arial" w:cs="Arial"/>
          <w:sz w:val="20"/>
          <w:szCs w:val="20"/>
        </w:rPr>
        <w:t>t what they are paying for is</w:t>
      </w:r>
      <w:r w:rsidRPr="001D46D2">
        <w:rPr>
          <w:rFonts w:ascii="Arial" w:eastAsiaTheme="minorHAnsi" w:hAnsi="Arial" w:cs="Arial"/>
          <w:sz w:val="20"/>
          <w:szCs w:val="20"/>
        </w:rPr>
        <w:t xml:space="preserve"> appropriate and approved. </w:t>
      </w:r>
    </w:p>
    <w:p w:rsidR="000A102A" w:rsidRPr="001D46D2" w:rsidRDefault="00970BBB" w:rsidP="008258CA">
      <w:pPr>
        <w:spacing w:after="200" w:line="276" w:lineRule="auto"/>
        <w:rPr>
          <w:rFonts w:ascii="Arial" w:eastAsiaTheme="minorHAnsi" w:hAnsi="Arial" w:cs="Arial"/>
          <w:sz w:val="20"/>
          <w:szCs w:val="20"/>
        </w:rPr>
      </w:pPr>
      <w:r w:rsidRPr="001D46D2">
        <w:rPr>
          <w:rFonts w:ascii="Arial" w:eastAsiaTheme="minorHAnsi" w:hAnsi="Arial" w:cs="Arial"/>
          <w:sz w:val="20"/>
          <w:szCs w:val="20"/>
        </w:rPr>
        <w:lastRenderedPageBreak/>
        <w:t>The ATA support</w:t>
      </w:r>
      <w:r w:rsidR="007069EB" w:rsidRPr="001D46D2">
        <w:rPr>
          <w:rFonts w:ascii="Arial" w:eastAsiaTheme="minorHAnsi" w:hAnsi="Arial" w:cs="Arial"/>
          <w:sz w:val="20"/>
          <w:szCs w:val="20"/>
        </w:rPr>
        <w:t>s</w:t>
      </w:r>
      <w:r w:rsidRPr="001D46D2">
        <w:rPr>
          <w:rFonts w:ascii="Arial" w:eastAsiaTheme="minorHAnsi" w:hAnsi="Arial" w:cs="Arial"/>
          <w:sz w:val="20"/>
          <w:szCs w:val="20"/>
        </w:rPr>
        <w:t xml:space="preserve"> the NTC recommendation of introducing benchmarking reporting of </w:t>
      </w:r>
      <w:r w:rsidR="00321554" w:rsidRPr="001D46D2">
        <w:rPr>
          <w:rFonts w:ascii="Arial" w:eastAsiaTheme="minorHAnsi" w:hAnsi="Arial" w:cs="Arial"/>
          <w:sz w:val="20"/>
          <w:szCs w:val="20"/>
        </w:rPr>
        <w:t>jurisdictional</w:t>
      </w:r>
      <w:r w:rsidRPr="001D46D2">
        <w:rPr>
          <w:rFonts w:ascii="Arial" w:eastAsiaTheme="minorHAnsi" w:hAnsi="Arial" w:cs="Arial"/>
          <w:sz w:val="20"/>
          <w:szCs w:val="20"/>
        </w:rPr>
        <w:t xml:space="preserve"> business, as part of the broader accountability measures. </w:t>
      </w:r>
      <w:r w:rsidR="00AE4FFB" w:rsidRPr="001D46D2">
        <w:rPr>
          <w:rFonts w:ascii="Arial" w:eastAsiaTheme="minorHAnsi" w:hAnsi="Arial" w:cs="Arial"/>
          <w:sz w:val="20"/>
          <w:szCs w:val="20"/>
        </w:rPr>
        <w:t xml:space="preserve"> This will help highlight cost differences between states and will provide industry with some idea of cost drivers in different states </w:t>
      </w:r>
      <w:r w:rsidR="0093297A" w:rsidRPr="001D46D2">
        <w:rPr>
          <w:rFonts w:ascii="Arial" w:eastAsiaTheme="minorHAnsi" w:hAnsi="Arial" w:cs="Arial"/>
          <w:sz w:val="20"/>
          <w:szCs w:val="20"/>
        </w:rPr>
        <w:t>and the relative levels of access provided</w:t>
      </w:r>
      <w:r w:rsidR="00AE4FFB" w:rsidRPr="001D46D2">
        <w:rPr>
          <w:rFonts w:ascii="Arial" w:eastAsiaTheme="minorHAnsi" w:hAnsi="Arial" w:cs="Arial"/>
          <w:sz w:val="20"/>
          <w:szCs w:val="20"/>
        </w:rPr>
        <w:t xml:space="preserve">. </w:t>
      </w:r>
    </w:p>
    <w:p w:rsidR="000F0116" w:rsidRPr="001D46D2" w:rsidRDefault="007069EB" w:rsidP="000F0116">
      <w:pPr>
        <w:spacing w:after="200" w:line="276" w:lineRule="auto"/>
        <w:rPr>
          <w:rFonts w:ascii="Arial" w:eastAsiaTheme="minorHAnsi" w:hAnsi="Arial" w:cs="Arial"/>
          <w:sz w:val="20"/>
          <w:szCs w:val="20"/>
        </w:rPr>
      </w:pPr>
      <w:r w:rsidRPr="001D46D2">
        <w:rPr>
          <w:rFonts w:ascii="Arial" w:eastAsiaTheme="minorHAnsi" w:hAnsi="Arial" w:cs="Arial"/>
          <w:sz w:val="20"/>
          <w:szCs w:val="20"/>
        </w:rPr>
        <w:t xml:space="preserve">This is the first step in road agencies providing transparent information on where and what they are spending on heavy vehicle infrastructure. </w:t>
      </w:r>
      <w:r w:rsidR="0093297A" w:rsidRPr="001D46D2">
        <w:rPr>
          <w:rFonts w:ascii="Arial" w:eastAsiaTheme="minorHAnsi" w:hAnsi="Arial" w:cs="Arial"/>
          <w:sz w:val="20"/>
          <w:szCs w:val="20"/>
        </w:rPr>
        <w:t xml:space="preserve">The PwC report: A future Strategy for Road Supply and Charging recommends this step as a key short term reform necessary for the improvement </w:t>
      </w:r>
      <w:r w:rsidR="00E67F9B" w:rsidRPr="001D46D2">
        <w:rPr>
          <w:rFonts w:ascii="Arial" w:eastAsiaTheme="minorHAnsi" w:hAnsi="Arial" w:cs="Arial"/>
          <w:sz w:val="20"/>
          <w:szCs w:val="20"/>
        </w:rPr>
        <w:t xml:space="preserve">of </w:t>
      </w:r>
      <w:r w:rsidR="000F0116" w:rsidRPr="001D46D2">
        <w:rPr>
          <w:rFonts w:ascii="Arial" w:eastAsiaTheme="minorHAnsi" w:hAnsi="Arial" w:cs="Arial"/>
          <w:sz w:val="20"/>
          <w:szCs w:val="20"/>
        </w:rPr>
        <w:t xml:space="preserve">road agencies. </w:t>
      </w:r>
      <w:r w:rsidR="00A17C7A" w:rsidRPr="001D46D2">
        <w:rPr>
          <w:rFonts w:ascii="Arial" w:eastAsiaTheme="minorHAnsi" w:hAnsi="Arial" w:cs="Arial"/>
          <w:sz w:val="20"/>
          <w:szCs w:val="20"/>
        </w:rPr>
        <w:t xml:space="preserve"> </w:t>
      </w:r>
    </w:p>
    <w:p w:rsidR="000F0116" w:rsidRPr="001D46D2" w:rsidRDefault="000F0116" w:rsidP="000F0116">
      <w:pPr>
        <w:spacing w:after="200" w:line="276" w:lineRule="auto"/>
        <w:ind w:left="720"/>
        <w:rPr>
          <w:rFonts w:ascii="Arial" w:eastAsiaTheme="minorHAnsi" w:hAnsi="Arial" w:cs="Arial"/>
          <w:sz w:val="20"/>
          <w:szCs w:val="20"/>
        </w:rPr>
      </w:pPr>
      <w:r w:rsidRPr="001D46D2">
        <w:rPr>
          <w:rFonts w:ascii="Arial" w:eastAsiaTheme="minorHAnsi" w:hAnsi="Arial" w:cs="Arial"/>
          <w:sz w:val="20"/>
          <w:szCs w:val="20"/>
        </w:rPr>
        <w:t>‘State, territory and local government road owners should report investment and maintenance on each tier of the road freight network. The information should be compared with cost benchmarks and the level of access achieved relative to targets to increase transparency and accountability.</w:t>
      </w:r>
    </w:p>
    <w:p w:rsidR="000F0116" w:rsidRPr="001D46D2" w:rsidRDefault="000F0116" w:rsidP="000F0116">
      <w:pPr>
        <w:spacing w:after="200" w:line="276" w:lineRule="auto"/>
        <w:ind w:left="720"/>
        <w:rPr>
          <w:rFonts w:ascii="Arial" w:eastAsiaTheme="minorHAnsi" w:hAnsi="Arial" w:cs="Arial"/>
          <w:sz w:val="20"/>
          <w:szCs w:val="20"/>
        </w:rPr>
      </w:pPr>
      <w:r w:rsidRPr="001D46D2">
        <w:rPr>
          <w:rFonts w:ascii="Arial" w:eastAsiaTheme="minorHAnsi" w:hAnsi="Arial" w:cs="Arial"/>
          <w:sz w:val="20"/>
          <w:szCs w:val="20"/>
        </w:rPr>
        <w:t>This detailed data should be published and will enable refinement of unit cost estimates of road maintenance and investment (e.g. by lane-kilome</w:t>
      </w:r>
      <w:r w:rsidR="00ED4667" w:rsidRPr="001D46D2">
        <w:rPr>
          <w:rFonts w:ascii="Arial" w:eastAsiaTheme="minorHAnsi" w:hAnsi="Arial" w:cs="Arial"/>
          <w:sz w:val="20"/>
          <w:szCs w:val="20"/>
        </w:rPr>
        <w:t>tres on a given network tier.) T</w:t>
      </w:r>
      <w:r w:rsidRPr="001D46D2">
        <w:rPr>
          <w:rFonts w:ascii="Arial" w:eastAsiaTheme="minorHAnsi" w:hAnsi="Arial" w:cs="Arial"/>
          <w:sz w:val="20"/>
          <w:szCs w:val="20"/>
        </w:rPr>
        <w:t xml:space="preserve">hese estimates can be further developed into efficient benchmarking investment and maintenance costs that could be used to inform the amount of expenditure that is recovered from heavy vehicle road users.’ </w:t>
      </w:r>
      <w:r w:rsidRPr="001D46D2">
        <w:rPr>
          <w:rStyle w:val="FootnoteReference"/>
          <w:rFonts w:ascii="Arial" w:eastAsiaTheme="minorHAnsi" w:hAnsi="Arial" w:cs="Arial"/>
          <w:sz w:val="20"/>
          <w:szCs w:val="20"/>
        </w:rPr>
        <w:footnoteReference w:id="2"/>
      </w:r>
    </w:p>
    <w:p w:rsidR="00AE4FFB" w:rsidRPr="001D46D2" w:rsidRDefault="00AE4FFB" w:rsidP="00E2768A">
      <w:pPr>
        <w:pStyle w:val="Heading1"/>
        <w:numPr>
          <w:ilvl w:val="1"/>
          <w:numId w:val="3"/>
        </w:numPr>
        <w:jc w:val="both"/>
        <w:rPr>
          <w:szCs w:val="20"/>
        </w:rPr>
      </w:pPr>
      <w:bookmarkStart w:id="35" w:name="_Toc352059660"/>
      <w:bookmarkStart w:id="36" w:name="_Toc352070717"/>
      <w:bookmarkStart w:id="37" w:name="_Toc352071969"/>
      <w:bookmarkStart w:id="38" w:name="_Toc352149586"/>
      <w:bookmarkStart w:id="39" w:name="_Toc377542675"/>
      <w:bookmarkEnd w:id="35"/>
      <w:bookmarkEnd w:id="36"/>
      <w:bookmarkEnd w:id="37"/>
      <w:bookmarkEnd w:id="38"/>
      <w:r w:rsidRPr="001D46D2">
        <w:rPr>
          <w:szCs w:val="20"/>
        </w:rPr>
        <w:t>Charges for articulated trailers</w:t>
      </w:r>
      <w:bookmarkEnd w:id="39"/>
      <w:r w:rsidRPr="001D46D2">
        <w:rPr>
          <w:szCs w:val="20"/>
        </w:rPr>
        <w:t xml:space="preserve"> </w:t>
      </w:r>
    </w:p>
    <w:p w:rsidR="00AE4FFB" w:rsidRPr="001D46D2" w:rsidRDefault="00AE4FFB" w:rsidP="00547CA9">
      <w:pPr>
        <w:autoSpaceDE w:val="0"/>
        <w:autoSpaceDN w:val="0"/>
        <w:adjustRightInd w:val="0"/>
        <w:rPr>
          <w:rFonts w:ascii="Arial" w:hAnsi="Arial" w:cs="Arial"/>
          <w:sz w:val="20"/>
          <w:szCs w:val="20"/>
          <w:highlight w:val="white"/>
          <w:lang w:eastAsia="en-AU"/>
        </w:rPr>
      </w:pPr>
    </w:p>
    <w:p w:rsidR="00AE4FFB" w:rsidRPr="001D46D2" w:rsidRDefault="00AE4FFB"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are recommending the </w:t>
      </w:r>
      <w:r w:rsidR="004152D6" w:rsidRPr="001D46D2">
        <w:rPr>
          <w:rFonts w:ascii="Arial" w:hAnsi="Arial" w:cs="Arial"/>
          <w:sz w:val="20"/>
          <w:szCs w:val="20"/>
          <w:highlight w:val="white"/>
          <w:lang w:eastAsia="en-AU"/>
        </w:rPr>
        <w:t xml:space="preserve">charges schedule be refined to class trailers by axle group. The ATA supports this approach to treating trailers as a single class. </w:t>
      </w:r>
    </w:p>
    <w:p w:rsidR="00AE4FFB" w:rsidRPr="001D46D2" w:rsidRDefault="00AE4FFB"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While A-trailer registration halved last year it has had limited effects given it is still treated separately </w:t>
      </w:r>
      <w:r w:rsidR="00341AE8" w:rsidRPr="001D46D2">
        <w:rPr>
          <w:rFonts w:ascii="Arial" w:hAnsi="Arial" w:cs="Arial"/>
          <w:sz w:val="20"/>
          <w:szCs w:val="20"/>
          <w:highlight w:val="white"/>
          <w:lang w:eastAsia="en-AU"/>
        </w:rPr>
        <w:t>and has a</w:t>
      </w:r>
      <w:r w:rsidR="00DF08B1" w:rsidRPr="001D46D2">
        <w:rPr>
          <w:rFonts w:ascii="Arial" w:hAnsi="Arial" w:cs="Arial"/>
          <w:sz w:val="20"/>
          <w:szCs w:val="20"/>
          <w:highlight w:val="white"/>
          <w:lang w:eastAsia="en-AU"/>
        </w:rPr>
        <w:t xml:space="preserve"> larger</w:t>
      </w:r>
      <w:r w:rsidR="00341AE8" w:rsidRPr="001D46D2">
        <w:rPr>
          <w:rFonts w:ascii="Arial" w:hAnsi="Arial" w:cs="Arial"/>
          <w:sz w:val="20"/>
          <w:szCs w:val="20"/>
          <w:highlight w:val="white"/>
          <w:lang w:eastAsia="en-AU"/>
        </w:rPr>
        <w:t xml:space="preserve"> charge than semi-trailers</w:t>
      </w:r>
      <w:r w:rsidRPr="001D46D2">
        <w:rPr>
          <w:rFonts w:ascii="Arial" w:hAnsi="Arial" w:cs="Arial"/>
          <w:sz w:val="20"/>
          <w:szCs w:val="20"/>
          <w:highlight w:val="white"/>
          <w:lang w:eastAsia="en-AU"/>
        </w:rPr>
        <w:t>. Th</w:t>
      </w:r>
      <w:r w:rsidR="00DF08B1" w:rsidRPr="001D46D2">
        <w:rPr>
          <w:rFonts w:ascii="Arial" w:hAnsi="Arial" w:cs="Arial"/>
          <w:sz w:val="20"/>
          <w:szCs w:val="20"/>
          <w:highlight w:val="white"/>
          <w:lang w:eastAsia="en-AU"/>
        </w:rPr>
        <w:t xml:space="preserve">e proposed new approach </w:t>
      </w:r>
      <w:r w:rsidRPr="001D46D2">
        <w:rPr>
          <w:rFonts w:ascii="Arial" w:hAnsi="Arial" w:cs="Arial"/>
          <w:sz w:val="20"/>
          <w:szCs w:val="20"/>
          <w:highlight w:val="white"/>
          <w:lang w:eastAsia="en-AU"/>
        </w:rPr>
        <w:t>would make charges reflect how industry uses trailers because heavy vehicles rarely stay in tied combinations. The modularity of the articulated fleet is custom</w:t>
      </w:r>
      <w:r w:rsidR="00DF08B1" w:rsidRPr="001D46D2">
        <w:rPr>
          <w:rFonts w:ascii="Arial" w:hAnsi="Arial" w:cs="Arial"/>
          <w:sz w:val="20"/>
          <w:szCs w:val="20"/>
          <w:highlight w:val="white"/>
          <w:lang w:eastAsia="en-AU"/>
        </w:rPr>
        <w:t xml:space="preserve"> and practice</w:t>
      </w:r>
      <w:r w:rsidRPr="001D46D2">
        <w:rPr>
          <w:rFonts w:ascii="Arial" w:hAnsi="Arial" w:cs="Arial"/>
          <w:sz w:val="20"/>
          <w:szCs w:val="20"/>
          <w:highlight w:val="white"/>
          <w:lang w:eastAsia="en-AU"/>
        </w:rPr>
        <w:t>;</w:t>
      </w:r>
      <w:r w:rsidR="00EF014A" w:rsidRPr="001D46D2">
        <w:rPr>
          <w:rFonts w:ascii="Arial" w:hAnsi="Arial" w:cs="Arial"/>
          <w:sz w:val="20"/>
          <w:szCs w:val="20"/>
          <w:highlight w:val="white"/>
          <w:lang w:eastAsia="en-AU"/>
        </w:rPr>
        <w:t xml:space="preserve"> trailers</w:t>
      </w:r>
      <w:r w:rsidRPr="001D46D2">
        <w:rPr>
          <w:rFonts w:ascii="Arial" w:hAnsi="Arial" w:cs="Arial"/>
          <w:sz w:val="20"/>
          <w:szCs w:val="20"/>
          <w:highlight w:val="white"/>
          <w:lang w:eastAsia="en-AU"/>
        </w:rPr>
        <w:t xml:space="preserve"> are interchanged as a </w:t>
      </w:r>
      <w:r w:rsidR="004152D6" w:rsidRPr="001D46D2">
        <w:rPr>
          <w:rFonts w:ascii="Arial" w:hAnsi="Arial" w:cs="Arial"/>
          <w:sz w:val="20"/>
          <w:szCs w:val="20"/>
          <w:highlight w:val="white"/>
          <w:lang w:eastAsia="en-AU"/>
        </w:rPr>
        <w:t>matter of routine business prac</w:t>
      </w:r>
      <w:r w:rsidRPr="001D46D2">
        <w:rPr>
          <w:rFonts w:ascii="Arial" w:hAnsi="Arial" w:cs="Arial"/>
          <w:sz w:val="20"/>
          <w:szCs w:val="20"/>
          <w:highlight w:val="white"/>
          <w:lang w:eastAsia="en-AU"/>
        </w:rPr>
        <w:t xml:space="preserve">tices across the nation. </w:t>
      </w:r>
    </w:p>
    <w:p w:rsidR="0055577C" w:rsidRPr="001D46D2" w:rsidRDefault="00AE4FFB"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The ATA has also argued that longer combinations cause less pavement wear, given the</w:t>
      </w:r>
      <w:r w:rsidR="0020796A">
        <w:rPr>
          <w:rFonts w:ascii="Arial" w:hAnsi="Arial" w:cs="Arial"/>
          <w:sz w:val="20"/>
          <w:szCs w:val="20"/>
          <w:highlight w:val="white"/>
          <w:lang w:eastAsia="en-AU"/>
        </w:rPr>
        <w:t>y complete the freight task in fewer</w:t>
      </w:r>
      <w:r w:rsidRPr="001D46D2">
        <w:rPr>
          <w:rFonts w:ascii="Arial" w:hAnsi="Arial" w:cs="Arial"/>
          <w:sz w:val="20"/>
          <w:szCs w:val="20"/>
          <w:highlight w:val="white"/>
          <w:lang w:eastAsia="en-AU"/>
        </w:rPr>
        <w:t xml:space="preserve"> trips than smaller combinations. </w:t>
      </w:r>
    </w:p>
    <w:p w:rsidR="0055577C" w:rsidRPr="001D46D2" w:rsidRDefault="00AE4FFB"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endorsement of axle group charging is superior to a per axle charge because it promotes using the most productive vehicle for the freight task, compared to simple per axle charge which promotes no distinctive price signals. </w:t>
      </w:r>
    </w:p>
    <w:p w:rsidR="00AE4FFB" w:rsidRPr="001D46D2" w:rsidRDefault="00AE4FFB"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Additionally, work undertaken by the NTC into examining axle grouping </w:t>
      </w:r>
      <w:r w:rsidR="0055577C" w:rsidRPr="001D46D2">
        <w:rPr>
          <w:rFonts w:ascii="Arial" w:hAnsi="Arial" w:cs="Arial"/>
          <w:sz w:val="20"/>
          <w:szCs w:val="20"/>
          <w:highlight w:val="white"/>
          <w:lang w:eastAsia="en-AU"/>
        </w:rPr>
        <w:t xml:space="preserve">ESA </w:t>
      </w:r>
      <w:r w:rsidRPr="001D46D2">
        <w:rPr>
          <w:rFonts w:ascii="Arial" w:hAnsi="Arial" w:cs="Arial"/>
          <w:sz w:val="20"/>
          <w:szCs w:val="20"/>
          <w:highlight w:val="white"/>
          <w:lang w:eastAsia="en-AU"/>
        </w:rPr>
        <w:t>support</w:t>
      </w:r>
      <w:r w:rsidR="004152D6" w:rsidRPr="001D46D2">
        <w:rPr>
          <w:rFonts w:ascii="Arial" w:hAnsi="Arial" w:cs="Arial"/>
          <w:sz w:val="20"/>
          <w:szCs w:val="20"/>
          <w:highlight w:val="white"/>
          <w:lang w:eastAsia="en-AU"/>
        </w:rPr>
        <w:t>s</w:t>
      </w:r>
      <w:r w:rsidRPr="001D46D2">
        <w:rPr>
          <w:rFonts w:ascii="Arial" w:hAnsi="Arial" w:cs="Arial"/>
          <w:sz w:val="20"/>
          <w:szCs w:val="20"/>
          <w:highlight w:val="white"/>
          <w:lang w:eastAsia="en-AU"/>
        </w:rPr>
        <w:t xml:space="preserve"> the use of axle group charging, as one would expect the ESA of a </w:t>
      </w:r>
      <w:r w:rsidR="004152D6" w:rsidRPr="001D46D2">
        <w:rPr>
          <w:rFonts w:ascii="Arial" w:hAnsi="Arial" w:cs="Arial"/>
          <w:sz w:val="20"/>
          <w:szCs w:val="20"/>
          <w:highlight w:val="white"/>
          <w:lang w:eastAsia="en-AU"/>
        </w:rPr>
        <w:t>tri-axle</w:t>
      </w:r>
      <w:r w:rsidRPr="001D46D2">
        <w:rPr>
          <w:rFonts w:ascii="Arial" w:hAnsi="Arial" w:cs="Arial"/>
          <w:sz w:val="20"/>
          <w:szCs w:val="20"/>
          <w:highlight w:val="white"/>
          <w:lang w:eastAsia="en-AU"/>
        </w:rPr>
        <w:t xml:space="preserve"> </w:t>
      </w:r>
      <w:r w:rsidR="00DF08B1" w:rsidRPr="001D46D2">
        <w:rPr>
          <w:rFonts w:ascii="Arial" w:hAnsi="Arial" w:cs="Arial"/>
          <w:sz w:val="20"/>
          <w:szCs w:val="20"/>
          <w:highlight w:val="white"/>
          <w:lang w:eastAsia="en-AU"/>
        </w:rPr>
        <w:t xml:space="preserve">carrying the same mass </w:t>
      </w:r>
      <w:r w:rsidRPr="001D46D2">
        <w:rPr>
          <w:rFonts w:ascii="Arial" w:hAnsi="Arial" w:cs="Arial"/>
          <w:sz w:val="20"/>
          <w:szCs w:val="20"/>
          <w:highlight w:val="white"/>
          <w:lang w:eastAsia="en-AU"/>
        </w:rPr>
        <w:t>to be the same in any configuration. Therefore, charges would reflect impact more acc</w:t>
      </w:r>
      <w:r w:rsidR="0020796A">
        <w:rPr>
          <w:rFonts w:ascii="Arial" w:hAnsi="Arial" w:cs="Arial"/>
          <w:sz w:val="20"/>
          <w:szCs w:val="20"/>
          <w:highlight w:val="white"/>
          <w:lang w:eastAsia="en-AU"/>
        </w:rPr>
        <w:t>urately than the current system</w:t>
      </w:r>
      <w:r w:rsidRPr="001D46D2">
        <w:rPr>
          <w:rFonts w:ascii="Arial" w:hAnsi="Arial" w:cs="Arial"/>
          <w:sz w:val="20"/>
          <w:szCs w:val="20"/>
          <w:highlight w:val="white"/>
          <w:lang w:eastAsia="en-AU"/>
        </w:rPr>
        <w:t xml:space="preserve"> does</w:t>
      </w:r>
      <w:r w:rsidR="0020796A">
        <w:rPr>
          <w:rFonts w:ascii="Arial" w:hAnsi="Arial" w:cs="Arial"/>
          <w:sz w:val="20"/>
          <w:szCs w:val="20"/>
          <w:highlight w:val="white"/>
          <w:lang w:eastAsia="en-AU"/>
        </w:rPr>
        <w:t>,</w:t>
      </w:r>
      <w:r w:rsidRPr="001D46D2">
        <w:rPr>
          <w:rFonts w:ascii="Arial" w:hAnsi="Arial" w:cs="Arial"/>
          <w:sz w:val="20"/>
          <w:szCs w:val="20"/>
          <w:highlight w:val="white"/>
          <w:lang w:eastAsia="en-AU"/>
        </w:rPr>
        <w:t xml:space="preserve"> which measures single combinations not components.</w:t>
      </w:r>
      <w:r w:rsidR="0055577C" w:rsidRPr="001D46D2">
        <w:rPr>
          <w:rFonts w:ascii="Arial" w:hAnsi="Arial" w:cs="Arial"/>
          <w:sz w:val="20"/>
          <w:szCs w:val="20"/>
          <w:highlight w:val="white"/>
          <w:lang w:eastAsia="en-AU"/>
        </w:rPr>
        <w:t xml:space="preserve"> </w:t>
      </w:r>
    </w:p>
    <w:p w:rsidR="0055577C" w:rsidRPr="001D46D2" w:rsidRDefault="0020796A" w:rsidP="00AE4FFB">
      <w:pPr>
        <w:autoSpaceDE w:val="0"/>
        <w:autoSpaceDN w:val="0"/>
        <w:adjustRightInd w:val="0"/>
        <w:spacing w:after="200" w:line="276" w:lineRule="auto"/>
        <w:rPr>
          <w:rFonts w:ascii="Arial" w:hAnsi="Arial" w:cs="Arial"/>
          <w:sz w:val="20"/>
          <w:szCs w:val="20"/>
          <w:highlight w:val="white"/>
          <w:lang w:eastAsia="en-AU"/>
        </w:rPr>
      </w:pPr>
      <w:r>
        <w:rPr>
          <w:rFonts w:ascii="Arial" w:hAnsi="Arial" w:cs="Arial"/>
          <w:sz w:val="20"/>
          <w:szCs w:val="20"/>
          <w:highlight w:val="white"/>
          <w:lang w:eastAsia="en-AU"/>
        </w:rPr>
        <w:t>A</w:t>
      </w:r>
      <w:r w:rsidR="0055577C" w:rsidRPr="001D46D2">
        <w:rPr>
          <w:rFonts w:ascii="Arial" w:hAnsi="Arial" w:cs="Arial"/>
          <w:sz w:val="20"/>
          <w:szCs w:val="20"/>
          <w:highlight w:val="white"/>
          <w:lang w:eastAsia="en-AU"/>
        </w:rPr>
        <w:t>xle group charging</w:t>
      </w:r>
      <w:r w:rsidRPr="0020796A">
        <w:rPr>
          <w:rFonts w:ascii="Arial" w:hAnsi="Arial" w:cs="Arial"/>
          <w:sz w:val="20"/>
          <w:szCs w:val="20"/>
          <w:highlight w:val="white"/>
          <w:lang w:eastAsia="en-AU"/>
        </w:rPr>
        <w:t xml:space="preserve"> </w:t>
      </w:r>
      <w:r w:rsidRPr="001D46D2">
        <w:rPr>
          <w:rFonts w:ascii="Arial" w:hAnsi="Arial" w:cs="Arial"/>
          <w:sz w:val="20"/>
          <w:szCs w:val="20"/>
          <w:highlight w:val="white"/>
          <w:lang w:eastAsia="en-AU"/>
        </w:rPr>
        <w:t>supports the use</w:t>
      </w:r>
      <w:r>
        <w:rPr>
          <w:rFonts w:ascii="Arial" w:hAnsi="Arial" w:cs="Arial"/>
          <w:sz w:val="20"/>
          <w:szCs w:val="20"/>
          <w:highlight w:val="white"/>
          <w:lang w:eastAsia="en-AU"/>
        </w:rPr>
        <w:t xml:space="preserve"> of high productivity vehicles</w:t>
      </w:r>
      <w:r w:rsidR="00DF08B1" w:rsidRPr="001D46D2">
        <w:rPr>
          <w:rFonts w:ascii="Arial" w:hAnsi="Arial" w:cs="Arial"/>
          <w:sz w:val="20"/>
          <w:szCs w:val="20"/>
          <w:highlight w:val="white"/>
          <w:lang w:eastAsia="en-AU"/>
        </w:rPr>
        <w:t>.</w:t>
      </w:r>
      <w:r w:rsidR="0055577C" w:rsidRPr="001D46D2">
        <w:rPr>
          <w:rFonts w:ascii="Arial" w:hAnsi="Arial" w:cs="Arial"/>
          <w:sz w:val="20"/>
          <w:szCs w:val="20"/>
          <w:highlight w:val="white"/>
          <w:lang w:eastAsia="en-AU"/>
        </w:rPr>
        <w:t xml:space="preserve"> </w:t>
      </w:r>
      <w:r w:rsidR="00DF08B1" w:rsidRPr="001D46D2">
        <w:rPr>
          <w:rFonts w:ascii="Arial" w:hAnsi="Arial" w:cs="Arial"/>
          <w:sz w:val="20"/>
          <w:szCs w:val="20"/>
          <w:highlight w:val="white"/>
          <w:lang w:eastAsia="en-AU"/>
        </w:rPr>
        <w:t>In the</w:t>
      </w:r>
      <w:r w:rsidR="0055577C" w:rsidRPr="001D46D2">
        <w:rPr>
          <w:rFonts w:ascii="Arial" w:hAnsi="Arial" w:cs="Arial"/>
          <w:sz w:val="20"/>
          <w:szCs w:val="20"/>
          <w:highlight w:val="white"/>
          <w:lang w:eastAsia="en-AU"/>
        </w:rPr>
        <w:t xml:space="preserve"> standard axle charge, the total trailer costs are spread equally over all trailer axles, whereas under the axle grouping charge, the cost allocation will depend on a number of axles in each group and their respective impact on road wear</w:t>
      </w:r>
      <w:r w:rsidR="00DF08B1" w:rsidRPr="001D46D2">
        <w:rPr>
          <w:rFonts w:ascii="Arial" w:hAnsi="Arial" w:cs="Arial"/>
          <w:sz w:val="20"/>
          <w:szCs w:val="20"/>
          <w:highlight w:val="white"/>
          <w:lang w:eastAsia="en-AU"/>
        </w:rPr>
        <w:t xml:space="preserve"> better matching true impacts</w:t>
      </w:r>
      <w:r w:rsidR="0055577C" w:rsidRPr="001D46D2">
        <w:rPr>
          <w:rFonts w:ascii="Arial" w:hAnsi="Arial" w:cs="Arial"/>
          <w:sz w:val="20"/>
          <w:szCs w:val="20"/>
          <w:highlight w:val="white"/>
          <w:lang w:eastAsia="en-AU"/>
        </w:rPr>
        <w:t>.</w:t>
      </w:r>
    </w:p>
    <w:p w:rsidR="003C1F90" w:rsidRPr="001D46D2" w:rsidRDefault="008D3CDC"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Reforming the charges structure to recognise trailers as a single class will </w:t>
      </w:r>
      <w:r w:rsidR="003C1F90" w:rsidRPr="001D46D2">
        <w:rPr>
          <w:rFonts w:ascii="Arial" w:hAnsi="Arial" w:cs="Arial"/>
          <w:sz w:val="20"/>
          <w:szCs w:val="20"/>
          <w:highlight w:val="white"/>
          <w:lang w:eastAsia="en-AU"/>
        </w:rPr>
        <w:t>also fit into the WA charges schedule</w:t>
      </w:r>
      <w:r w:rsidRPr="001D46D2">
        <w:rPr>
          <w:rFonts w:ascii="Arial" w:hAnsi="Arial" w:cs="Arial"/>
          <w:sz w:val="20"/>
          <w:szCs w:val="20"/>
          <w:highlight w:val="white"/>
          <w:lang w:eastAsia="en-AU"/>
        </w:rPr>
        <w:t>,</w:t>
      </w:r>
      <w:r w:rsidR="003C1F90" w:rsidRPr="001D46D2">
        <w:rPr>
          <w:rFonts w:ascii="Arial" w:hAnsi="Arial" w:cs="Arial"/>
          <w:sz w:val="20"/>
          <w:szCs w:val="20"/>
          <w:highlight w:val="white"/>
          <w:lang w:eastAsia="en-AU"/>
        </w:rPr>
        <w:t xml:space="preserve"> as WA already charges trailers as a single class.  </w:t>
      </w:r>
    </w:p>
    <w:p w:rsidR="00AE4FFB" w:rsidRPr="001D46D2" w:rsidRDefault="00AE4FFB" w:rsidP="00E2768A">
      <w:pPr>
        <w:pStyle w:val="Heading1"/>
        <w:numPr>
          <w:ilvl w:val="1"/>
          <w:numId w:val="3"/>
        </w:numPr>
        <w:jc w:val="both"/>
        <w:rPr>
          <w:szCs w:val="20"/>
        </w:rPr>
      </w:pPr>
      <w:bookmarkStart w:id="40" w:name="_Toc377542676"/>
      <w:r w:rsidRPr="001D46D2">
        <w:rPr>
          <w:szCs w:val="20"/>
        </w:rPr>
        <w:t>Estimating relative levels of pavement wear</w:t>
      </w:r>
      <w:bookmarkEnd w:id="40"/>
      <w:r w:rsidRPr="001D46D2">
        <w:rPr>
          <w:szCs w:val="20"/>
        </w:rPr>
        <w:t xml:space="preserve"> </w:t>
      </w:r>
    </w:p>
    <w:p w:rsidR="00AE4FFB" w:rsidRPr="001D46D2" w:rsidRDefault="00AE4FFB" w:rsidP="00547CA9">
      <w:pPr>
        <w:autoSpaceDE w:val="0"/>
        <w:autoSpaceDN w:val="0"/>
        <w:adjustRightInd w:val="0"/>
        <w:rPr>
          <w:rFonts w:ascii="Arial" w:hAnsi="Arial" w:cs="Arial"/>
          <w:sz w:val="20"/>
          <w:szCs w:val="20"/>
          <w:highlight w:val="white"/>
          <w:lang w:eastAsia="en-AU"/>
        </w:rPr>
      </w:pPr>
    </w:p>
    <w:p w:rsidR="004152D6" w:rsidRPr="001D46D2" w:rsidRDefault="004152D6" w:rsidP="00AE4FFB">
      <w:pPr>
        <w:autoSpaceDE w:val="0"/>
        <w:autoSpaceDN w:val="0"/>
        <w:adjustRightInd w:val="0"/>
        <w:spacing w:after="200" w:line="276" w:lineRule="auto"/>
        <w:rPr>
          <w:rFonts w:ascii="Arial" w:hAnsi="Arial" w:cs="Arial"/>
          <w:i/>
          <w:sz w:val="20"/>
          <w:szCs w:val="20"/>
          <w:highlight w:val="white"/>
          <w:lang w:eastAsia="en-AU"/>
        </w:rPr>
      </w:pPr>
      <w:r w:rsidRPr="001D46D2">
        <w:rPr>
          <w:rFonts w:ascii="Arial" w:hAnsi="Arial" w:cs="Arial"/>
          <w:i/>
          <w:sz w:val="20"/>
          <w:szCs w:val="20"/>
          <w:highlight w:val="white"/>
          <w:lang w:eastAsia="en-AU"/>
        </w:rPr>
        <w:t>Heavy vehicles</w:t>
      </w:r>
    </w:p>
    <w:p w:rsidR="00AE4FFB" w:rsidRDefault="00AE4FFB"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ATA has argued that the </w:t>
      </w:r>
      <w:r w:rsidR="00EA76CC" w:rsidRPr="001D46D2">
        <w:rPr>
          <w:rFonts w:ascii="Arial" w:hAnsi="Arial" w:cs="Arial"/>
          <w:sz w:val="20"/>
          <w:szCs w:val="20"/>
          <w:highlight w:val="white"/>
          <w:lang w:eastAsia="en-AU"/>
        </w:rPr>
        <w:t>equivalent standard axle (E</w:t>
      </w:r>
      <w:r w:rsidRPr="001D46D2">
        <w:rPr>
          <w:rFonts w:ascii="Arial" w:hAnsi="Arial" w:cs="Arial"/>
          <w:sz w:val="20"/>
          <w:szCs w:val="20"/>
          <w:highlight w:val="white"/>
          <w:lang w:eastAsia="en-AU"/>
        </w:rPr>
        <w:t>SA</w:t>
      </w:r>
      <w:r w:rsidR="00EA76CC" w:rsidRPr="001D46D2">
        <w:rPr>
          <w:rFonts w:ascii="Arial" w:hAnsi="Arial" w:cs="Arial"/>
          <w:sz w:val="20"/>
          <w:szCs w:val="20"/>
          <w:highlight w:val="white"/>
          <w:lang w:eastAsia="en-AU"/>
        </w:rPr>
        <w:t>)</w:t>
      </w:r>
      <w:r w:rsidRPr="001D46D2">
        <w:rPr>
          <w:rFonts w:ascii="Arial" w:hAnsi="Arial" w:cs="Arial"/>
          <w:sz w:val="20"/>
          <w:szCs w:val="20"/>
          <w:highlight w:val="white"/>
          <w:lang w:eastAsia="en-AU"/>
        </w:rPr>
        <w:t xml:space="preserve"> figures since 2007 have overestimated the impact of high productivity vehicles and underestimated the lighter end of the fleet. This was due to the line of best fit being forced through the origin. </w:t>
      </w:r>
    </w:p>
    <w:p w:rsidR="00AF3626" w:rsidRPr="001D46D2" w:rsidRDefault="00AF3626" w:rsidP="00AE4FFB">
      <w:pPr>
        <w:autoSpaceDE w:val="0"/>
        <w:autoSpaceDN w:val="0"/>
        <w:adjustRightInd w:val="0"/>
        <w:spacing w:after="200" w:line="276" w:lineRule="auto"/>
        <w:rPr>
          <w:rFonts w:ascii="Arial" w:hAnsi="Arial" w:cs="Arial"/>
          <w:sz w:val="20"/>
          <w:szCs w:val="20"/>
          <w:highlight w:val="white"/>
          <w:lang w:eastAsia="en-AU"/>
        </w:rPr>
      </w:pPr>
    </w:p>
    <w:p w:rsidR="00C652AA" w:rsidRPr="001D46D2" w:rsidRDefault="00AE4FFB" w:rsidP="00C652AA">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lastRenderedPageBreak/>
        <w:t xml:space="preserve">The NTC have </w:t>
      </w:r>
      <w:r w:rsidR="00CF5206" w:rsidRPr="001D46D2">
        <w:rPr>
          <w:rFonts w:ascii="Arial" w:hAnsi="Arial" w:cs="Arial"/>
          <w:sz w:val="20"/>
          <w:szCs w:val="20"/>
          <w:highlight w:val="white"/>
          <w:lang w:eastAsia="en-AU"/>
        </w:rPr>
        <w:t>tested</w:t>
      </w:r>
      <w:r w:rsidRPr="001D46D2">
        <w:rPr>
          <w:rFonts w:ascii="Arial" w:hAnsi="Arial" w:cs="Arial"/>
          <w:sz w:val="20"/>
          <w:szCs w:val="20"/>
          <w:highlight w:val="white"/>
          <w:lang w:eastAsia="en-AU"/>
        </w:rPr>
        <w:t xml:space="preserve"> the </w:t>
      </w:r>
      <w:r w:rsidR="00CF5206" w:rsidRPr="001D46D2">
        <w:rPr>
          <w:rFonts w:ascii="Arial" w:hAnsi="Arial" w:cs="Arial"/>
          <w:sz w:val="20"/>
          <w:szCs w:val="20"/>
          <w:highlight w:val="white"/>
          <w:lang w:eastAsia="en-AU"/>
        </w:rPr>
        <w:t xml:space="preserve">strength of using </w:t>
      </w:r>
      <w:r w:rsidRPr="001D46D2">
        <w:rPr>
          <w:rFonts w:ascii="Arial" w:hAnsi="Arial" w:cs="Arial"/>
          <w:sz w:val="20"/>
          <w:szCs w:val="20"/>
          <w:highlight w:val="white"/>
          <w:lang w:eastAsia="en-AU"/>
        </w:rPr>
        <w:t>modularity</w:t>
      </w:r>
      <w:r w:rsidR="00CF5206" w:rsidRPr="001D46D2">
        <w:rPr>
          <w:rFonts w:ascii="Arial" w:hAnsi="Arial" w:cs="Arial"/>
          <w:sz w:val="20"/>
          <w:szCs w:val="20"/>
          <w:highlight w:val="white"/>
          <w:lang w:eastAsia="en-AU"/>
        </w:rPr>
        <w:t xml:space="preserve"> charges</w:t>
      </w:r>
      <w:r w:rsidRPr="001D46D2">
        <w:rPr>
          <w:rFonts w:ascii="Arial" w:hAnsi="Arial" w:cs="Arial"/>
          <w:sz w:val="20"/>
          <w:szCs w:val="20"/>
          <w:highlight w:val="white"/>
          <w:lang w:eastAsia="en-AU"/>
        </w:rPr>
        <w:t xml:space="preserve"> by examining ESAs for a given set of axles in a combination</w:t>
      </w:r>
      <w:r w:rsidR="00341AE8" w:rsidRPr="001D46D2">
        <w:rPr>
          <w:rFonts w:ascii="Arial" w:hAnsi="Arial" w:cs="Arial"/>
          <w:sz w:val="20"/>
          <w:szCs w:val="20"/>
          <w:highlight w:val="white"/>
          <w:lang w:eastAsia="en-AU"/>
        </w:rPr>
        <w:t>,</w:t>
      </w:r>
      <w:r w:rsidRPr="001D46D2">
        <w:rPr>
          <w:rFonts w:ascii="Arial" w:hAnsi="Arial" w:cs="Arial"/>
          <w:sz w:val="20"/>
          <w:szCs w:val="20"/>
          <w:highlight w:val="white"/>
          <w:lang w:eastAsia="en-AU"/>
        </w:rPr>
        <w:t xml:space="preserve"> not the combination itself. There is a strong justification for this move based on an engineering perspective. This method of ESA by axle group would simplify the cost allocation for heavy vehicle impact, which many would support.</w:t>
      </w:r>
      <w:r w:rsidR="00C652AA" w:rsidRPr="001D46D2">
        <w:rPr>
          <w:rFonts w:ascii="Arial" w:hAnsi="Arial" w:cs="Arial"/>
          <w:sz w:val="20"/>
          <w:szCs w:val="20"/>
          <w:highlight w:val="white"/>
          <w:lang w:eastAsia="en-AU"/>
        </w:rPr>
        <w:t xml:space="preserve"> The modular ESA work was reviewed by the ATA and found to be a sound approach for estimating the modular ESA. </w:t>
      </w:r>
    </w:p>
    <w:p w:rsidR="00C652AA" w:rsidRPr="001D46D2" w:rsidRDefault="00C652AA" w:rsidP="00C652AA">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has addressed the issues the ATA presented with the ESA </w:t>
      </w:r>
      <w:proofErr w:type="gramStart"/>
      <w:r w:rsidRPr="001D46D2">
        <w:rPr>
          <w:rFonts w:ascii="Arial" w:hAnsi="Arial" w:cs="Arial"/>
          <w:sz w:val="20"/>
          <w:szCs w:val="20"/>
          <w:highlight w:val="white"/>
          <w:lang w:eastAsia="en-AU"/>
        </w:rPr>
        <w:t>data,</w:t>
      </w:r>
      <w:proofErr w:type="gramEnd"/>
      <w:r w:rsidRPr="001D46D2">
        <w:rPr>
          <w:rFonts w:ascii="Arial" w:hAnsi="Arial" w:cs="Arial"/>
          <w:sz w:val="20"/>
          <w:szCs w:val="20"/>
          <w:highlight w:val="white"/>
          <w:lang w:eastAsia="en-AU"/>
        </w:rPr>
        <w:t xml:space="preserve"> including the limitation of AGM and ESA analysis (removing some unre</w:t>
      </w:r>
      <w:r w:rsidR="0042014B">
        <w:rPr>
          <w:rFonts w:ascii="Arial" w:hAnsi="Arial" w:cs="Arial"/>
          <w:sz w:val="20"/>
          <w:szCs w:val="20"/>
          <w:highlight w:val="white"/>
          <w:lang w:eastAsia="en-AU"/>
        </w:rPr>
        <w:t>alistic AGMs from the data set)</w:t>
      </w:r>
      <w:r w:rsidRPr="001D46D2">
        <w:rPr>
          <w:rFonts w:ascii="Arial" w:hAnsi="Arial" w:cs="Arial"/>
          <w:sz w:val="20"/>
          <w:szCs w:val="20"/>
          <w:highlight w:val="white"/>
          <w:lang w:eastAsia="en-AU"/>
        </w:rPr>
        <w:t xml:space="preserve"> and making sure that steer axle ESAs were consistent through classes. </w:t>
      </w:r>
    </w:p>
    <w:p w:rsidR="00744A2C" w:rsidRPr="001D46D2" w:rsidRDefault="00C652AA"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ESAs </w:t>
      </w:r>
      <w:r w:rsidR="0042014B">
        <w:rPr>
          <w:rFonts w:ascii="Arial" w:hAnsi="Arial" w:cs="Arial"/>
          <w:sz w:val="20"/>
          <w:szCs w:val="20"/>
          <w:highlight w:val="white"/>
          <w:lang w:eastAsia="en-AU"/>
        </w:rPr>
        <w:t xml:space="preserve">were refined </w:t>
      </w:r>
      <w:r w:rsidRPr="001D46D2">
        <w:rPr>
          <w:rFonts w:ascii="Arial" w:hAnsi="Arial" w:cs="Arial"/>
          <w:sz w:val="20"/>
          <w:szCs w:val="20"/>
          <w:highlight w:val="white"/>
          <w:lang w:eastAsia="en-AU"/>
        </w:rPr>
        <w:t>to better reflect fleet dispersions, including a</w:t>
      </w:r>
      <w:r w:rsidR="00744A2C" w:rsidRPr="001D46D2">
        <w:rPr>
          <w:rFonts w:ascii="Arial" w:hAnsi="Arial" w:cs="Arial"/>
          <w:sz w:val="20"/>
          <w:szCs w:val="20"/>
          <w:highlight w:val="white"/>
          <w:lang w:eastAsia="en-AU"/>
        </w:rPr>
        <w:t xml:space="preserve"> VKT adjustment </w:t>
      </w:r>
      <w:r w:rsidR="0042014B">
        <w:rPr>
          <w:rFonts w:ascii="Arial" w:hAnsi="Arial" w:cs="Arial"/>
          <w:sz w:val="20"/>
          <w:szCs w:val="20"/>
          <w:highlight w:val="white"/>
          <w:lang w:eastAsia="en-AU"/>
        </w:rPr>
        <w:t>per state and per vehicle class</w:t>
      </w:r>
      <w:r w:rsidRPr="001D46D2">
        <w:rPr>
          <w:rFonts w:ascii="Arial" w:hAnsi="Arial" w:cs="Arial"/>
          <w:sz w:val="20"/>
          <w:szCs w:val="20"/>
          <w:highlight w:val="white"/>
          <w:lang w:eastAsia="en-AU"/>
        </w:rPr>
        <w:t xml:space="preserve">. </w:t>
      </w:r>
    </w:p>
    <w:p w:rsidR="00744A2C" w:rsidRPr="001D46D2" w:rsidRDefault="00744A2C"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further </w:t>
      </w:r>
      <w:r w:rsidR="0042014B">
        <w:rPr>
          <w:rFonts w:ascii="Arial" w:hAnsi="Arial" w:cs="Arial"/>
          <w:sz w:val="20"/>
          <w:szCs w:val="20"/>
          <w:highlight w:val="white"/>
          <w:lang w:eastAsia="en-AU"/>
        </w:rPr>
        <w:t xml:space="preserve">ESA </w:t>
      </w:r>
      <w:r w:rsidR="00655B53" w:rsidRPr="001D46D2">
        <w:rPr>
          <w:rFonts w:ascii="Arial" w:hAnsi="Arial" w:cs="Arial"/>
          <w:sz w:val="20"/>
          <w:szCs w:val="20"/>
          <w:highlight w:val="white"/>
          <w:lang w:eastAsia="en-AU"/>
        </w:rPr>
        <w:t xml:space="preserve">investigation recommended by the NTC, including the examination of </w:t>
      </w:r>
      <w:r w:rsidR="00341AE8" w:rsidRPr="001D46D2">
        <w:rPr>
          <w:rFonts w:ascii="Arial" w:hAnsi="Arial" w:cs="Arial"/>
          <w:sz w:val="20"/>
          <w:szCs w:val="20"/>
          <w:highlight w:val="white"/>
          <w:lang w:eastAsia="en-AU"/>
        </w:rPr>
        <w:t xml:space="preserve">PBS </w:t>
      </w:r>
      <w:r w:rsidR="00655B53" w:rsidRPr="001D46D2">
        <w:rPr>
          <w:rFonts w:ascii="Arial" w:hAnsi="Arial" w:cs="Arial"/>
          <w:sz w:val="20"/>
          <w:szCs w:val="20"/>
          <w:highlight w:val="white"/>
          <w:lang w:eastAsia="en-AU"/>
        </w:rPr>
        <w:t>tru</w:t>
      </w:r>
      <w:r w:rsidR="00341AE8" w:rsidRPr="001D46D2">
        <w:rPr>
          <w:rFonts w:ascii="Arial" w:hAnsi="Arial" w:cs="Arial"/>
          <w:sz w:val="20"/>
          <w:szCs w:val="20"/>
          <w:highlight w:val="white"/>
          <w:lang w:eastAsia="en-AU"/>
        </w:rPr>
        <w:t xml:space="preserve">ck and dog vehicle combinations, </w:t>
      </w:r>
      <w:r w:rsidR="00655B53" w:rsidRPr="001D46D2">
        <w:rPr>
          <w:rFonts w:ascii="Arial" w:hAnsi="Arial" w:cs="Arial"/>
          <w:sz w:val="20"/>
          <w:szCs w:val="20"/>
          <w:highlight w:val="white"/>
          <w:lang w:eastAsia="en-AU"/>
        </w:rPr>
        <w:t xml:space="preserve">which are required to have </w:t>
      </w:r>
      <w:r w:rsidR="00784200" w:rsidRPr="001D46D2">
        <w:rPr>
          <w:rFonts w:ascii="Arial" w:hAnsi="Arial" w:cs="Arial"/>
          <w:sz w:val="20"/>
          <w:szCs w:val="20"/>
          <w:highlight w:val="white"/>
          <w:lang w:eastAsia="en-AU"/>
        </w:rPr>
        <w:t>road friendly (</w:t>
      </w:r>
      <w:r w:rsidR="00655B53" w:rsidRPr="001D46D2">
        <w:rPr>
          <w:rFonts w:ascii="Arial" w:hAnsi="Arial" w:cs="Arial"/>
          <w:sz w:val="20"/>
          <w:szCs w:val="20"/>
          <w:highlight w:val="white"/>
          <w:lang w:eastAsia="en-AU"/>
        </w:rPr>
        <w:t>airbag</w:t>
      </w:r>
      <w:r w:rsidR="00784200" w:rsidRPr="001D46D2">
        <w:rPr>
          <w:rFonts w:ascii="Arial" w:hAnsi="Arial" w:cs="Arial"/>
          <w:sz w:val="20"/>
          <w:szCs w:val="20"/>
          <w:highlight w:val="white"/>
          <w:lang w:eastAsia="en-AU"/>
        </w:rPr>
        <w:t>)</w:t>
      </w:r>
      <w:r w:rsidR="00655B53" w:rsidRPr="001D46D2">
        <w:rPr>
          <w:rFonts w:ascii="Arial" w:hAnsi="Arial" w:cs="Arial"/>
          <w:sz w:val="20"/>
          <w:szCs w:val="20"/>
          <w:highlight w:val="white"/>
          <w:lang w:eastAsia="en-AU"/>
        </w:rPr>
        <w:t xml:space="preserve"> suspensions, is</w:t>
      </w:r>
      <w:r w:rsidR="00C652AA" w:rsidRPr="001D46D2">
        <w:rPr>
          <w:rFonts w:ascii="Arial" w:hAnsi="Arial" w:cs="Arial"/>
          <w:sz w:val="20"/>
          <w:szCs w:val="20"/>
          <w:highlight w:val="white"/>
          <w:lang w:eastAsia="en-AU"/>
        </w:rPr>
        <w:t xml:space="preserve"> crucial </w:t>
      </w:r>
      <w:r w:rsidR="00655B53" w:rsidRPr="001D46D2">
        <w:rPr>
          <w:rFonts w:ascii="Arial" w:hAnsi="Arial" w:cs="Arial"/>
          <w:sz w:val="20"/>
          <w:szCs w:val="20"/>
          <w:highlight w:val="white"/>
          <w:lang w:eastAsia="en-AU"/>
        </w:rPr>
        <w:t xml:space="preserve">to the </w:t>
      </w:r>
      <w:r w:rsidR="00C652AA" w:rsidRPr="001D46D2">
        <w:rPr>
          <w:rFonts w:ascii="Arial" w:hAnsi="Arial" w:cs="Arial"/>
          <w:sz w:val="20"/>
          <w:szCs w:val="20"/>
          <w:highlight w:val="white"/>
          <w:lang w:eastAsia="en-AU"/>
        </w:rPr>
        <w:t xml:space="preserve">understanding </w:t>
      </w:r>
      <w:r w:rsidR="00341AE8" w:rsidRPr="001D46D2">
        <w:rPr>
          <w:rFonts w:ascii="Arial" w:hAnsi="Arial" w:cs="Arial"/>
          <w:sz w:val="20"/>
          <w:szCs w:val="20"/>
          <w:highlight w:val="white"/>
          <w:lang w:eastAsia="en-AU"/>
        </w:rPr>
        <w:t xml:space="preserve">of </w:t>
      </w:r>
      <w:r w:rsidR="00C652AA" w:rsidRPr="001D46D2">
        <w:rPr>
          <w:rFonts w:ascii="Arial" w:hAnsi="Arial" w:cs="Arial"/>
          <w:sz w:val="20"/>
          <w:szCs w:val="20"/>
          <w:highlight w:val="white"/>
          <w:lang w:eastAsia="en-AU"/>
        </w:rPr>
        <w:t xml:space="preserve">road wear. </w:t>
      </w:r>
      <w:r w:rsidRPr="001D46D2">
        <w:rPr>
          <w:rFonts w:ascii="Arial" w:hAnsi="Arial" w:cs="Arial"/>
          <w:sz w:val="20"/>
          <w:szCs w:val="20"/>
          <w:highlight w:val="white"/>
          <w:lang w:eastAsia="en-AU"/>
        </w:rPr>
        <w:t xml:space="preserve">It would be beneficial to assess whether the ESA values for these </w:t>
      </w:r>
      <w:r w:rsidR="00655B53" w:rsidRPr="001D46D2">
        <w:rPr>
          <w:rFonts w:ascii="Arial" w:hAnsi="Arial" w:cs="Arial"/>
          <w:sz w:val="20"/>
          <w:szCs w:val="20"/>
          <w:highlight w:val="white"/>
          <w:lang w:eastAsia="en-AU"/>
        </w:rPr>
        <w:t>vehicles</w:t>
      </w:r>
      <w:r w:rsidRPr="001D46D2">
        <w:rPr>
          <w:rFonts w:ascii="Arial" w:hAnsi="Arial" w:cs="Arial"/>
          <w:sz w:val="20"/>
          <w:szCs w:val="20"/>
          <w:highlight w:val="white"/>
          <w:lang w:eastAsia="en-AU"/>
        </w:rPr>
        <w:t xml:space="preserve"> is likely to be lower because of their widespread use of airbag suspensions. </w:t>
      </w:r>
      <w:r w:rsidR="00DF08B1" w:rsidRPr="001D46D2">
        <w:rPr>
          <w:rFonts w:ascii="Arial" w:hAnsi="Arial" w:cs="Arial"/>
          <w:sz w:val="20"/>
          <w:szCs w:val="20"/>
          <w:highlight w:val="white"/>
          <w:lang w:eastAsia="en-AU"/>
        </w:rPr>
        <w:t>The wear reduction from air suspension is not currently fully accounted for</w:t>
      </w:r>
      <w:r w:rsidR="00784200" w:rsidRPr="001D46D2">
        <w:rPr>
          <w:rFonts w:ascii="Arial" w:hAnsi="Arial" w:cs="Arial"/>
          <w:sz w:val="20"/>
          <w:szCs w:val="20"/>
          <w:highlight w:val="white"/>
          <w:lang w:eastAsia="en-AU"/>
        </w:rPr>
        <w:t xml:space="preserve"> in the charges model</w:t>
      </w:r>
      <w:r w:rsidR="00DF08B1" w:rsidRPr="001D46D2">
        <w:rPr>
          <w:rFonts w:ascii="Arial" w:hAnsi="Arial" w:cs="Arial"/>
          <w:sz w:val="20"/>
          <w:szCs w:val="20"/>
          <w:highlight w:val="white"/>
          <w:lang w:eastAsia="en-AU"/>
        </w:rPr>
        <w:t xml:space="preserve">. </w:t>
      </w:r>
      <w:r w:rsidR="00784200" w:rsidRPr="001D46D2">
        <w:rPr>
          <w:rFonts w:ascii="Arial" w:hAnsi="Arial" w:cs="Arial"/>
          <w:sz w:val="20"/>
          <w:szCs w:val="20"/>
          <w:highlight w:val="white"/>
          <w:lang w:eastAsia="en-AU"/>
        </w:rPr>
        <w:t xml:space="preserve"> This is an area where the NTC may wish to undertake further research work. </w:t>
      </w:r>
    </w:p>
    <w:p w:rsidR="00744A2C" w:rsidRPr="001D46D2" w:rsidRDefault="00655B53"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examination of </w:t>
      </w:r>
      <w:r w:rsidR="00744A2C" w:rsidRPr="001D46D2">
        <w:rPr>
          <w:rFonts w:ascii="Arial" w:hAnsi="Arial" w:cs="Arial"/>
          <w:sz w:val="20"/>
          <w:szCs w:val="20"/>
          <w:highlight w:val="white"/>
          <w:lang w:eastAsia="en-AU"/>
        </w:rPr>
        <w:t>2 axle rigid trucks</w:t>
      </w:r>
      <w:r w:rsidR="00784200" w:rsidRPr="001D46D2">
        <w:rPr>
          <w:rFonts w:ascii="Arial" w:hAnsi="Arial" w:cs="Arial"/>
          <w:sz w:val="20"/>
          <w:szCs w:val="20"/>
          <w:highlight w:val="white"/>
          <w:lang w:eastAsia="en-AU"/>
        </w:rPr>
        <w:t>, including those less than 4.5 tonnes</w:t>
      </w:r>
      <w:r w:rsidRPr="001D46D2">
        <w:rPr>
          <w:rFonts w:ascii="Arial" w:hAnsi="Arial" w:cs="Arial"/>
          <w:sz w:val="20"/>
          <w:szCs w:val="20"/>
          <w:highlight w:val="white"/>
          <w:lang w:eastAsia="en-AU"/>
        </w:rPr>
        <w:t xml:space="preserve"> which</w:t>
      </w:r>
      <w:r w:rsidR="00744A2C" w:rsidRPr="001D46D2">
        <w:rPr>
          <w:rFonts w:ascii="Arial" w:hAnsi="Arial" w:cs="Arial"/>
          <w:sz w:val="20"/>
          <w:szCs w:val="20"/>
          <w:highlight w:val="white"/>
          <w:lang w:eastAsia="en-AU"/>
        </w:rPr>
        <w:t xml:space="preserve"> have significantly narrower </w:t>
      </w:r>
      <w:r w:rsidRPr="001D46D2">
        <w:rPr>
          <w:rFonts w:ascii="Arial" w:hAnsi="Arial" w:cs="Arial"/>
          <w:sz w:val="20"/>
          <w:szCs w:val="20"/>
          <w:highlight w:val="white"/>
          <w:lang w:eastAsia="en-AU"/>
        </w:rPr>
        <w:t>tyres on</w:t>
      </w:r>
      <w:r w:rsidR="00744A2C" w:rsidRPr="001D46D2">
        <w:rPr>
          <w:rFonts w:ascii="Arial" w:hAnsi="Arial" w:cs="Arial"/>
          <w:sz w:val="20"/>
          <w:szCs w:val="20"/>
          <w:highlight w:val="white"/>
          <w:lang w:eastAsia="en-AU"/>
        </w:rPr>
        <w:t xml:space="preserve"> their front steer axles similar to </w:t>
      </w:r>
      <w:r w:rsidRPr="001D46D2">
        <w:rPr>
          <w:rFonts w:ascii="Arial" w:hAnsi="Arial" w:cs="Arial"/>
          <w:sz w:val="20"/>
          <w:szCs w:val="20"/>
          <w:highlight w:val="white"/>
          <w:lang w:eastAsia="en-AU"/>
        </w:rPr>
        <w:t>light vehicles, is also of note. The tyre width</w:t>
      </w:r>
      <w:r w:rsidR="00744A2C" w:rsidRPr="001D46D2">
        <w:rPr>
          <w:rFonts w:ascii="Arial" w:hAnsi="Arial" w:cs="Arial"/>
          <w:sz w:val="20"/>
          <w:szCs w:val="20"/>
          <w:highlight w:val="white"/>
          <w:lang w:eastAsia="en-AU"/>
        </w:rPr>
        <w:t xml:space="preserve"> is not reflected in the calculation of ESA estimates for these </w:t>
      </w:r>
      <w:r w:rsidRPr="001D46D2">
        <w:rPr>
          <w:rFonts w:ascii="Arial" w:hAnsi="Arial" w:cs="Arial"/>
          <w:sz w:val="20"/>
          <w:szCs w:val="20"/>
          <w:highlight w:val="white"/>
          <w:lang w:eastAsia="en-AU"/>
        </w:rPr>
        <w:t>vehicles</w:t>
      </w:r>
      <w:r w:rsidR="00744A2C" w:rsidRPr="001D46D2">
        <w:rPr>
          <w:rFonts w:ascii="Arial" w:hAnsi="Arial" w:cs="Arial"/>
          <w:sz w:val="20"/>
          <w:szCs w:val="20"/>
          <w:highlight w:val="white"/>
          <w:lang w:eastAsia="en-AU"/>
        </w:rPr>
        <w:t xml:space="preserve">. The ESA </w:t>
      </w:r>
      <w:r w:rsidRPr="001D46D2">
        <w:rPr>
          <w:rFonts w:ascii="Arial" w:hAnsi="Arial" w:cs="Arial"/>
          <w:sz w:val="20"/>
          <w:szCs w:val="20"/>
          <w:highlight w:val="white"/>
          <w:lang w:eastAsia="en-AU"/>
        </w:rPr>
        <w:t>methodology</w:t>
      </w:r>
      <w:r w:rsidR="00744A2C" w:rsidRPr="001D46D2">
        <w:rPr>
          <w:rFonts w:ascii="Arial" w:hAnsi="Arial" w:cs="Arial"/>
          <w:sz w:val="20"/>
          <w:szCs w:val="20"/>
          <w:highlight w:val="white"/>
          <w:lang w:eastAsia="en-AU"/>
        </w:rPr>
        <w:t xml:space="preserve"> could therefore be refined by updating the value of the reference load used to calculate </w:t>
      </w:r>
      <w:r w:rsidRPr="001D46D2">
        <w:rPr>
          <w:rFonts w:ascii="Arial" w:hAnsi="Arial" w:cs="Arial"/>
          <w:sz w:val="20"/>
          <w:szCs w:val="20"/>
          <w:highlight w:val="white"/>
          <w:lang w:eastAsia="en-AU"/>
        </w:rPr>
        <w:t>narrow</w:t>
      </w:r>
      <w:r w:rsidR="0042014B">
        <w:rPr>
          <w:rFonts w:ascii="Arial" w:hAnsi="Arial" w:cs="Arial"/>
          <w:sz w:val="20"/>
          <w:szCs w:val="20"/>
          <w:highlight w:val="white"/>
          <w:lang w:eastAsia="en-AU"/>
        </w:rPr>
        <w:t xml:space="preserve"> tyre ESA</w:t>
      </w:r>
      <w:r w:rsidR="00744A2C" w:rsidRPr="001D46D2">
        <w:rPr>
          <w:rFonts w:ascii="Arial" w:hAnsi="Arial" w:cs="Arial"/>
          <w:sz w:val="20"/>
          <w:szCs w:val="20"/>
          <w:highlight w:val="white"/>
          <w:lang w:eastAsia="en-AU"/>
        </w:rPr>
        <w:t>s</w:t>
      </w:r>
      <w:r w:rsidRPr="001D46D2">
        <w:rPr>
          <w:rFonts w:ascii="Arial" w:hAnsi="Arial" w:cs="Arial"/>
          <w:sz w:val="20"/>
          <w:szCs w:val="20"/>
          <w:highlight w:val="white"/>
          <w:lang w:eastAsia="en-AU"/>
        </w:rPr>
        <w:t>.</w:t>
      </w:r>
      <w:r w:rsidR="00744A2C" w:rsidRPr="001D46D2">
        <w:rPr>
          <w:rFonts w:ascii="Arial" w:hAnsi="Arial" w:cs="Arial"/>
          <w:sz w:val="20"/>
          <w:szCs w:val="20"/>
          <w:highlight w:val="white"/>
          <w:lang w:eastAsia="en-AU"/>
        </w:rPr>
        <w:t xml:space="preserve"> </w:t>
      </w:r>
    </w:p>
    <w:p w:rsidR="00744A2C" w:rsidRPr="001D46D2" w:rsidRDefault="00C30253" w:rsidP="00AE4FFB">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The ATA supports the NTC recommendation of the use of modular ESA’s for the purpose of calculating heavy vehicle charges and the further research conducted into refining the ESA measurement</w:t>
      </w:r>
      <w:r w:rsidR="00784200" w:rsidRPr="001D46D2">
        <w:rPr>
          <w:rFonts w:ascii="Arial" w:hAnsi="Arial" w:cs="Arial"/>
          <w:sz w:val="20"/>
          <w:szCs w:val="20"/>
          <w:highlight w:val="white"/>
          <w:lang w:eastAsia="en-AU"/>
        </w:rPr>
        <w:t xml:space="preserve"> and consideration of the impacts of light commercial vehicles</w:t>
      </w:r>
      <w:r w:rsidRPr="001D46D2">
        <w:rPr>
          <w:rFonts w:ascii="Arial" w:hAnsi="Arial" w:cs="Arial"/>
          <w:sz w:val="20"/>
          <w:szCs w:val="20"/>
          <w:highlight w:val="white"/>
          <w:lang w:eastAsia="en-AU"/>
        </w:rPr>
        <w:t xml:space="preserve">. </w:t>
      </w:r>
    </w:p>
    <w:p w:rsidR="004152D6" w:rsidRPr="001D46D2" w:rsidRDefault="004152D6" w:rsidP="008C2AA4">
      <w:pPr>
        <w:autoSpaceDE w:val="0"/>
        <w:autoSpaceDN w:val="0"/>
        <w:adjustRightInd w:val="0"/>
        <w:spacing w:after="200" w:line="276" w:lineRule="auto"/>
        <w:rPr>
          <w:rFonts w:ascii="Arial" w:hAnsi="Arial" w:cs="Arial"/>
          <w:i/>
          <w:sz w:val="20"/>
          <w:szCs w:val="20"/>
          <w:highlight w:val="white"/>
          <w:lang w:eastAsia="en-AU"/>
        </w:rPr>
      </w:pPr>
      <w:bookmarkStart w:id="41" w:name="_Toc373934590"/>
      <w:bookmarkStart w:id="42" w:name="_Toc352163852"/>
      <w:bookmarkStart w:id="43" w:name="_Toc352228493"/>
      <w:bookmarkStart w:id="44" w:name="_Toc352231737"/>
      <w:bookmarkStart w:id="45" w:name="_Toc352740579"/>
      <w:bookmarkStart w:id="46" w:name="_Toc353434631"/>
      <w:bookmarkStart w:id="47" w:name="_Toc353435615"/>
      <w:r w:rsidRPr="001D46D2">
        <w:rPr>
          <w:rFonts w:ascii="Arial" w:hAnsi="Arial" w:cs="Arial"/>
          <w:i/>
          <w:sz w:val="20"/>
          <w:szCs w:val="20"/>
          <w:highlight w:val="white"/>
          <w:lang w:eastAsia="en-AU"/>
        </w:rPr>
        <w:t>Busses and coaches</w:t>
      </w:r>
      <w:bookmarkEnd w:id="41"/>
      <w:r w:rsidRPr="001D46D2">
        <w:rPr>
          <w:rFonts w:ascii="Arial" w:hAnsi="Arial" w:cs="Arial"/>
          <w:i/>
          <w:sz w:val="20"/>
          <w:szCs w:val="20"/>
          <w:highlight w:val="white"/>
          <w:lang w:eastAsia="en-AU"/>
        </w:rPr>
        <w:t xml:space="preserve"> </w:t>
      </w:r>
    </w:p>
    <w:p w:rsidR="004152D6" w:rsidRPr="001D46D2" w:rsidRDefault="004152D6" w:rsidP="008C2AA4">
      <w:pPr>
        <w:autoSpaceDE w:val="0"/>
        <w:autoSpaceDN w:val="0"/>
        <w:adjustRightInd w:val="0"/>
        <w:spacing w:after="200" w:line="276" w:lineRule="auto"/>
        <w:rPr>
          <w:rFonts w:ascii="Arial" w:hAnsi="Arial" w:cs="Arial"/>
          <w:sz w:val="20"/>
          <w:szCs w:val="20"/>
          <w:highlight w:val="white"/>
          <w:lang w:eastAsia="en-AU"/>
        </w:rPr>
      </w:pPr>
      <w:bookmarkStart w:id="48" w:name="_Toc373934591"/>
      <w:r w:rsidRPr="001D46D2">
        <w:rPr>
          <w:rFonts w:ascii="Arial" w:hAnsi="Arial" w:cs="Arial"/>
          <w:sz w:val="20"/>
          <w:szCs w:val="20"/>
          <w:highlight w:val="white"/>
          <w:lang w:eastAsia="en-AU"/>
        </w:rPr>
        <w:t>The recastin</w:t>
      </w:r>
      <w:r w:rsidR="0042014B">
        <w:rPr>
          <w:rFonts w:ascii="Arial" w:hAnsi="Arial" w:cs="Arial"/>
          <w:sz w:val="20"/>
          <w:szCs w:val="20"/>
          <w:highlight w:val="white"/>
          <w:lang w:eastAsia="en-AU"/>
        </w:rPr>
        <w:t>g of the bus and coach ESAs has</w:t>
      </w:r>
      <w:r w:rsidRPr="001D46D2">
        <w:rPr>
          <w:rFonts w:ascii="Arial" w:hAnsi="Arial" w:cs="Arial"/>
          <w:sz w:val="20"/>
          <w:szCs w:val="20"/>
          <w:highlight w:val="white"/>
          <w:lang w:eastAsia="en-AU"/>
        </w:rPr>
        <w:t xml:space="preserve"> refined the inputs into the PayGo model</w:t>
      </w:r>
      <w:r w:rsidR="00341AE8" w:rsidRPr="001D46D2">
        <w:rPr>
          <w:rFonts w:ascii="Arial" w:hAnsi="Arial" w:cs="Arial"/>
          <w:sz w:val="20"/>
          <w:szCs w:val="20"/>
          <w:highlight w:val="white"/>
          <w:lang w:eastAsia="en-AU"/>
        </w:rPr>
        <w:t>,</w:t>
      </w:r>
      <w:r w:rsidRPr="001D46D2">
        <w:rPr>
          <w:rFonts w:ascii="Arial" w:hAnsi="Arial" w:cs="Arial"/>
          <w:sz w:val="20"/>
          <w:szCs w:val="20"/>
          <w:highlight w:val="white"/>
          <w:lang w:eastAsia="en-AU"/>
        </w:rPr>
        <w:t xml:space="preserve"> </w:t>
      </w:r>
      <w:r w:rsidR="00CE77AE" w:rsidRPr="001D46D2">
        <w:rPr>
          <w:rFonts w:ascii="Arial" w:hAnsi="Arial" w:cs="Arial"/>
          <w:sz w:val="20"/>
          <w:szCs w:val="20"/>
          <w:highlight w:val="white"/>
          <w:lang w:eastAsia="en-AU"/>
        </w:rPr>
        <w:t>making cost recovery from all vehicles over 4.5 tonnes more accurate.</w:t>
      </w:r>
      <w:bookmarkEnd w:id="48"/>
      <w:r w:rsidR="00CE77AE" w:rsidRPr="001D46D2">
        <w:rPr>
          <w:rFonts w:ascii="Arial" w:hAnsi="Arial" w:cs="Arial"/>
          <w:sz w:val="20"/>
          <w:szCs w:val="20"/>
          <w:highlight w:val="white"/>
          <w:lang w:eastAsia="en-AU"/>
        </w:rPr>
        <w:t xml:space="preserve"> </w:t>
      </w:r>
    </w:p>
    <w:p w:rsidR="00C30253" w:rsidRPr="001D46D2" w:rsidRDefault="00C30253" w:rsidP="008C2AA4">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detailed work on coach and bus ESAs </w:t>
      </w:r>
      <w:r w:rsidR="00341AE8" w:rsidRPr="001D46D2">
        <w:rPr>
          <w:rFonts w:ascii="Arial" w:hAnsi="Arial" w:cs="Arial"/>
          <w:sz w:val="20"/>
          <w:szCs w:val="20"/>
          <w:highlight w:val="white"/>
          <w:lang w:eastAsia="en-AU"/>
        </w:rPr>
        <w:t>is</w:t>
      </w:r>
      <w:r w:rsidR="0042014B">
        <w:rPr>
          <w:rFonts w:ascii="Arial" w:hAnsi="Arial" w:cs="Arial"/>
          <w:sz w:val="20"/>
          <w:szCs w:val="20"/>
          <w:highlight w:val="white"/>
          <w:lang w:eastAsia="en-AU"/>
        </w:rPr>
        <w:t xml:space="preserve"> supported by the ATA</w:t>
      </w:r>
    </w:p>
    <w:p w:rsidR="004152D6" w:rsidRPr="001D46D2" w:rsidRDefault="004152D6" w:rsidP="008C2AA4">
      <w:pPr>
        <w:autoSpaceDE w:val="0"/>
        <w:autoSpaceDN w:val="0"/>
        <w:adjustRightInd w:val="0"/>
        <w:spacing w:after="200" w:line="276" w:lineRule="auto"/>
        <w:rPr>
          <w:rFonts w:ascii="Arial" w:hAnsi="Arial" w:cs="Arial"/>
          <w:i/>
          <w:sz w:val="20"/>
          <w:szCs w:val="20"/>
          <w:highlight w:val="white"/>
          <w:lang w:eastAsia="en-AU"/>
        </w:rPr>
      </w:pPr>
      <w:bookmarkStart w:id="49" w:name="_Toc373934592"/>
      <w:r w:rsidRPr="001D46D2">
        <w:rPr>
          <w:rFonts w:ascii="Arial" w:hAnsi="Arial" w:cs="Arial"/>
          <w:i/>
          <w:sz w:val="20"/>
          <w:szCs w:val="20"/>
          <w:highlight w:val="white"/>
          <w:lang w:eastAsia="en-AU"/>
        </w:rPr>
        <w:t>Light vehicles</w:t>
      </w:r>
      <w:bookmarkEnd w:id="49"/>
    </w:p>
    <w:p w:rsidR="00CE77AE" w:rsidRPr="001D46D2" w:rsidRDefault="00CE77AE" w:rsidP="008C2AA4">
      <w:pPr>
        <w:autoSpaceDE w:val="0"/>
        <w:autoSpaceDN w:val="0"/>
        <w:adjustRightInd w:val="0"/>
        <w:spacing w:after="200" w:line="276" w:lineRule="auto"/>
        <w:rPr>
          <w:rFonts w:ascii="Arial" w:hAnsi="Arial" w:cs="Arial"/>
          <w:sz w:val="20"/>
          <w:szCs w:val="20"/>
          <w:highlight w:val="white"/>
          <w:lang w:eastAsia="en-AU"/>
        </w:rPr>
      </w:pPr>
      <w:bookmarkStart w:id="50" w:name="_Toc373934593"/>
      <w:r w:rsidRPr="001D46D2">
        <w:rPr>
          <w:rFonts w:ascii="Arial" w:hAnsi="Arial" w:cs="Arial"/>
          <w:sz w:val="20"/>
          <w:szCs w:val="20"/>
          <w:highlight w:val="white"/>
          <w:lang w:eastAsia="en-AU"/>
        </w:rPr>
        <w:t>In the previous submission to the NTC the ATA rec</w:t>
      </w:r>
      <w:r w:rsidR="000223CC">
        <w:rPr>
          <w:rFonts w:ascii="Arial" w:hAnsi="Arial" w:cs="Arial"/>
          <w:sz w:val="20"/>
          <w:szCs w:val="20"/>
          <w:highlight w:val="white"/>
          <w:lang w:eastAsia="en-AU"/>
        </w:rPr>
        <w:t>ommended that light vehicle ESA</w:t>
      </w:r>
      <w:r w:rsidRPr="001D46D2">
        <w:rPr>
          <w:rFonts w:ascii="Arial" w:hAnsi="Arial" w:cs="Arial"/>
          <w:sz w:val="20"/>
          <w:szCs w:val="20"/>
          <w:highlight w:val="white"/>
          <w:lang w:eastAsia="en-AU"/>
        </w:rPr>
        <w:t xml:space="preserve">s be examined as </w:t>
      </w:r>
      <w:r w:rsidR="00655B53" w:rsidRPr="001D46D2">
        <w:rPr>
          <w:rFonts w:ascii="Arial" w:hAnsi="Arial" w:cs="Arial"/>
          <w:sz w:val="20"/>
          <w:szCs w:val="20"/>
          <w:highlight w:val="white"/>
          <w:lang w:eastAsia="en-AU"/>
        </w:rPr>
        <w:t>a contributor to road wear given their volume. Road</w:t>
      </w:r>
      <w:r w:rsidR="00AE4FFB" w:rsidRPr="001D46D2">
        <w:rPr>
          <w:rFonts w:ascii="Arial" w:hAnsi="Arial" w:cs="Arial"/>
          <w:sz w:val="20"/>
          <w:szCs w:val="20"/>
          <w:highlight w:val="white"/>
          <w:lang w:eastAsia="en-AU"/>
        </w:rPr>
        <w:t xml:space="preserve"> wear </w:t>
      </w:r>
      <w:r w:rsidRPr="001D46D2">
        <w:rPr>
          <w:rFonts w:ascii="Arial" w:hAnsi="Arial" w:cs="Arial"/>
          <w:sz w:val="20"/>
          <w:szCs w:val="20"/>
          <w:highlight w:val="white"/>
          <w:lang w:eastAsia="en-AU"/>
        </w:rPr>
        <w:t>is currently</w:t>
      </w:r>
      <w:r w:rsidR="00AE4FFB" w:rsidRPr="001D46D2">
        <w:rPr>
          <w:rFonts w:ascii="Arial" w:hAnsi="Arial" w:cs="Arial"/>
          <w:sz w:val="20"/>
          <w:szCs w:val="20"/>
          <w:highlight w:val="white"/>
          <w:lang w:eastAsia="en-AU"/>
        </w:rPr>
        <w:t xml:space="preserve"> attributed t</w:t>
      </w:r>
      <w:r w:rsidRPr="001D46D2">
        <w:rPr>
          <w:rFonts w:ascii="Arial" w:hAnsi="Arial" w:cs="Arial"/>
          <w:sz w:val="20"/>
          <w:szCs w:val="20"/>
          <w:highlight w:val="white"/>
          <w:lang w:eastAsia="en-AU"/>
        </w:rPr>
        <w:t>o wea</w:t>
      </w:r>
      <w:r w:rsidR="00341AE8" w:rsidRPr="001D46D2">
        <w:rPr>
          <w:rFonts w:ascii="Arial" w:hAnsi="Arial" w:cs="Arial"/>
          <w:sz w:val="20"/>
          <w:szCs w:val="20"/>
          <w:highlight w:val="white"/>
          <w:lang w:eastAsia="en-AU"/>
        </w:rPr>
        <w:t xml:space="preserve">thering and heavy vehicles only. The ATA believes that </w:t>
      </w:r>
      <w:r w:rsidRPr="001D46D2">
        <w:rPr>
          <w:rFonts w:ascii="Arial" w:hAnsi="Arial" w:cs="Arial"/>
          <w:sz w:val="20"/>
          <w:szCs w:val="20"/>
          <w:highlight w:val="white"/>
          <w:lang w:eastAsia="en-AU"/>
        </w:rPr>
        <w:t xml:space="preserve">light vehicle passes over a road will eventually lead to deterioration. </w:t>
      </w:r>
    </w:p>
    <w:p w:rsidR="008C2AA4" w:rsidRPr="001D46D2" w:rsidRDefault="00CE77AE" w:rsidP="008C2AA4">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investigated the matter, contacting national and international bodies to see if there was any current </w:t>
      </w:r>
      <w:r w:rsidR="00341AE8" w:rsidRPr="001D46D2">
        <w:rPr>
          <w:rFonts w:ascii="Arial" w:hAnsi="Arial" w:cs="Arial"/>
          <w:sz w:val="20"/>
          <w:szCs w:val="20"/>
          <w:highlight w:val="white"/>
          <w:lang w:eastAsia="en-AU"/>
        </w:rPr>
        <w:t>study</w:t>
      </w:r>
      <w:r w:rsidRPr="001D46D2">
        <w:rPr>
          <w:rFonts w:ascii="Arial" w:hAnsi="Arial" w:cs="Arial"/>
          <w:sz w:val="20"/>
          <w:szCs w:val="20"/>
          <w:highlight w:val="white"/>
          <w:lang w:eastAsia="en-AU"/>
        </w:rPr>
        <w:t xml:space="preserve"> on t</w:t>
      </w:r>
      <w:r w:rsidR="008C2AA4" w:rsidRPr="001D46D2">
        <w:rPr>
          <w:rFonts w:ascii="Arial" w:hAnsi="Arial" w:cs="Arial"/>
          <w:sz w:val="20"/>
          <w:szCs w:val="20"/>
          <w:highlight w:val="white"/>
          <w:lang w:eastAsia="en-AU"/>
        </w:rPr>
        <w:t xml:space="preserve">he matter of light vehicle ESAs. The conclusion of that </w:t>
      </w:r>
      <w:r w:rsidR="00341AE8" w:rsidRPr="001D46D2">
        <w:rPr>
          <w:rFonts w:ascii="Arial" w:hAnsi="Arial" w:cs="Arial"/>
          <w:sz w:val="20"/>
          <w:szCs w:val="20"/>
          <w:highlight w:val="white"/>
          <w:lang w:eastAsia="en-AU"/>
        </w:rPr>
        <w:t xml:space="preserve">examination </w:t>
      </w:r>
      <w:r w:rsidR="008C2AA4" w:rsidRPr="001D46D2">
        <w:rPr>
          <w:rFonts w:ascii="Arial" w:hAnsi="Arial" w:cs="Arial"/>
          <w:sz w:val="20"/>
          <w:szCs w:val="20"/>
          <w:highlight w:val="white"/>
          <w:lang w:eastAsia="en-AU"/>
        </w:rPr>
        <w:t xml:space="preserve">was that there is no current </w:t>
      </w:r>
      <w:r w:rsidR="00655B53" w:rsidRPr="001D46D2">
        <w:rPr>
          <w:rFonts w:ascii="Arial" w:hAnsi="Arial" w:cs="Arial"/>
          <w:sz w:val="20"/>
          <w:szCs w:val="20"/>
          <w:highlight w:val="white"/>
          <w:lang w:eastAsia="en-AU"/>
        </w:rPr>
        <w:t>research</w:t>
      </w:r>
      <w:r w:rsidR="008C2AA4" w:rsidRPr="001D46D2">
        <w:rPr>
          <w:rFonts w:ascii="Arial" w:hAnsi="Arial" w:cs="Arial"/>
          <w:sz w:val="20"/>
          <w:szCs w:val="20"/>
          <w:highlight w:val="white"/>
          <w:lang w:eastAsia="en-AU"/>
        </w:rPr>
        <w:t xml:space="preserve"> that supports attributing road dete</w:t>
      </w:r>
      <w:r w:rsidR="00655B53" w:rsidRPr="001D46D2">
        <w:rPr>
          <w:rFonts w:ascii="Arial" w:hAnsi="Arial" w:cs="Arial"/>
          <w:sz w:val="20"/>
          <w:szCs w:val="20"/>
          <w:highlight w:val="white"/>
          <w:lang w:eastAsia="en-AU"/>
        </w:rPr>
        <w:t>rioration</w:t>
      </w:r>
      <w:r w:rsidR="008C2AA4" w:rsidRPr="001D46D2">
        <w:rPr>
          <w:rFonts w:ascii="Arial" w:hAnsi="Arial" w:cs="Arial"/>
          <w:sz w:val="20"/>
          <w:szCs w:val="20"/>
          <w:highlight w:val="white"/>
          <w:lang w:eastAsia="en-AU"/>
        </w:rPr>
        <w:t xml:space="preserve"> costs to light vehicles. </w:t>
      </w:r>
    </w:p>
    <w:p w:rsidR="00CE77AE" w:rsidRPr="001D46D2" w:rsidRDefault="008C2AA4" w:rsidP="008C2AA4">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However, given the dearth of research on the topic and the fact that there is a considerable number of light vehicles reaching 3.5 tonnes (see SMVU numbers)</w:t>
      </w:r>
      <w:r w:rsidR="00784200" w:rsidRPr="001D46D2">
        <w:rPr>
          <w:rFonts w:ascii="Arial" w:hAnsi="Arial" w:cs="Arial"/>
          <w:sz w:val="20"/>
          <w:szCs w:val="20"/>
          <w:highlight w:val="white"/>
          <w:lang w:eastAsia="en-AU"/>
        </w:rPr>
        <w:t>, and tyre contact pressure calculation</w:t>
      </w:r>
      <w:r w:rsidR="00341AE8" w:rsidRPr="001D46D2">
        <w:rPr>
          <w:rFonts w:ascii="Arial" w:hAnsi="Arial" w:cs="Arial"/>
          <w:sz w:val="20"/>
          <w:szCs w:val="20"/>
          <w:highlight w:val="white"/>
          <w:lang w:eastAsia="en-AU"/>
        </w:rPr>
        <w:t>s</w:t>
      </w:r>
      <w:r w:rsidR="00784200" w:rsidRPr="001D46D2">
        <w:rPr>
          <w:rFonts w:ascii="Arial" w:hAnsi="Arial" w:cs="Arial"/>
          <w:sz w:val="20"/>
          <w:szCs w:val="20"/>
          <w:highlight w:val="white"/>
          <w:lang w:eastAsia="en-AU"/>
        </w:rPr>
        <w:t xml:space="preserve"> reveal impacts similar to steer </w:t>
      </w:r>
      <w:r w:rsidR="00341AE8" w:rsidRPr="001D46D2">
        <w:rPr>
          <w:rFonts w:ascii="Arial" w:hAnsi="Arial" w:cs="Arial"/>
          <w:sz w:val="20"/>
          <w:szCs w:val="20"/>
          <w:highlight w:val="white"/>
          <w:lang w:eastAsia="en-AU"/>
        </w:rPr>
        <w:t>tyres</w:t>
      </w:r>
      <w:r w:rsidR="00784200" w:rsidRPr="001D46D2">
        <w:rPr>
          <w:rFonts w:ascii="Arial" w:hAnsi="Arial" w:cs="Arial"/>
          <w:sz w:val="20"/>
          <w:szCs w:val="20"/>
          <w:highlight w:val="white"/>
          <w:lang w:eastAsia="en-AU"/>
        </w:rPr>
        <w:t xml:space="preserve"> in heavy trucks, </w:t>
      </w:r>
      <w:r w:rsidRPr="001D46D2">
        <w:rPr>
          <w:rFonts w:ascii="Arial" w:hAnsi="Arial" w:cs="Arial"/>
          <w:sz w:val="20"/>
          <w:szCs w:val="20"/>
          <w:highlight w:val="white"/>
          <w:lang w:eastAsia="en-AU"/>
        </w:rPr>
        <w:t xml:space="preserve"> the topic</w:t>
      </w:r>
      <w:r w:rsidR="00655B53" w:rsidRPr="001D46D2">
        <w:rPr>
          <w:rFonts w:ascii="Arial" w:hAnsi="Arial" w:cs="Arial"/>
          <w:sz w:val="20"/>
          <w:szCs w:val="20"/>
          <w:highlight w:val="white"/>
          <w:lang w:eastAsia="en-AU"/>
        </w:rPr>
        <w:t xml:space="preserve"> for investigation</w:t>
      </w:r>
      <w:r w:rsidRPr="001D46D2">
        <w:rPr>
          <w:rFonts w:ascii="Arial" w:hAnsi="Arial" w:cs="Arial"/>
          <w:sz w:val="20"/>
          <w:szCs w:val="20"/>
          <w:highlight w:val="white"/>
          <w:lang w:eastAsia="en-AU"/>
        </w:rPr>
        <w:t xml:space="preserve"> is not without merit. </w:t>
      </w:r>
    </w:p>
    <w:p w:rsidR="00273325" w:rsidRPr="001D46D2" w:rsidRDefault="00BB4E99" w:rsidP="00E2768A">
      <w:pPr>
        <w:pStyle w:val="Heading1"/>
        <w:numPr>
          <w:ilvl w:val="1"/>
          <w:numId w:val="3"/>
        </w:numPr>
        <w:jc w:val="both"/>
        <w:rPr>
          <w:szCs w:val="20"/>
        </w:rPr>
      </w:pPr>
      <w:bookmarkStart w:id="51" w:name="_Toc377542677"/>
      <w:bookmarkEnd w:id="42"/>
      <w:bookmarkEnd w:id="43"/>
      <w:bookmarkEnd w:id="44"/>
      <w:bookmarkEnd w:id="45"/>
      <w:bookmarkEnd w:id="46"/>
      <w:bookmarkEnd w:id="47"/>
      <w:bookmarkEnd w:id="50"/>
      <w:r w:rsidRPr="001D46D2">
        <w:rPr>
          <w:szCs w:val="20"/>
        </w:rPr>
        <w:t>Annual Adjustment</w:t>
      </w:r>
      <w:bookmarkEnd w:id="51"/>
      <w:r w:rsidRPr="001D46D2">
        <w:rPr>
          <w:szCs w:val="20"/>
        </w:rPr>
        <w:t xml:space="preserve"> </w:t>
      </w:r>
    </w:p>
    <w:p w:rsidR="009C5B73" w:rsidRPr="001D46D2" w:rsidRDefault="009C5B73" w:rsidP="009C5B73">
      <w:pPr>
        <w:rPr>
          <w:rFonts w:ascii="Arial" w:hAnsi="Arial" w:cs="Arial"/>
          <w:sz w:val="20"/>
          <w:szCs w:val="20"/>
        </w:rPr>
      </w:pPr>
    </w:p>
    <w:p w:rsidR="00014B23" w:rsidRPr="001D46D2" w:rsidRDefault="00014B23" w:rsidP="00014B23">
      <w:pPr>
        <w:autoSpaceDE w:val="0"/>
        <w:autoSpaceDN w:val="0"/>
        <w:adjustRightInd w:val="0"/>
        <w:spacing w:after="200" w:line="276" w:lineRule="auto"/>
        <w:rPr>
          <w:rFonts w:ascii="Arial" w:hAnsi="Arial" w:cs="Arial"/>
          <w:sz w:val="20"/>
          <w:szCs w:val="20"/>
          <w:highlight w:val="white"/>
          <w:lang w:eastAsia="en-AU"/>
        </w:rPr>
      </w:pPr>
      <w:bookmarkStart w:id="52" w:name="_Toc352071983"/>
      <w:bookmarkStart w:id="53" w:name="_Toc352149600"/>
      <w:bookmarkEnd w:id="52"/>
      <w:bookmarkEnd w:id="53"/>
      <w:r w:rsidRPr="001D46D2">
        <w:rPr>
          <w:rFonts w:ascii="Arial" w:hAnsi="Arial" w:cs="Arial"/>
          <w:sz w:val="20"/>
          <w:szCs w:val="20"/>
          <w:highlight w:val="white"/>
          <w:lang w:eastAsia="en-AU"/>
        </w:rPr>
        <w:t>The ATA raised the issue that some of the important parameters in the annual adjustment formula have not been updated since 2007. The road use factor</w:t>
      </w:r>
      <w:r w:rsidR="008C2AA4" w:rsidRPr="001D46D2">
        <w:rPr>
          <w:rFonts w:ascii="Arial" w:hAnsi="Arial" w:cs="Arial"/>
          <w:sz w:val="20"/>
          <w:szCs w:val="20"/>
          <w:highlight w:val="white"/>
          <w:lang w:eastAsia="en-AU"/>
        </w:rPr>
        <w:t xml:space="preserve"> (RUF)</w:t>
      </w:r>
      <w:r w:rsidRPr="001D46D2">
        <w:rPr>
          <w:rFonts w:ascii="Arial" w:hAnsi="Arial" w:cs="Arial"/>
          <w:sz w:val="20"/>
          <w:szCs w:val="20"/>
          <w:highlight w:val="white"/>
          <w:lang w:eastAsia="en-AU"/>
        </w:rPr>
        <w:t xml:space="preserve"> is currently fixed at -</w:t>
      </w:r>
      <w:r w:rsidR="000223CC" w:rsidRPr="001D46D2">
        <w:rPr>
          <w:rFonts w:ascii="Arial" w:hAnsi="Arial" w:cs="Arial"/>
          <w:sz w:val="20"/>
          <w:szCs w:val="20"/>
          <w:highlight w:val="white"/>
          <w:lang w:eastAsia="en-AU"/>
        </w:rPr>
        <w:t>1;</w:t>
      </w:r>
      <w:r w:rsidRPr="001D46D2">
        <w:rPr>
          <w:rFonts w:ascii="Arial" w:hAnsi="Arial" w:cs="Arial"/>
          <w:sz w:val="20"/>
          <w:szCs w:val="20"/>
          <w:highlight w:val="white"/>
          <w:lang w:eastAsia="en-AU"/>
        </w:rPr>
        <w:t xml:space="preserve"> however</w:t>
      </w:r>
      <w:r w:rsidR="000223CC">
        <w:rPr>
          <w:rFonts w:ascii="Arial" w:hAnsi="Arial" w:cs="Arial"/>
          <w:sz w:val="20"/>
          <w:szCs w:val="20"/>
          <w:highlight w:val="white"/>
          <w:lang w:eastAsia="en-AU"/>
        </w:rPr>
        <w:t>,</w:t>
      </w:r>
      <w:r w:rsidRPr="001D46D2">
        <w:rPr>
          <w:rFonts w:ascii="Arial" w:hAnsi="Arial" w:cs="Arial"/>
          <w:sz w:val="20"/>
          <w:szCs w:val="20"/>
          <w:highlight w:val="white"/>
          <w:lang w:eastAsia="en-AU"/>
        </w:rPr>
        <w:t xml:space="preserve"> the inputs into the calculation such as GDP chain volume, Vehicle population and vehicle kilometres travelled have changed.  The ATA recommended the RUF be updated annually. </w:t>
      </w:r>
    </w:p>
    <w:p w:rsidR="00A95F6F" w:rsidRDefault="00014B23" w:rsidP="00014B23">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response to the issues </w:t>
      </w:r>
      <w:r w:rsidR="008C2AA4" w:rsidRPr="001D46D2">
        <w:rPr>
          <w:rFonts w:ascii="Arial" w:hAnsi="Arial" w:cs="Arial"/>
          <w:sz w:val="20"/>
          <w:szCs w:val="20"/>
          <w:highlight w:val="white"/>
          <w:lang w:eastAsia="en-AU"/>
        </w:rPr>
        <w:t>presented by the ATA is to recommend a new annual adjustment formula that is dynamic and simpler than the existing fixed component formula. The outcome of</w:t>
      </w:r>
      <w:r w:rsidR="00EF014A" w:rsidRPr="001D46D2">
        <w:rPr>
          <w:rFonts w:ascii="Arial" w:hAnsi="Arial" w:cs="Arial"/>
          <w:sz w:val="20"/>
          <w:szCs w:val="20"/>
          <w:highlight w:val="white"/>
          <w:lang w:eastAsia="en-AU"/>
        </w:rPr>
        <w:t xml:space="preserve"> the new annual adjustment</w:t>
      </w:r>
      <w:r w:rsidR="008C2AA4" w:rsidRPr="001D46D2">
        <w:rPr>
          <w:rFonts w:ascii="Arial" w:hAnsi="Arial" w:cs="Arial"/>
          <w:sz w:val="20"/>
          <w:szCs w:val="20"/>
          <w:highlight w:val="white"/>
          <w:lang w:eastAsia="en-AU"/>
        </w:rPr>
        <w:t xml:space="preserve"> formula also provides relatively similar figures</w:t>
      </w:r>
      <w:r w:rsidR="00341AE8" w:rsidRPr="001D46D2">
        <w:rPr>
          <w:rFonts w:ascii="Arial" w:hAnsi="Arial" w:cs="Arial"/>
          <w:sz w:val="20"/>
          <w:szCs w:val="20"/>
          <w:highlight w:val="white"/>
          <w:lang w:eastAsia="en-AU"/>
        </w:rPr>
        <w:t xml:space="preserve"> to the current formula</w:t>
      </w:r>
      <w:r w:rsidR="008C2AA4" w:rsidRPr="001D46D2">
        <w:rPr>
          <w:rFonts w:ascii="Arial" w:hAnsi="Arial" w:cs="Arial"/>
          <w:sz w:val="20"/>
          <w:szCs w:val="20"/>
          <w:highlight w:val="white"/>
          <w:lang w:eastAsia="en-AU"/>
        </w:rPr>
        <w:t xml:space="preserve">. </w:t>
      </w:r>
    </w:p>
    <w:p w:rsidR="008C2AA4" w:rsidRPr="001D46D2" w:rsidRDefault="008C2AA4" w:rsidP="00014B23">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lastRenderedPageBreak/>
        <w:t>The NTC w</w:t>
      </w:r>
      <w:r w:rsidR="000223CC">
        <w:rPr>
          <w:rFonts w:ascii="Arial" w:hAnsi="Arial" w:cs="Arial"/>
          <w:sz w:val="20"/>
          <w:szCs w:val="20"/>
          <w:highlight w:val="white"/>
          <w:lang w:eastAsia="en-AU"/>
        </w:rPr>
        <w:t>as</w:t>
      </w:r>
      <w:r w:rsidRPr="001D46D2">
        <w:rPr>
          <w:rFonts w:ascii="Arial" w:hAnsi="Arial" w:cs="Arial"/>
          <w:sz w:val="20"/>
          <w:szCs w:val="20"/>
          <w:highlight w:val="white"/>
          <w:lang w:eastAsia="en-AU"/>
        </w:rPr>
        <w:t xml:space="preserve"> tasked with making the annual adjustment more accurate, dynamic and easier to understand. The new formula fulfils these desires of government and the industry. </w:t>
      </w:r>
      <w:r w:rsidR="000223CC">
        <w:rPr>
          <w:rFonts w:ascii="Arial" w:hAnsi="Arial" w:cs="Arial"/>
          <w:sz w:val="20"/>
          <w:szCs w:val="20"/>
          <w:highlight w:val="white"/>
          <w:lang w:eastAsia="en-AU"/>
        </w:rPr>
        <w:t>It uses</w:t>
      </w:r>
      <w:r w:rsidR="00D55FAC" w:rsidRPr="001D46D2">
        <w:rPr>
          <w:rFonts w:ascii="Arial" w:hAnsi="Arial" w:cs="Arial"/>
          <w:sz w:val="20"/>
          <w:szCs w:val="20"/>
          <w:highlight w:val="white"/>
          <w:lang w:eastAsia="en-AU"/>
        </w:rPr>
        <w:t xml:space="preserve"> heavy vehicle specific </w:t>
      </w:r>
      <w:r w:rsidR="005A5392" w:rsidRPr="001D46D2">
        <w:rPr>
          <w:rFonts w:ascii="Arial" w:hAnsi="Arial" w:cs="Arial"/>
          <w:sz w:val="20"/>
          <w:szCs w:val="20"/>
          <w:highlight w:val="white"/>
          <w:lang w:eastAsia="en-AU"/>
        </w:rPr>
        <w:t>usage dat</w:t>
      </w:r>
      <w:r w:rsidR="000223CC">
        <w:rPr>
          <w:rFonts w:ascii="Arial" w:hAnsi="Arial" w:cs="Arial"/>
          <w:sz w:val="20"/>
          <w:szCs w:val="20"/>
          <w:highlight w:val="white"/>
          <w:lang w:eastAsia="en-AU"/>
        </w:rPr>
        <w:t xml:space="preserve">a from the SMVU, </w:t>
      </w:r>
      <w:r w:rsidR="005A5392" w:rsidRPr="001D46D2">
        <w:rPr>
          <w:rFonts w:ascii="Arial" w:hAnsi="Arial" w:cs="Arial"/>
          <w:sz w:val="20"/>
          <w:szCs w:val="20"/>
          <w:highlight w:val="white"/>
          <w:lang w:eastAsia="en-AU"/>
        </w:rPr>
        <w:t xml:space="preserve">road </w:t>
      </w:r>
      <w:r w:rsidR="00D55FAC" w:rsidRPr="001D46D2">
        <w:rPr>
          <w:rFonts w:ascii="Arial" w:hAnsi="Arial" w:cs="Arial"/>
          <w:sz w:val="20"/>
          <w:szCs w:val="20"/>
          <w:highlight w:val="white"/>
          <w:lang w:eastAsia="en-AU"/>
        </w:rPr>
        <w:t>expenditure</w:t>
      </w:r>
      <w:r w:rsidR="005A5392" w:rsidRPr="001D46D2">
        <w:rPr>
          <w:rFonts w:ascii="Arial" w:hAnsi="Arial" w:cs="Arial"/>
          <w:sz w:val="20"/>
          <w:szCs w:val="20"/>
          <w:highlight w:val="white"/>
          <w:lang w:eastAsia="en-AU"/>
        </w:rPr>
        <w:t xml:space="preserve"> data from </w:t>
      </w:r>
      <w:r w:rsidR="00D55FAC" w:rsidRPr="001D46D2">
        <w:rPr>
          <w:rFonts w:ascii="Arial" w:hAnsi="Arial" w:cs="Arial"/>
          <w:sz w:val="20"/>
          <w:szCs w:val="20"/>
          <w:highlight w:val="white"/>
          <w:lang w:eastAsia="en-AU"/>
        </w:rPr>
        <w:t>jurisdictional</w:t>
      </w:r>
      <w:r w:rsidR="005A5392" w:rsidRPr="001D46D2">
        <w:rPr>
          <w:rFonts w:ascii="Arial" w:hAnsi="Arial" w:cs="Arial"/>
          <w:sz w:val="20"/>
          <w:szCs w:val="20"/>
          <w:highlight w:val="white"/>
          <w:lang w:eastAsia="en-AU"/>
        </w:rPr>
        <w:t xml:space="preserve"> </w:t>
      </w:r>
      <w:r w:rsidR="00D55FAC" w:rsidRPr="001D46D2">
        <w:rPr>
          <w:rFonts w:ascii="Arial" w:hAnsi="Arial" w:cs="Arial"/>
          <w:sz w:val="20"/>
          <w:szCs w:val="20"/>
          <w:highlight w:val="white"/>
          <w:lang w:eastAsia="en-AU"/>
        </w:rPr>
        <w:t>expenditure</w:t>
      </w:r>
      <w:r w:rsidR="005A5392" w:rsidRPr="001D46D2">
        <w:rPr>
          <w:rFonts w:ascii="Arial" w:hAnsi="Arial" w:cs="Arial"/>
          <w:sz w:val="20"/>
          <w:szCs w:val="20"/>
          <w:highlight w:val="white"/>
          <w:lang w:eastAsia="en-AU"/>
        </w:rPr>
        <w:t xml:space="preserve"> </w:t>
      </w:r>
      <w:r w:rsidR="00D55FAC" w:rsidRPr="001D46D2">
        <w:rPr>
          <w:rFonts w:ascii="Arial" w:hAnsi="Arial" w:cs="Arial"/>
          <w:sz w:val="20"/>
          <w:szCs w:val="20"/>
          <w:highlight w:val="white"/>
          <w:lang w:eastAsia="en-AU"/>
        </w:rPr>
        <w:t>template</w:t>
      </w:r>
      <w:r w:rsidR="00341AE8" w:rsidRPr="001D46D2">
        <w:rPr>
          <w:rFonts w:ascii="Arial" w:hAnsi="Arial" w:cs="Arial"/>
          <w:sz w:val="20"/>
          <w:szCs w:val="20"/>
          <w:highlight w:val="white"/>
          <w:lang w:eastAsia="en-AU"/>
        </w:rPr>
        <w:t>s</w:t>
      </w:r>
      <w:r w:rsidR="005A5392" w:rsidRPr="001D46D2">
        <w:rPr>
          <w:rFonts w:ascii="Arial" w:hAnsi="Arial" w:cs="Arial"/>
          <w:sz w:val="20"/>
          <w:szCs w:val="20"/>
          <w:highlight w:val="white"/>
          <w:lang w:eastAsia="en-AU"/>
        </w:rPr>
        <w:t xml:space="preserve"> and ABS stat</w:t>
      </w:r>
      <w:r w:rsidR="00341AE8" w:rsidRPr="001D46D2">
        <w:rPr>
          <w:rFonts w:ascii="Arial" w:hAnsi="Arial" w:cs="Arial"/>
          <w:sz w:val="20"/>
          <w:szCs w:val="20"/>
          <w:highlight w:val="white"/>
          <w:lang w:eastAsia="en-AU"/>
        </w:rPr>
        <w:t>istics</w:t>
      </w:r>
      <w:r w:rsidR="005A5392" w:rsidRPr="001D46D2">
        <w:rPr>
          <w:rFonts w:ascii="Arial" w:hAnsi="Arial" w:cs="Arial"/>
          <w:sz w:val="20"/>
          <w:szCs w:val="20"/>
          <w:highlight w:val="white"/>
          <w:lang w:eastAsia="en-AU"/>
        </w:rPr>
        <w:t xml:space="preserve"> for local road </w:t>
      </w:r>
      <w:r w:rsidR="00D55FAC" w:rsidRPr="001D46D2">
        <w:rPr>
          <w:rFonts w:ascii="Arial" w:hAnsi="Arial" w:cs="Arial"/>
          <w:sz w:val="20"/>
          <w:szCs w:val="20"/>
          <w:highlight w:val="white"/>
          <w:lang w:eastAsia="en-AU"/>
        </w:rPr>
        <w:t>expenditure</w:t>
      </w:r>
      <w:r w:rsidR="005A5392" w:rsidRPr="001D46D2">
        <w:rPr>
          <w:rFonts w:ascii="Arial" w:hAnsi="Arial" w:cs="Arial"/>
          <w:sz w:val="20"/>
          <w:szCs w:val="20"/>
          <w:highlight w:val="white"/>
          <w:lang w:eastAsia="en-AU"/>
        </w:rPr>
        <w:t xml:space="preserve">. </w:t>
      </w:r>
      <w:r w:rsidR="007B1879" w:rsidRPr="001D46D2">
        <w:rPr>
          <w:rFonts w:ascii="Arial" w:hAnsi="Arial" w:cs="Arial"/>
          <w:sz w:val="20"/>
          <w:szCs w:val="20"/>
          <w:highlight w:val="white"/>
          <w:lang w:eastAsia="en-AU"/>
        </w:rPr>
        <w:t>Since</w:t>
      </w:r>
      <w:r w:rsidR="00127712" w:rsidRPr="001D46D2">
        <w:rPr>
          <w:rFonts w:ascii="Arial" w:hAnsi="Arial" w:cs="Arial"/>
          <w:sz w:val="20"/>
          <w:szCs w:val="20"/>
          <w:highlight w:val="white"/>
          <w:lang w:eastAsia="en-AU"/>
        </w:rPr>
        <w:t xml:space="preserve"> the annual adjustment is meant to reflect changes in heavy vehicles expenditure</w:t>
      </w:r>
      <w:r w:rsidR="00751B9F" w:rsidRPr="001D46D2">
        <w:rPr>
          <w:rFonts w:ascii="Arial" w:hAnsi="Arial" w:cs="Arial"/>
          <w:sz w:val="20"/>
          <w:szCs w:val="20"/>
          <w:highlight w:val="white"/>
          <w:lang w:eastAsia="en-AU"/>
        </w:rPr>
        <w:t>,</w:t>
      </w:r>
      <w:r w:rsidR="00127712" w:rsidRPr="001D46D2">
        <w:rPr>
          <w:rFonts w:ascii="Arial" w:hAnsi="Arial" w:cs="Arial"/>
          <w:sz w:val="20"/>
          <w:szCs w:val="20"/>
          <w:highlight w:val="white"/>
          <w:lang w:eastAsia="en-AU"/>
        </w:rPr>
        <w:t xml:space="preserve"> wh</w:t>
      </w:r>
      <w:r w:rsidR="00751B9F" w:rsidRPr="001D46D2">
        <w:rPr>
          <w:rFonts w:ascii="Arial" w:hAnsi="Arial" w:cs="Arial"/>
          <w:sz w:val="20"/>
          <w:szCs w:val="20"/>
          <w:highlight w:val="white"/>
          <w:lang w:eastAsia="en-AU"/>
        </w:rPr>
        <w:t>ile also reflecting</w:t>
      </w:r>
      <w:r w:rsidR="00127712" w:rsidRPr="001D46D2">
        <w:rPr>
          <w:rFonts w:ascii="Arial" w:hAnsi="Arial" w:cs="Arial"/>
          <w:sz w:val="20"/>
          <w:szCs w:val="20"/>
          <w:highlight w:val="white"/>
          <w:lang w:eastAsia="en-AU"/>
        </w:rPr>
        <w:t xml:space="preserve"> changes in the overall fleet size and mix between light and heavy vehicles these parameter</w:t>
      </w:r>
      <w:r w:rsidR="007B1879" w:rsidRPr="001D46D2">
        <w:rPr>
          <w:rFonts w:ascii="Arial" w:hAnsi="Arial" w:cs="Arial"/>
          <w:sz w:val="20"/>
          <w:szCs w:val="20"/>
          <w:highlight w:val="white"/>
          <w:lang w:eastAsia="en-AU"/>
        </w:rPr>
        <w:t>s</w:t>
      </w:r>
      <w:r w:rsidR="00127712" w:rsidRPr="001D46D2">
        <w:rPr>
          <w:rFonts w:ascii="Arial" w:hAnsi="Arial" w:cs="Arial"/>
          <w:sz w:val="20"/>
          <w:szCs w:val="20"/>
          <w:highlight w:val="white"/>
          <w:lang w:eastAsia="en-AU"/>
        </w:rPr>
        <w:t xml:space="preserve"> would </w:t>
      </w:r>
      <w:r w:rsidR="00751B9F" w:rsidRPr="001D46D2">
        <w:rPr>
          <w:rFonts w:ascii="Arial" w:hAnsi="Arial" w:cs="Arial"/>
          <w:sz w:val="20"/>
          <w:szCs w:val="20"/>
          <w:highlight w:val="white"/>
          <w:lang w:eastAsia="en-AU"/>
        </w:rPr>
        <w:t xml:space="preserve">better </w:t>
      </w:r>
      <w:r w:rsidR="00127712" w:rsidRPr="001D46D2">
        <w:rPr>
          <w:rFonts w:ascii="Arial" w:hAnsi="Arial" w:cs="Arial"/>
          <w:sz w:val="20"/>
          <w:szCs w:val="20"/>
          <w:highlight w:val="white"/>
          <w:lang w:eastAsia="en-AU"/>
        </w:rPr>
        <w:t xml:space="preserve">reflect this mix than the CPI or the current annual adjustment formula. </w:t>
      </w:r>
    </w:p>
    <w:p w:rsidR="0082056F" w:rsidRPr="001D46D2" w:rsidRDefault="008C2AA4" w:rsidP="00744A2C">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In previous submissions to the NTC the ATA has favoured using the CPI as an annual adjustment factor, however given that the new formula focuses on solely heavy vehicle related cost drivers it is superior to the current annual adjustment formula and would be more reflective of accurate costs than CPI. </w:t>
      </w:r>
      <w:bookmarkStart w:id="54" w:name="_Toc352163857"/>
      <w:bookmarkStart w:id="55" w:name="_Toc352228498"/>
      <w:bookmarkStart w:id="56" w:name="_Toc352231742"/>
      <w:bookmarkStart w:id="57" w:name="_Toc352740584"/>
      <w:bookmarkStart w:id="58" w:name="_Toc353434636"/>
      <w:bookmarkStart w:id="59" w:name="_Toc353435620"/>
      <w:bookmarkStart w:id="60" w:name="_Toc352163861"/>
      <w:bookmarkStart w:id="61" w:name="_Toc352228502"/>
      <w:bookmarkStart w:id="62" w:name="_Toc352231746"/>
      <w:bookmarkStart w:id="63" w:name="_Toc352740588"/>
      <w:bookmarkStart w:id="64" w:name="_Toc353434640"/>
      <w:bookmarkStart w:id="65" w:name="_Toc353435624"/>
      <w:bookmarkEnd w:id="54"/>
      <w:bookmarkEnd w:id="55"/>
      <w:bookmarkEnd w:id="56"/>
      <w:bookmarkEnd w:id="57"/>
      <w:bookmarkEnd w:id="58"/>
      <w:bookmarkEnd w:id="59"/>
      <w:bookmarkEnd w:id="60"/>
      <w:bookmarkEnd w:id="61"/>
      <w:bookmarkEnd w:id="62"/>
      <w:bookmarkEnd w:id="63"/>
      <w:bookmarkEnd w:id="64"/>
      <w:bookmarkEnd w:id="65"/>
      <w:r w:rsidR="005A5392" w:rsidRPr="001D46D2">
        <w:rPr>
          <w:rFonts w:ascii="Arial" w:hAnsi="Arial" w:cs="Arial"/>
          <w:sz w:val="20"/>
          <w:szCs w:val="20"/>
          <w:highlight w:val="white"/>
          <w:lang w:eastAsia="en-AU"/>
        </w:rPr>
        <w:t xml:space="preserve"> While CPI is a simpler system to understand making sure the PayGo model is accurate is a very important aim of the</w:t>
      </w:r>
      <w:r w:rsidR="00751B9F" w:rsidRPr="001D46D2">
        <w:rPr>
          <w:rFonts w:ascii="Arial" w:hAnsi="Arial" w:cs="Arial"/>
          <w:sz w:val="20"/>
          <w:szCs w:val="20"/>
          <w:highlight w:val="white"/>
          <w:lang w:eastAsia="en-AU"/>
        </w:rPr>
        <w:t xml:space="preserve"> determination</w:t>
      </w:r>
      <w:r w:rsidR="005A5392" w:rsidRPr="001D46D2">
        <w:rPr>
          <w:rFonts w:ascii="Arial" w:hAnsi="Arial" w:cs="Arial"/>
          <w:sz w:val="20"/>
          <w:szCs w:val="20"/>
          <w:highlight w:val="white"/>
          <w:lang w:eastAsia="en-AU"/>
        </w:rPr>
        <w:t xml:space="preserve">. </w:t>
      </w:r>
    </w:p>
    <w:p w:rsidR="00121418" w:rsidRPr="001D46D2" w:rsidRDefault="00121418" w:rsidP="00E2768A">
      <w:pPr>
        <w:pStyle w:val="Heading1"/>
        <w:numPr>
          <w:ilvl w:val="1"/>
          <w:numId w:val="3"/>
        </w:numPr>
        <w:jc w:val="both"/>
        <w:rPr>
          <w:szCs w:val="20"/>
        </w:rPr>
      </w:pPr>
      <w:bookmarkStart w:id="66" w:name="_Toc377542678"/>
      <w:r w:rsidRPr="001D46D2">
        <w:rPr>
          <w:szCs w:val="20"/>
        </w:rPr>
        <w:t>Rebate/Concessions/National Charges</w:t>
      </w:r>
      <w:bookmarkEnd w:id="66"/>
    </w:p>
    <w:p w:rsidR="00121418" w:rsidRPr="001D46D2" w:rsidRDefault="00121418" w:rsidP="00121418">
      <w:pPr>
        <w:rPr>
          <w:rFonts w:ascii="Arial" w:hAnsi="Arial" w:cs="Arial"/>
          <w:sz w:val="20"/>
          <w:szCs w:val="20"/>
        </w:rPr>
      </w:pPr>
    </w:p>
    <w:p w:rsidR="00867A12" w:rsidRPr="001D46D2" w:rsidRDefault="00867A12" w:rsidP="00867A12">
      <w:pPr>
        <w:rPr>
          <w:rFonts w:ascii="Arial" w:hAnsi="Arial" w:cs="Arial"/>
          <w:sz w:val="20"/>
          <w:szCs w:val="20"/>
          <w:highlight w:val="white"/>
        </w:rPr>
      </w:pPr>
      <w:r w:rsidRPr="001D46D2">
        <w:rPr>
          <w:rFonts w:ascii="Arial" w:hAnsi="Arial" w:cs="Arial"/>
          <w:sz w:val="20"/>
          <w:szCs w:val="20"/>
        </w:rPr>
        <w:t>The ATA Council requested the NTC</w:t>
      </w:r>
      <w:r w:rsidRPr="001D46D2">
        <w:rPr>
          <w:rFonts w:ascii="Arial" w:hAnsi="Arial" w:cs="Arial"/>
          <w:sz w:val="20"/>
          <w:szCs w:val="20"/>
          <w:highlight w:val="white"/>
        </w:rPr>
        <w:t xml:space="preserve"> ensure that the outcomes of the NTC’s Charges Review achieved equity between combinations, such as B-doubles, B-triples and BAB quads, with vehicles of similar characteristics such as 9 axle truck and dog combinations, and road trains. </w:t>
      </w:r>
    </w:p>
    <w:p w:rsidR="00867A12" w:rsidRPr="001D46D2" w:rsidRDefault="00867A12" w:rsidP="00867A12">
      <w:pPr>
        <w:rPr>
          <w:rFonts w:ascii="Arial" w:hAnsi="Arial" w:cs="Arial"/>
          <w:sz w:val="20"/>
          <w:szCs w:val="20"/>
          <w:highlight w:val="white"/>
        </w:rPr>
      </w:pPr>
    </w:p>
    <w:p w:rsidR="00867A12" w:rsidRPr="001D46D2" w:rsidRDefault="00751B9F" w:rsidP="00867A12">
      <w:pPr>
        <w:rPr>
          <w:rFonts w:ascii="Arial" w:hAnsi="Arial" w:cs="Arial"/>
          <w:sz w:val="20"/>
          <w:szCs w:val="20"/>
          <w:highlight w:val="white"/>
        </w:rPr>
      </w:pPr>
      <w:r w:rsidRPr="001D46D2">
        <w:rPr>
          <w:rFonts w:ascii="Arial" w:hAnsi="Arial" w:cs="Arial"/>
          <w:sz w:val="20"/>
          <w:szCs w:val="20"/>
          <w:highlight w:val="white"/>
        </w:rPr>
        <w:t xml:space="preserve">The ATA Council also </w:t>
      </w:r>
      <w:r w:rsidR="000223CC">
        <w:rPr>
          <w:rFonts w:ascii="Arial" w:hAnsi="Arial" w:cs="Arial"/>
          <w:sz w:val="20"/>
          <w:szCs w:val="20"/>
          <w:highlight w:val="white"/>
        </w:rPr>
        <w:t xml:space="preserve">stated </w:t>
      </w:r>
      <w:r w:rsidR="00867A12" w:rsidRPr="001D46D2">
        <w:rPr>
          <w:rFonts w:ascii="Arial" w:hAnsi="Arial" w:cs="Arial"/>
          <w:sz w:val="20"/>
          <w:szCs w:val="20"/>
          <w:highlight w:val="white"/>
        </w:rPr>
        <w:t>that this should occur without disadvantaging particular sectors or regions</w:t>
      </w:r>
      <w:r w:rsidR="000223CC">
        <w:rPr>
          <w:rFonts w:ascii="Arial" w:hAnsi="Arial" w:cs="Arial"/>
          <w:sz w:val="20"/>
          <w:szCs w:val="20"/>
          <w:highlight w:val="white"/>
        </w:rPr>
        <w:t>,</w:t>
      </w:r>
      <w:r w:rsidR="00867A12" w:rsidRPr="001D46D2">
        <w:rPr>
          <w:rFonts w:ascii="Arial" w:hAnsi="Arial" w:cs="Arial"/>
          <w:sz w:val="20"/>
          <w:szCs w:val="20"/>
          <w:highlight w:val="white"/>
        </w:rPr>
        <w:t xml:space="preserve"> inclu</w:t>
      </w:r>
      <w:r w:rsidR="000223CC">
        <w:rPr>
          <w:rFonts w:ascii="Arial" w:hAnsi="Arial" w:cs="Arial"/>
          <w:sz w:val="20"/>
          <w:szCs w:val="20"/>
          <w:highlight w:val="white"/>
        </w:rPr>
        <w:t>ding</w:t>
      </w:r>
      <w:r w:rsidR="00867A12" w:rsidRPr="001D46D2">
        <w:rPr>
          <w:rFonts w:ascii="Arial" w:hAnsi="Arial" w:cs="Arial"/>
          <w:sz w:val="20"/>
          <w:szCs w:val="20"/>
          <w:highlight w:val="white"/>
        </w:rPr>
        <w:t xml:space="preserve"> rural, regional and remote operators and their communities, by maintaining </w:t>
      </w:r>
      <w:r w:rsidRPr="001D46D2">
        <w:rPr>
          <w:rFonts w:ascii="Arial" w:hAnsi="Arial" w:cs="Arial"/>
          <w:sz w:val="20"/>
          <w:szCs w:val="20"/>
          <w:highlight w:val="white"/>
        </w:rPr>
        <w:t xml:space="preserve">the </w:t>
      </w:r>
      <w:r w:rsidR="00867A12" w:rsidRPr="001D46D2">
        <w:rPr>
          <w:rFonts w:ascii="Arial" w:hAnsi="Arial" w:cs="Arial"/>
          <w:sz w:val="20"/>
          <w:szCs w:val="20"/>
          <w:highlight w:val="white"/>
        </w:rPr>
        <w:t xml:space="preserve">recognition of </w:t>
      </w:r>
      <w:r w:rsidRPr="001D46D2">
        <w:rPr>
          <w:rFonts w:ascii="Arial" w:hAnsi="Arial" w:cs="Arial"/>
          <w:sz w:val="20"/>
          <w:szCs w:val="20"/>
          <w:highlight w:val="white"/>
        </w:rPr>
        <w:t>co</w:t>
      </w:r>
      <w:r w:rsidR="00B70A6F">
        <w:rPr>
          <w:rFonts w:ascii="Arial" w:hAnsi="Arial" w:cs="Arial"/>
          <w:sz w:val="20"/>
          <w:szCs w:val="20"/>
          <w:highlight w:val="white"/>
        </w:rPr>
        <w:t xml:space="preserve">mmunity </w:t>
      </w:r>
      <w:r w:rsidRPr="001D46D2">
        <w:rPr>
          <w:rFonts w:ascii="Arial" w:hAnsi="Arial" w:cs="Arial"/>
          <w:sz w:val="20"/>
          <w:szCs w:val="20"/>
          <w:highlight w:val="white"/>
        </w:rPr>
        <w:t>service obligations (</w:t>
      </w:r>
      <w:r w:rsidR="00867A12" w:rsidRPr="001D46D2">
        <w:rPr>
          <w:rFonts w:ascii="Arial" w:hAnsi="Arial" w:cs="Arial"/>
          <w:sz w:val="20"/>
          <w:szCs w:val="20"/>
          <w:highlight w:val="white"/>
        </w:rPr>
        <w:t>CSO</w:t>
      </w:r>
      <w:r w:rsidRPr="001D46D2">
        <w:rPr>
          <w:rFonts w:ascii="Arial" w:hAnsi="Arial" w:cs="Arial"/>
          <w:sz w:val="20"/>
          <w:szCs w:val="20"/>
          <w:highlight w:val="white"/>
        </w:rPr>
        <w:t>)</w:t>
      </w:r>
      <w:r w:rsidR="000223CC">
        <w:rPr>
          <w:rFonts w:ascii="Arial" w:hAnsi="Arial" w:cs="Arial"/>
          <w:sz w:val="20"/>
          <w:szCs w:val="20"/>
          <w:highlight w:val="white"/>
        </w:rPr>
        <w:t xml:space="preserve"> and current outcomes</w:t>
      </w:r>
      <w:r w:rsidR="00867A12" w:rsidRPr="001D46D2">
        <w:rPr>
          <w:rFonts w:ascii="Arial" w:hAnsi="Arial" w:cs="Arial"/>
          <w:sz w:val="20"/>
          <w:szCs w:val="20"/>
          <w:highlight w:val="white"/>
        </w:rPr>
        <w:t xml:space="preserve"> and applying them as appropriate to safer combinations. </w:t>
      </w:r>
    </w:p>
    <w:p w:rsidR="004347C9" w:rsidRDefault="004347C9" w:rsidP="00121418">
      <w:pPr>
        <w:rPr>
          <w:rFonts w:ascii="Arial" w:hAnsi="Arial" w:cs="Arial"/>
          <w:sz w:val="20"/>
          <w:szCs w:val="20"/>
        </w:rPr>
      </w:pPr>
    </w:p>
    <w:p w:rsidR="004347C9" w:rsidRDefault="00867A12" w:rsidP="00121418">
      <w:pPr>
        <w:rPr>
          <w:rFonts w:ascii="Arial" w:hAnsi="Arial" w:cs="Arial"/>
          <w:sz w:val="20"/>
          <w:szCs w:val="20"/>
        </w:rPr>
      </w:pPr>
      <w:r w:rsidRPr="001D46D2">
        <w:rPr>
          <w:rFonts w:ascii="Arial" w:hAnsi="Arial" w:cs="Arial"/>
          <w:sz w:val="20"/>
          <w:szCs w:val="20"/>
        </w:rPr>
        <w:t>The NTC paper indicates that road trains will continue to receive a subsidy which is recover</w:t>
      </w:r>
      <w:r w:rsidR="004C5006" w:rsidRPr="001D46D2">
        <w:rPr>
          <w:rFonts w:ascii="Arial" w:hAnsi="Arial" w:cs="Arial"/>
          <w:sz w:val="20"/>
          <w:szCs w:val="20"/>
        </w:rPr>
        <w:t xml:space="preserve">able from the rest of the fleet. </w:t>
      </w:r>
      <w:r w:rsidR="00B70A6F">
        <w:rPr>
          <w:rFonts w:ascii="Arial" w:hAnsi="Arial" w:cs="Arial"/>
          <w:sz w:val="20"/>
          <w:szCs w:val="20"/>
        </w:rPr>
        <w:t>The value of the road train cost redistribution is some $19</w:t>
      </w:r>
      <w:r w:rsidR="007D1EFA">
        <w:rPr>
          <w:rFonts w:ascii="Arial" w:hAnsi="Arial" w:cs="Arial"/>
          <w:sz w:val="20"/>
          <w:szCs w:val="20"/>
        </w:rPr>
        <w:t xml:space="preserve"> </w:t>
      </w:r>
      <w:r w:rsidR="00B70A6F">
        <w:rPr>
          <w:rFonts w:ascii="Arial" w:hAnsi="Arial" w:cs="Arial"/>
          <w:sz w:val="20"/>
          <w:szCs w:val="20"/>
        </w:rPr>
        <w:t>m</w:t>
      </w:r>
      <w:r w:rsidR="007D1EFA">
        <w:rPr>
          <w:rFonts w:ascii="Arial" w:hAnsi="Arial" w:cs="Arial"/>
          <w:sz w:val="20"/>
          <w:szCs w:val="20"/>
        </w:rPr>
        <w:t>illion</w:t>
      </w:r>
      <w:r w:rsidR="00B70A6F">
        <w:rPr>
          <w:rFonts w:ascii="Arial" w:hAnsi="Arial" w:cs="Arial"/>
          <w:sz w:val="20"/>
          <w:szCs w:val="20"/>
        </w:rPr>
        <w:t xml:space="preserve">, which is recovered from other </w:t>
      </w:r>
      <w:r w:rsidR="00B72F22">
        <w:rPr>
          <w:rFonts w:ascii="Arial" w:hAnsi="Arial" w:cs="Arial"/>
          <w:sz w:val="20"/>
          <w:szCs w:val="20"/>
        </w:rPr>
        <w:t xml:space="preserve">classes of heavy </w:t>
      </w:r>
      <w:r w:rsidR="00B70A6F">
        <w:rPr>
          <w:rFonts w:ascii="Arial" w:hAnsi="Arial" w:cs="Arial"/>
          <w:sz w:val="20"/>
          <w:szCs w:val="20"/>
        </w:rPr>
        <w:t>vehicles.</w:t>
      </w:r>
      <w:r w:rsidR="004C5006" w:rsidRPr="001D46D2">
        <w:rPr>
          <w:rFonts w:ascii="Arial" w:hAnsi="Arial" w:cs="Arial"/>
          <w:sz w:val="20"/>
          <w:szCs w:val="20"/>
        </w:rPr>
        <w:t xml:space="preserve"> The </w:t>
      </w:r>
      <w:r w:rsidR="00B70A6F">
        <w:rPr>
          <w:rFonts w:ascii="Arial" w:hAnsi="Arial" w:cs="Arial"/>
          <w:sz w:val="20"/>
          <w:szCs w:val="20"/>
        </w:rPr>
        <w:t xml:space="preserve">NTC claims the </w:t>
      </w:r>
      <w:r w:rsidR="004C5006" w:rsidRPr="001D46D2">
        <w:rPr>
          <w:rFonts w:ascii="Arial" w:hAnsi="Arial" w:cs="Arial"/>
          <w:sz w:val="20"/>
          <w:szCs w:val="20"/>
        </w:rPr>
        <w:t xml:space="preserve">zero charge for </w:t>
      </w:r>
      <w:r w:rsidR="00532423" w:rsidRPr="001D46D2">
        <w:rPr>
          <w:rFonts w:ascii="Arial" w:hAnsi="Arial" w:cs="Arial"/>
          <w:sz w:val="20"/>
          <w:szCs w:val="20"/>
        </w:rPr>
        <w:t>converter dollies</w:t>
      </w:r>
      <w:r w:rsidR="004C5006" w:rsidRPr="001D46D2">
        <w:rPr>
          <w:rFonts w:ascii="Arial" w:hAnsi="Arial" w:cs="Arial"/>
          <w:sz w:val="20"/>
          <w:szCs w:val="20"/>
        </w:rPr>
        <w:t xml:space="preserve"> is the only way this subsidy can be implemented without threatening the single trailer class system for all trailers. </w:t>
      </w:r>
      <w:r w:rsidR="00B70A6F">
        <w:rPr>
          <w:rFonts w:ascii="Arial" w:hAnsi="Arial" w:cs="Arial"/>
          <w:sz w:val="20"/>
          <w:szCs w:val="20"/>
        </w:rPr>
        <w:t>Accordingly</w:t>
      </w:r>
      <w:r w:rsidR="000A4E76">
        <w:rPr>
          <w:rFonts w:ascii="Arial" w:hAnsi="Arial" w:cs="Arial"/>
          <w:sz w:val="20"/>
          <w:szCs w:val="20"/>
        </w:rPr>
        <w:t>,</w:t>
      </w:r>
      <w:r w:rsidR="00B70A6F">
        <w:rPr>
          <w:rFonts w:ascii="Arial" w:hAnsi="Arial" w:cs="Arial"/>
          <w:sz w:val="20"/>
          <w:szCs w:val="20"/>
        </w:rPr>
        <w:t xml:space="preserve"> the ATA accepts the NTC proposed approach for this determination. </w:t>
      </w:r>
      <w:r w:rsidR="00784200" w:rsidRPr="001D46D2">
        <w:rPr>
          <w:rFonts w:ascii="Arial" w:hAnsi="Arial" w:cs="Arial"/>
          <w:sz w:val="20"/>
          <w:szCs w:val="20"/>
        </w:rPr>
        <w:t>This process i</w:t>
      </w:r>
      <w:r w:rsidR="000223CC">
        <w:rPr>
          <w:rFonts w:ascii="Arial" w:hAnsi="Arial" w:cs="Arial"/>
          <w:sz w:val="20"/>
          <w:szCs w:val="20"/>
        </w:rPr>
        <w:t>s not ideal</w:t>
      </w:r>
      <w:r w:rsidR="00784200" w:rsidRPr="001D46D2">
        <w:rPr>
          <w:rFonts w:ascii="Arial" w:hAnsi="Arial" w:cs="Arial"/>
          <w:sz w:val="20"/>
          <w:szCs w:val="20"/>
        </w:rPr>
        <w:t xml:space="preserve"> as it leaves some safer combinations at a disadvantage. However, in the absence of transparent CSO for all vehicle types operating in CSO regions, it i</w:t>
      </w:r>
      <w:r w:rsidR="00751B9F" w:rsidRPr="001D46D2">
        <w:rPr>
          <w:rFonts w:ascii="Arial" w:hAnsi="Arial" w:cs="Arial"/>
          <w:sz w:val="20"/>
          <w:szCs w:val="20"/>
        </w:rPr>
        <w:t>s at least recognition of the</w:t>
      </w:r>
      <w:r w:rsidR="00784200" w:rsidRPr="001D46D2">
        <w:rPr>
          <w:rFonts w:ascii="Arial" w:hAnsi="Arial" w:cs="Arial"/>
          <w:sz w:val="20"/>
          <w:szCs w:val="20"/>
        </w:rPr>
        <w:t xml:space="preserve"> need for CSO adjustments. </w:t>
      </w:r>
      <w:r w:rsidR="00B70A6F">
        <w:rPr>
          <w:rFonts w:ascii="Arial" w:hAnsi="Arial" w:cs="Arial"/>
          <w:sz w:val="20"/>
          <w:szCs w:val="20"/>
        </w:rPr>
        <w:t xml:space="preserve">In the future, these equity issues need to be </w:t>
      </w:r>
      <w:r w:rsidR="00B72F22">
        <w:rPr>
          <w:rFonts w:ascii="Arial" w:hAnsi="Arial" w:cs="Arial"/>
          <w:sz w:val="20"/>
          <w:szCs w:val="20"/>
        </w:rPr>
        <w:t>re</w:t>
      </w:r>
      <w:r w:rsidR="00B70A6F">
        <w:rPr>
          <w:rFonts w:ascii="Arial" w:hAnsi="Arial" w:cs="Arial"/>
          <w:sz w:val="20"/>
          <w:szCs w:val="20"/>
        </w:rPr>
        <w:t xml:space="preserve">considered. </w:t>
      </w:r>
    </w:p>
    <w:p w:rsidR="004347C9" w:rsidRDefault="004347C9" w:rsidP="00121418">
      <w:pPr>
        <w:rPr>
          <w:rFonts w:ascii="Arial" w:hAnsi="Arial" w:cs="Arial"/>
          <w:sz w:val="20"/>
          <w:szCs w:val="20"/>
        </w:rPr>
      </w:pPr>
    </w:p>
    <w:p w:rsidR="00756AB3" w:rsidRDefault="00756AB3" w:rsidP="00121418">
      <w:pPr>
        <w:rPr>
          <w:rFonts w:ascii="Arial" w:hAnsi="Arial" w:cs="Arial"/>
          <w:sz w:val="20"/>
          <w:szCs w:val="20"/>
        </w:rPr>
      </w:pPr>
      <w:r>
        <w:rPr>
          <w:rFonts w:ascii="Arial" w:hAnsi="Arial" w:cs="Arial"/>
          <w:sz w:val="20"/>
          <w:szCs w:val="20"/>
        </w:rPr>
        <w:t xml:space="preserve">The Australian Livestock and Rural Transport Association have a different </w:t>
      </w:r>
      <w:r w:rsidR="00533E29">
        <w:rPr>
          <w:rFonts w:ascii="Arial" w:hAnsi="Arial" w:cs="Arial"/>
          <w:sz w:val="20"/>
          <w:szCs w:val="20"/>
        </w:rPr>
        <w:t>position</w:t>
      </w:r>
      <w:r>
        <w:rPr>
          <w:rFonts w:ascii="Arial" w:hAnsi="Arial" w:cs="Arial"/>
          <w:sz w:val="20"/>
          <w:szCs w:val="20"/>
        </w:rPr>
        <w:t xml:space="preserve"> to the ATA on the issue of road train </w:t>
      </w:r>
      <w:r w:rsidR="00533E29">
        <w:rPr>
          <w:rFonts w:ascii="Arial" w:hAnsi="Arial" w:cs="Arial"/>
          <w:sz w:val="20"/>
          <w:szCs w:val="20"/>
        </w:rPr>
        <w:t>concessions</w:t>
      </w:r>
      <w:r w:rsidR="00533E29">
        <w:rPr>
          <w:rStyle w:val="FootnoteReference"/>
          <w:rFonts w:ascii="Arial" w:hAnsi="Arial"/>
          <w:sz w:val="20"/>
          <w:szCs w:val="20"/>
        </w:rPr>
        <w:footnoteReference w:id="3"/>
      </w:r>
      <w:r>
        <w:rPr>
          <w:rFonts w:ascii="Arial" w:hAnsi="Arial" w:cs="Arial"/>
          <w:sz w:val="20"/>
          <w:szCs w:val="20"/>
        </w:rPr>
        <w:t>:</w:t>
      </w:r>
    </w:p>
    <w:p w:rsidR="00533E29" w:rsidRPr="00533E29" w:rsidRDefault="00533E29" w:rsidP="00533E29">
      <w:pPr>
        <w:rPr>
          <w:rFonts w:ascii="Arial" w:hAnsi="Arial" w:cs="Arial"/>
          <w:sz w:val="20"/>
          <w:szCs w:val="20"/>
        </w:rPr>
      </w:pPr>
    </w:p>
    <w:p w:rsidR="00AF3626" w:rsidRDefault="00AF3626"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p>
    <w:p w:rsidR="00080037" w:rsidRDefault="00533E29"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533E29">
        <w:rPr>
          <w:rFonts w:ascii="Arial" w:hAnsi="Arial" w:cs="Arial"/>
          <w:sz w:val="20"/>
          <w:szCs w:val="20"/>
        </w:rPr>
        <w:t xml:space="preserve">The Australian Livestock and Rural Transporters Association (ALRTA) is a member of the ATA and </w:t>
      </w:r>
      <w:proofErr w:type="gramStart"/>
      <w:r w:rsidRPr="00533E29">
        <w:rPr>
          <w:rFonts w:ascii="Arial" w:hAnsi="Arial" w:cs="Arial"/>
          <w:sz w:val="20"/>
          <w:szCs w:val="20"/>
        </w:rPr>
        <w:t>has</w:t>
      </w:r>
      <w:proofErr w:type="gramEnd"/>
      <w:r w:rsidRPr="00533E29">
        <w:rPr>
          <w:rFonts w:ascii="Arial" w:hAnsi="Arial" w:cs="Arial"/>
          <w:sz w:val="20"/>
          <w:szCs w:val="20"/>
        </w:rPr>
        <w:t xml:space="preserve"> contributed to the drafting of this submission. </w:t>
      </w:r>
    </w:p>
    <w:p w:rsidR="00080037" w:rsidRDefault="00080037"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p>
    <w:p w:rsidR="00080037" w:rsidRDefault="00533E29"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533E29">
        <w:rPr>
          <w:rFonts w:ascii="Arial" w:hAnsi="Arial" w:cs="Arial"/>
          <w:sz w:val="20"/>
          <w:szCs w:val="20"/>
        </w:rPr>
        <w:t xml:space="preserve">While the ALRTA supports the NTC’s proposal that the roads component of the converter dolly registration charge be reduced to zero the ALRTA does not share the ATA view that the discount represents cross-subsidisation of road trains by other heavy vehicle classes.  </w:t>
      </w:r>
    </w:p>
    <w:p w:rsidR="00080037" w:rsidRDefault="00080037"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p>
    <w:p w:rsidR="00080037" w:rsidRDefault="00533E29"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533E29">
        <w:rPr>
          <w:rFonts w:ascii="Arial" w:hAnsi="Arial" w:cs="Arial"/>
          <w:sz w:val="20"/>
          <w:szCs w:val="20"/>
        </w:rPr>
        <w:t xml:space="preserve">As noted by the NTC, the proposed adjustment is made to compensate road trains for the distance they travel on poorer quality unsealed roads and in acknowledgement of the service road trains provide to remote communities. </w:t>
      </w:r>
    </w:p>
    <w:p w:rsidR="00080037" w:rsidRDefault="00080037"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p>
    <w:p w:rsidR="00080037" w:rsidRDefault="00533E29"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533E29">
        <w:rPr>
          <w:rFonts w:ascii="Arial" w:hAnsi="Arial" w:cs="Arial"/>
          <w:sz w:val="20"/>
          <w:szCs w:val="20"/>
        </w:rPr>
        <w:t>PAYGO is a cost recovery model. Total monies spent by road providers are pooled, attributed proportionally to heavy vehicles and then charged across the heavy vehicle fleet.  A simplistic charging approach in which all vehicles of an equivalent class are charged the same flat registration fee is not entirely equitable. For this reason industry is broadly supportive of an increased proportion of fuel based charging to ensure that those carrying greater mass or travelling longer distances pay a greater proportion of the total cost.</w:t>
      </w:r>
    </w:p>
    <w:p w:rsidR="00AF3626" w:rsidRDefault="00AF3626"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p>
    <w:p w:rsidR="00080037" w:rsidRDefault="00533E29"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533E29">
        <w:rPr>
          <w:rFonts w:ascii="Arial" w:hAnsi="Arial" w:cs="Arial"/>
          <w:sz w:val="20"/>
          <w:szCs w:val="20"/>
        </w:rPr>
        <w:t>The ALRTA considers that an inherent inequity also arises when a heavy vehicle class which is largely restricted to travelling on unsealed roads is required to pay the same registration fee (on a 'per axle' or 'axle grouping' basis) as vehicle classes predominantly travelling on sealed roads.  Given that it is generally less expensive to build and maintain an unsealed road (as compared with sealing the very same road) the ALRTA concludes that a flat registration structure results in 'off road' vehicles effectively cross subsidising the construction of sealed roads elsewhere on the network.</w:t>
      </w:r>
    </w:p>
    <w:p w:rsidR="00080037" w:rsidRDefault="00080037"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p>
    <w:p w:rsidR="00080037" w:rsidRDefault="00533E29"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533E29">
        <w:rPr>
          <w:rFonts w:ascii="Arial" w:hAnsi="Arial" w:cs="Arial"/>
          <w:sz w:val="20"/>
          <w:szCs w:val="20"/>
        </w:rPr>
        <w:t xml:space="preserve">In line with the ATA position, the ALRTA supports the NTC's proposal to apply a discount to the roads component of the converter dolly registration charge.  However, the ALRTA considers that this approach will </w:t>
      </w:r>
      <w:r w:rsidRPr="00533E29">
        <w:rPr>
          <w:rFonts w:ascii="Arial" w:hAnsi="Arial" w:cs="Arial"/>
          <w:sz w:val="20"/>
          <w:szCs w:val="20"/>
          <w:u w:val="single"/>
        </w:rPr>
        <w:t>reduce</w:t>
      </w:r>
      <w:r w:rsidRPr="00533E29">
        <w:rPr>
          <w:rFonts w:ascii="Arial" w:hAnsi="Arial" w:cs="Arial"/>
          <w:sz w:val="20"/>
          <w:szCs w:val="20"/>
        </w:rPr>
        <w:t xml:space="preserve"> (rather than increase) the level of cross subsidisation that would otherwise occur.</w:t>
      </w:r>
      <w:bookmarkStart w:id="67" w:name="_Toc352163865"/>
      <w:bookmarkStart w:id="68" w:name="_Toc352228506"/>
      <w:bookmarkStart w:id="69" w:name="_Toc352231750"/>
      <w:bookmarkStart w:id="70" w:name="_Toc352740592"/>
      <w:bookmarkStart w:id="71" w:name="_Toc353434644"/>
      <w:bookmarkStart w:id="72" w:name="_Toc353435628"/>
      <w:bookmarkEnd w:id="67"/>
      <w:bookmarkEnd w:id="68"/>
      <w:bookmarkEnd w:id="69"/>
      <w:bookmarkEnd w:id="70"/>
      <w:bookmarkEnd w:id="71"/>
      <w:bookmarkEnd w:id="72"/>
    </w:p>
    <w:p w:rsidR="00AF3626" w:rsidRDefault="00AF3626" w:rsidP="0008003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p>
    <w:p w:rsidR="00B72F22" w:rsidRDefault="00B72F22" w:rsidP="00532423">
      <w:pPr>
        <w:rPr>
          <w:rFonts w:ascii="Arial" w:hAnsi="Arial" w:cs="Arial"/>
          <w:sz w:val="20"/>
          <w:szCs w:val="20"/>
        </w:rPr>
      </w:pPr>
    </w:p>
    <w:p w:rsidR="00127712" w:rsidRPr="001D46D2" w:rsidRDefault="000223CC" w:rsidP="00532423">
      <w:pPr>
        <w:rPr>
          <w:rFonts w:ascii="Arial" w:hAnsi="Arial" w:cs="Arial"/>
          <w:sz w:val="20"/>
          <w:szCs w:val="20"/>
        </w:rPr>
      </w:pPr>
      <w:r>
        <w:rPr>
          <w:rFonts w:ascii="Arial" w:hAnsi="Arial" w:cs="Arial"/>
          <w:sz w:val="20"/>
          <w:szCs w:val="20"/>
        </w:rPr>
        <w:t>The ATA supports state</w:t>
      </w:r>
      <w:r w:rsidR="00532423" w:rsidRPr="001D46D2">
        <w:rPr>
          <w:rFonts w:ascii="Arial" w:hAnsi="Arial" w:cs="Arial"/>
          <w:sz w:val="20"/>
          <w:szCs w:val="20"/>
        </w:rPr>
        <w:t>s</w:t>
      </w:r>
      <w:r>
        <w:rPr>
          <w:rFonts w:ascii="Arial" w:hAnsi="Arial" w:cs="Arial"/>
          <w:sz w:val="20"/>
          <w:szCs w:val="20"/>
        </w:rPr>
        <w:t>’</w:t>
      </w:r>
      <w:r w:rsidR="00532423" w:rsidRPr="001D46D2">
        <w:rPr>
          <w:rFonts w:ascii="Arial" w:hAnsi="Arial" w:cs="Arial"/>
          <w:sz w:val="20"/>
          <w:szCs w:val="20"/>
        </w:rPr>
        <w:t xml:space="preserve"> prerogative to implement concessions</w:t>
      </w:r>
      <w:r w:rsidR="00914E57" w:rsidRPr="001D46D2">
        <w:rPr>
          <w:rFonts w:ascii="Arial" w:hAnsi="Arial" w:cs="Arial"/>
          <w:sz w:val="20"/>
          <w:szCs w:val="20"/>
        </w:rPr>
        <w:t xml:space="preserve"> outside the NTC’s charging model</w:t>
      </w:r>
      <w:r w:rsidR="00532423" w:rsidRPr="001D46D2">
        <w:rPr>
          <w:rFonts w:ascii="Arial" w:hAnsi="Arial" w:cs="Arial"/>
          <w:sz w:val="20"/>
          <w:szCs w:val="20"/>
        </w:rPr>
        <w:t>. However, a national approach to concessions would support improvements to the PayGo model, given the myriad of concession</w:t>
      </w:r>
      <w:r w:rsidR="00F12173" w:rsidRPr="001D46D2">
        <w:rPr>
          <w:rFonts w:ascii="Arial" w:hAnsi="Arial" w:cs="Arial"/>
          <w:sz w:val="20"/>
          <w:szCs w:val="20"/>
        </w:rPr>
        <w:t>s</w:t>
      </w:r>
      <w:r w:rsidR="00532423" w:rsidRPr="001D46D2">
        <w:rPr>
          <w:rFonts w:ascii="Arial" w:hAnsi="Arial" w:cs="Arial"/>
          <w:sz w:val="20"/>
          <w:szCs w:val="20"/>
        </w:rPr>
        <w:t xml:space="preserve"> in different states leads to a divergence in revenue recovered and heavy vehicle expenditure, as well </w:t>
      </w:r>
      <w:r w:rsidR="00F12173" w:rsidRPr="001D46D2">
        <w:rPr>
          <w:rFonts w:ascii="Arial" w:hAnsi="Arial" w:cs="Arial"/>
          <w:sz w:val="20"/>
          <w:szCs w:val="20"/>
        </w:rPr>
        <w:t xml:space="preserve">as </w:t>
      </w:r>
      <w:r w:rsidR="00532423" w:rsidRPr="001D46D2">
        <w:rPr>
          <w:rFonts w:ascii="Arial" w:hAnsi="Arial" w:cs="Arial"/>
          <w:sz w:val="20"/>
          <w:szCs w:val="20"/>
        </w:rPr>
        <w:t xml:space="preserve">equity concerns for operators in different states. </w:t>
      </w:r>
      <w:r w:rsidR="00127712" w:rsidRPr="001D46D2">
        <w:rPr>
          <w:rFonts w:ascii="Arial" w:hAnsi="Arial" w:cs="Arial"/>
          <w:sz w:val="20"/>
          <w:szCs w:val="20"/>
        </w:rPr>
        <w:t xml:space="preserve">The ATA supports the NTC request to collate and make public a list of the concessions currently available. </w:t>
      </w:r>
    </w:p>
    <w:p w:rsidR="00127712" w:rsidRPr="001D46D2" w:rsidRDefault="00127712" w:rsidP="00532423">
      <w:pPr>
        <w:rPr>
          <w:rFonts w:ascii="Arial" w:hAnsi="Arial" w:cs="Arial"/>
          <w:sz w:val="20"/>
          <w:szCs w:val="20"/>
        </w:rPr>
      </w:pPr>
    </w:p>
    <w:p w:rsidR="00532423" w:rsidRPr="001D46D2" w:rsidRDefault="00532423" w:rsidP="00532423">
      <w:pPr>
        <w:rPr>
          <w:rFonts w:ascii="Arial" w:hAnsi="Arial" w:cs="Arial"/>
          <w:sz w:val="20"/>
          <w:szCs w:val="20"/>
        </w:rPr>
      </w:pPr>
      <w:r w:rsidRPr="001D46D2">
        <w:rPr>
          <w:rFonts w:ascii="Arial" w:hAnsi="Arial" w:cs="Arial"/>
          <w:sz w:val="20"/>
          <w:szCs w:val="20"/>
        </w:rPr>
        <w:t xml:space="preserve"> An agreed set of principles for concessions would </w:t>
      </w:r>
      <w:r w:rsidR="00F12173" w:rsidRPr="001D46D2">
        <w:rPr>
          <w:rFonts w:ascii="Arial" w:hAnsi="Arial" w:cs="Arial"/>
          <w:sz w:val="20"/>
          <w:szCs w:val="20"/>
        </w:rPr>
        <w:t xml:space="preserve">aim to provide </w:t>
      </w:r>
      <w:r w:rsidRPr="001D46D2">
        <w:rPr>
          <w:rFonts w:ascii="Arial" w:hAnsi="Arial" w:cs="Arial"/>
          <w:sz w:val="20"/>
          <w:szCs w:val="20"/>
        </w:rPr>
        <w:t xml:space="preserve">operators with the same outcome for the same </w:t>
      </w:r>
      <w:r w:rsidR="00127712" w:rsidRPr="001D46D2">
        <w:rPr>
          <w:rFonts w:ascii="Arial" w:hAnsi="Arial" w:cs="Arial"/>
          <w:sz w:val="20"/>
          <w:szCs w:val="20"/>
        </w:rPr>
        <w:t>situation; the ATA supports the NTC recommendation to establish these agreed principles</w:t>
      </w:r>
      <w:r w:rsidRPr="001D46D2">
        <w:rPr>
          <w:rFonts w:ascii="Arial" w:hAnsi="Arial" w:cs="Arial"/>
          <w:sz w:val="20"/>
          <w:szCs w:val="20"/>
        </w:rPr>
        <w:t xml:space="preserve">.  </w:t>
      </w:r>
    </w:p>
    <w:p w:rsidR="00532423" w:rsidRPr="001D46D2" w:rsidRDefault="00532423" w:rsidP="00121418">
      <w:pPr>
        <w:rPr>
          <w:rFonts w:ascii="Arial" w:hAnsi="Arial" w:cs="Arial"/>
          <w:sz w:val="20"/>
          <w:szCs w:val="20"/>
        </w:rPr>
      </w:pPr>
    </w:p>
    <w:p w:rsidR="00121418" w:rsidRPr="001D46D2" w:rsidRDefault="00121418" w:rsidP="00E2768A">
      <w:pPr>
        <w:pStyle w:val="Heading1"/>
        <w:numPr>
          <w:ilvl w:val="1"/>
          <w:numId w:val="3"/>
        </w:numPr>
        <w:jc w:val="both"/>
        <w:rPr>
          <w:szCs w:val="20"/>
        </w:rPr>
      </w:pPr>
      <w:bookmarkStart w:id="73" w:name="_Toc377542679"/>
      <w:r w:rsidRPr="001D46D2">
        <w:rPr>
          <w:szCs w:val="20"/>
        </w:rPr>
        <w:t>NHVR funding</w:t>
      </w:r>
      <w:bookmarkEnd w:id="73"/>
      <w:r w:rsidRPr="001D46D2">
        <w:rPr>
          <w:szCs w:val="20"/>
        </w:rPr>
        <w:t xml:space="preserve"> </w:t>
      </w:r>
    </w:p>
    <w:p w:rsidR="009C5B73" w:rsidRPr="001D46D2" w:rsidRDefault="009C5B73" w:rsidP="009C5B73">
      <w:pPr>
        <w:rPr>
          <w:rFonts w:ascii="Arial" w:hAnsi="Arial" w:cs="Arial"/>
          <w:sz w:val="20"/>
          <w:szCs w:val="20"/>
        </w:rPr>
      </w:pPr>
      <w:bookmarkStart w:id="74" w:name="_Toc352228893"/>
    </w:p>
    <w:p w:rsidR="00A5361C" w:rsidRPr="001D46D2" w:rsidRDefault="00040D17" w:rsidP="009C5B73">
      <w:pPr>
        <w:rPr>
          <w:rFonts w:ascii="Arial" w:hAnsi="Arial" w:cs="Arial"/>
          <w:sz w:val="20"/>
          <w:szCs w:val="20"/>
        </w:rPr>
      </w:pPr>
      <w:r w:rsidRPr="001D46D2">
        <w:rPr>
          <w:rFonts w:ascii="Arial" w:hAnsi="Arial" w:cs="Arial"/>
          <w:sz w:val="20"/>
          <w:szCs w:val="20"/>
        </w:rPr>
        <w:t xml:space="preserve">The NTC have noted implications for charges with the introduction of the NHVR and HVNL. These include the </w:t>
      </w:r>
      <w:r w:rsidR="00A5361C" w:rsidRPr="001D46D2">
        <w:rPr>
          <w:rFonts w:ascii="Arial" w:hAnsi="Arial" w:cs="Arial"/>
          <w:sz w:val="20"/>
          <w:szCs w:val="20"/>
        </w:rPr>
        <w:t>treatment</w:t>
      </w:r>
      <w:r w:rsidRPr="001D46D2">
        <w:rPr>
          <w:rFonts w:ascii="Arial" w:hAnsi="Arial" w:cs="Arial"/>
          <w:sz w:val="20"/>
          <w:szCs w:val="20"/>
        </w:rPr>
        <w:t xml:space="preserve"> of compliance cost currently included in the cost base, </w:t>
      </w:r>
      <w:r w:rsidR="00A5361C" w:rsidRPr="001D46D2">
        <w:rPr>
          <w:rFonts w:ascii="Arial" w:hAnsi="Arial" w:cs="Arial"/>
          <w:sz w:val="20"/>
          <w:szCs w:val="20"/>
        </w:rPr>
        <w:t>IGA agreed costs</w:t>
      </w:r>
      <w:r w:rsidR="000223CC">
        <w:rPr>
          <w:rFonts w:ascii="Arial" w:hAnsi="Arial" w:cs="Arial"/>
          <w:sz w:val="20"/>
          <w:szCs w:val="20"/>
        </w:rPr>
        <w:t>,</w:t>
      </w:r>
      <w:r w:rsidR="00A5361C" w:rsidRPr="001D46D2">
        <w:rPr>
          <w:rFonts w:ascii="Arial" w:hAnsi="Arial" w:cs="Arial"/>
          <w:sz w:val="20"/>
          <w:szCs w:val="20"/>
        </w:rPr>
        <w:t xml:space="preserve"> and the creation of a single set of registration charges.</w:t>
      </w:r>
      <w:bookmarkEnd w:id="74"/>
      <w:r w:rsidR="00A5361C" w:rsidRPr="001D46D2">
        <w:rPr>
          <w:rFonts w:ascii="Arial" w:hAnsi="Arial" w:cs="Arial"/>
          <w:sz w:val="20"/>
          <w:szCs w:val="20"/>
        </w:rPr>
        <w:t xml:space="preserve"> </w:t>
      </w:r>
    </w:p>
    <w:p w:rsidR="009C5B73" w:rsidRPr="001D46D2" w:rsidRDefault="009C5B73" w:rsidP="009C5B73">
      <w:pPr>
        <w:rPr>
          <w:rFonts w:ascii="Arial" w:hAnsi="Arial" w:cs="Arial"/>
          <w:sz w:val="20"/>
          <w:szCs w:val="20"/>
        </w:rPr>
      </w:pPr>
    </w:p>
    <w:p w:rsidR="001C52FE" w:rsidRPr="001D46D2" w:rsidRDefault="00A5361C" w:rsidP="009C5B73">
      <w:pPr>
        <w:rPr>
          <w:rFonts w:ascii="Arial" w:hAnsi="Arial" w:cs="Arial"/>
          <w:sz w:val="20"/>
          <w:szCs w:val="20"/>
        </w:rPr>
      </w:pPr>
      <w:bookmarkStart w:id="75" w:name="_Toc352228894"/>
      <w:r w:rsidRPr="001D46D2">
        <w:rPr>
          <w:rFonts w:ascii="Arial" w:hAnsi="Arial" w:cs="Arial"/>
          <w:sz w:val="20"/>
          <w:szCs w:val="20"/>
        </w:rPr>
        <w:t xml:space="preserve">The ATA </w:t>
      </w:r>
      <w:r w:rsidR="008258CA" w:rsidRPr="001D46D2">
        <w:rPr>
          <w:rFonts w:ascii="Arial" w:hAnsi="Arial" w:cs="Arial"/>
          <w:sz w:val="20"/>
          <w:szCs w:val="20"/>
        </w:rPr>
        <w:t xml:space="preserve">previously requested </w:t>
      </w:r>
      <w:r w:rsidRPr="001D46D2">
        <w:rPr>
          <w:rFonts w:ascii="Arial" w:hAnsi="Arial" w:cs="Arial"/>
          <w:sz w:val="20"/>
          <w:szCs w:val="20"/>
        </w:rPr>
        <w:t xml:space="preserve">to see the NHVR provide content and consult with the </w:t>
      </w:r>
      <w:r w:rsidR="00914E57" w:rsidRPr="001D46D2">
        <w:rPr>
          <w:rFonts w:ascii="Arial" w:hAnsi="Arial" w:cs="Arial"/>
          <w:sz w:val="20"/>
          <w:szCs w:val="20"/>
        </w:rPr>
        <w:t xml:space="preserve">industry and the </w:t>
      </w:r>
      <w:r w:rsidRPr="001D46D2">
        <w:rPr>
          <w:rFonts w:ascii="Arial" w:hAnsi="Arial" w:cs="Arial"/>
          <w:sz w:val="20"/>
          <w:szCs w:val="20"/>
        </w:rPr>
        <w:t>NTC in the review on the implications of NHVR operations and HVNL.</w:t>
      </w:r>
      <w:bookmarkEnd w:id="75"/>
    </w:p>
    <w:p w:rsidR="009C5B73" w:rsidRPr="001D46D2" w:rsidRDefault="009C5B73" w:rsidP="009C5B73">
      <w:pPr>
        <w:rPr>
          <w:rFonts w:ascii="Arial" w:hAnsi="Arial" w:cs="Arial"/>
          <w:sz w:val="20"/>
          <w:szCs w:val="20"/>
        </w:rPr>
      </w:pPr>
    </w:p>
    <w:p w:rsidR="00CE77AE" w:rsidRPr="001D46D2" w:rsidRDefault="008258CA">
      <w:pPr>
        <w:rPr>
          <w:rFonts w:ascii="Arial" w:hAnsi="Arial" w:cs="Arial"/>
          <w:sz w:val="20"/>
          <w:szCs w:val="20"/>
        </w:rPr>
      </w:pPr>
      <w:r w:rsidRPr="001D46D2">
        <w:rPr>
          <w:rFonts w:ascii="Arial" w:hAnsi="Arial" w:cs="Arial"/>
          <w:sz w:val="20"/>
          <w:szCs w:val="20"/>
        </w:rPr>
        <w:t xml:space="preserve">The NHVR have not been forthcoming with a breakdown of the costs recoverable from industry and the ATA has been disappointed </w:t>
      </w:r>
      <w:r w:rsidR="000223CC">
        <w:rPr>
          <w:rFonts w:ascii="Arial" w:hAnsi="Arial" w:cs="Arial"/>
          <w:sz w:val="20"/>
          <w:szCs w:val="20"/>
        </w:rPr>
        <w:t xml:space="preserve">with the lack of </w:t>
      </w:r>
      <w:r w:rsidRPr="001D46D2">
        <w:rPr>
          <w:rFonts w:ascii="Arial" w:hAnsi="Arial" w:cs="Arial"/>
          <w:sz w:val="20"/>
          <w:szCs w:val="20"/>
        </w:rPr>
        <w:t xml:space="preserve">NHVR engagement with industry to clarify these costs. </w:t>
      </w:r>
    </w:p>
    <w:p w:rsidR="008258CA" w:rsidRPr="001D46D2" w:rsidRDefault="008258CA">
      <w:pPr>
        <w:rPr>
          <w:rFonts w:ascii="Arial" w:hAnsi="Arial" w:cs="Arial"/>
          <w:sz w:val="20"/>
          <w:szCs w:val="20"/>
        </w:rPr>
      </w:pPr>
    </w:p>
    <w:p w:rsidR="008258CA" w:rsidRPr="001D46D2" w:rsidRDefault="008258CA">
      <w:pPr>
        <w:rPr>
          <w:rFonts w:ascii="Arial" w:hAnsi="Arial" w:cs="Arial"/>
          <w:sz w:val="20"/>
          <w:szCs w:val="20"/>
        </w:rPr>
      </w:pPr>
      <w:r w:rsidRPr="001D46D2">
        <w:rPr>
          <w:rFonts w:ascii="Arial" w:hAnsi="Arial" w:cs="Arial"/>
          <w:sz w:val="20"/>
          <w:szCs w:val="20"/>
        </w:rPr>
        <w:t xml:space="preserve">The NTC have been clear about delineating the NHVR regulator proportion of the charges industry pays, however, industry questions whether it is appropriate that for some vehicle categories the regulator component equates to a third of the charges industry will pay.  </w:t>
      </w:r>
    </w:p>
    <w:p w:rsidR="008258CA" w:rsidRPr="001D46D2" w:rsidRDefault="008258CA">
      <w:pPr>
        <w:rPr>
          <w:rFonts w:ascii="Arial" w:hAnsi="Arial" w:cs="Arial"/>
          <w:sz w:val="20"/>
          <w:szCs w:val="20"/>
        </w:rPr>
      </w:pPr>
    </w:p>
    <w:p w:rsidR="008258CA" w:rsidRPr="001D46D2" w:rsidRDefault="008258CA">
      <w:pPr>
        <w:rPr>
          <w:rFonts w:ascii="Arial" w:hAnsi="Arial" w:cs="Arial"/>
          <w:sz w:val="20"/>
          <w:szCs w:val="20"/>
        </w:rPr>
      </w:pPr>
      <w:r w:rsidRPr="001D46D2">
        <w:rPr>
          <w:rFonts w:ascii="Arial" w:hAnsi="Arial" w:cs="Arial"/>
          <w:sz w:val="20"/>
          <w:szCs w:val="20"/>
        </w:rPr>
        <w:t>It is also worrying that the removal of over-recovery</w:t>
      </w:r>
      <w:r w:rsidR="000223CC">
        <w:rPr>
          <w:rFonts w:ascii="Arial" w:hAnsi="Arial" w:cs="Arial"/>
          <w:sz w:val="20"/>
          <w:szCs w:val="20"/>
        </w:rPr>
        <w:t xml:space="preserve"> presented by the</w:t>
      </w:r>
      <w:r w:rsidRPr="001D46D2">
        <w:rPr>
          <w:rFonts w:ascii="Arial" w:hAnsi="Arial" w:cs="Arial"/>
          <w:sz w:val="20"/>
          <w:szCs w:val="20"/>
        </w:rPr>
        <w:t xml:space="preserve"> technical adjustments to the PayGo model </w:t>
      </w:r>
      <w:r w:rsidR="000223CC">
        <w:rPr>
          <w:rFonts w:ascii="Arial" w:hAnsi="Arial" w:cs="Arial"/>
          <w:sz w:val="20"/>
          <w:szCs w:val="20"/>
        </w:rPr>
        <w:t>will be</w:t>
      </w:r>
      <w:r w:rsidRPr="001D46D2">
        <w:rPr>
          <w:rFonts w:ascii="Arial" w:hAnsi="Arial" w:cs="Arial"/>
          <w:sz w:val="20"/>
          <w:szCs w:val="20"/>
        </w:rPr>
        <w:t xml:space="preserve"> negated by the inclusion of the NHVR costs</w:t>
      </w:r>
      <w:r w:rsidR="00914E57" w:rsidRPr="001D46D2">
        <w:rPr>
          <w:rFonts w:ascii="Arial" w:hAnsi="Arial" w:cs="Arial"/>
          <w:sz w:val="20"/>
          <w:szCs w:val="20"/>
        </w:rPr>
        <w:t>, which are considered excess and unexplained</w:t>
      </w:r>
      <w:r w:rsidRPr="001D46D2">
        <w:rPr>
          <w:rFonts w:ascii="Arial" w:hAnsi="Arial" w:cs="Arial"/>
          <w:sz w:val="20"/>
          <w:szCs w:val="20"/>
        </w:rPr>
        <w:t xml:space="preserve">. </w:t>
      </w:r>
    </w:p>
    <w:p w:rsidR="008258CA" w:rsidRPr="001D46D2" w:rsidRDefault="008258CA">
      <w:pPr>
        <w:rPr>
          <w:rFonts w:ascii="Arial" w:hAnsi="Arial" w:cs="Arial"/>
          <w:sz w:val="20"/>
          <w:szCs w:val="20"/>
        </w:rPr>
      </w:pPr>
    </w:p>
    <w:p w:rsidR="008258CA" w:rsidRPr="001D46D2" w:rsidRDefault="008258CA">
      <w:pPr>
        <w:rPr>
          <w:rFonts w:ascii="Arial" w:hAnsi="Arial" w:cs="Arial"/>
          <w:sz w:val="20"/>
          <w:szCs w:val="20"/>
        </w:rPr>
      </w:pPr>
      <w:r w:rsidRPr="001D46D2">
        <w:rPr>
          <w:rFonts w:ascii="Arial" w:hAnsi="Arial" w:cs="Arial"/>
          <w:sz w:val="20"/>
          <w:szCs w:val="20"/>
        </w:rPr>
        <w:t>While the NTC simply plugs in the NHVR number t</w:t>
      </w:r>
      <w:r w:rsidR="00F12173" w:rsidRPr="001D46D2">
        <w:rPr>
          <w:rFonts w:ascii="Arial" w:hAnsi="Arial" w:cs="Arial"/>
          <w:sz w:val="20"/>
          <w:szCs w:val="20"/>
        </w:rPr>
        <w:t xml:space="preserve">he NTC </w:t>
      </w:r>
      <w:r w:rsidRPr="001D46D2">
        <w:rPr>
          <w:rFonts w:ascii="Arial" w:hAnsi="Arial" w:cs="Arial"/>
          <w:sz w:val="20"/>
          <w:szCs w:val="20"/>
        </w:rPr>
        <w:t xml:space="preserve">need to be aware that the imposition of NHVR costs including their composition may present unintended consequences to the PayGo model and to the industry’s response to the charges. </w:t>
      </w:r>
    </w:p>
    <w:p w:rsidR="00812636" w:rsidRPr="001D46D2" w:rsidRDefault="00812636">
      <w:pPr>
        <w:rPr>
          <w:rFonts w:ascii="Arial" w:hAnsi="Arial" w:cs="Arial"/>
          <w:sz w:val="20"/>
          <w:szCs w:val="20"/>
        </w:rPr>
      </w:pPr>
    </w:p>
    <w:p w:rsidR="00E1193F" w:rsidRPr="001D46D2" w:rsidRDefault="00812636">
      <w:pPr>
        <w:rPr>
          <w:rFonts w:ascii="Arial" w:hAnsi="Arial" w:cs="Arial"/>
          <w:sz w:val="20"/>
          <w:szCs w:val="20"/>
        </w:rPr>
      </w:pPr>
      <w:r w:rsidRPr="001D46D2">
        <w:rPr>
          <w:rFonts w:ascii="Arial" w:hAnsi="Arial" w:cs="Arial"/>
          <w:sz w:val="20"/>
          <w:szCs w:val="20"/>
        </w:rPr>
        <w:t>The NTC present a range of allocation methodologies for the NHVR costs to be recovered from industry</w:t>
      </w:r>
      <w:r w:rsidR="00F12173" w:rsidRPr="001D46D2">
        <w:rPr>
          <w:rFonts w:ascii="Arial" w:hAnsi="Arial" w:cs="Arial"/>
          <w:sz w:val="20"/>
          <w:szCs w:val="20"/>
        </w:rPr>
        <w:t xml:space="preserve"> through registration charges</w:t>
      </w:r>
      <w:r w:rsidRPr="001D46D2">
        <w:rPr>
          <w:rFonts w:ascii="Arial" w:hAnsi="Arial" w:cs="Arial"/>
          <w:sz w:val="20"/>
          <w:szCs w:val="20"/>
        </w:rPr>
        <w:t>.</w:t>
      </w:r>
      <w:r w:rsidR="00E1193F" w:rsidRPr="001D46D2">
        <w:rPr>
          <w:rFonts w:ascii="Arial" w:hAnsi="Arial" w:cs="Arial"/>
          <w:sz w:val="20"/>
          <w:szCs w:val="20"/>
        </w:rPr>
        <w:t xml:space="preserve"> The NTC recommended option is a multiple factor allocation (including a fixed proportion and partial allocation by VKT and AGM</w:t>
      </w:r>
      <w:r w:rsidR="00F12173" w:rsidRPr="001D46D2">
        <w:rPr>
          <w:rFonts w:ascii="Arial" w:hAnsi="Arial" w:cs="Arial"/>
          <w:sz w:val="20"/>
          <w:szCs w:val="20"/>
        </w:rPr>
        <w:t>)</w:t>
      </w:r>
      <w:r w:rsidR="00E1193F" w:rsidRPr="001D46D2">
        <w:rPr>
          <w:rFonts w:ascii="Arial" w:hAnsi="Arial" w:cs="Arial"/>
          <w:sz w:val="20"/>
          <w:szCs w:val="20"/>
        </w:rPr>
        <w:t xml:space="preserve">.  </w:t>
      </w:r>
    </w:p>
    <w:p w:rsidR="00812636" w:rsidRPr="001D46D2" w:rsidRDefault="00812636">
      <w:pPr>
        <w:rPr>
          <w:rFonts w:ascii="Arial" w:hAnsi="Arial" w:cs="Arial"/>
          <w:sz w:val="20"/>
          <w:szCs w:val="20"/>
        </w:rPr>
      </w:pPr>
    </w:p>
    <w:p w:rsidR="00812636" w:rsidRPr="001D46D2" w:rsidRDefault="00812636">
      <w:pPr>
        <w:rPr>
          <w:rFonts w:ascii="Arial" w:hAnsi="Arial" w:cs="Arial"/>
          <w:sz w:val="20"/>
          <w:szCs w:val="20"/>
        </w:rPr>
      </w:pPr>
      <w:r w:rsidRPr="001D46D2">
        <w:rPr>
          <w:rFonts w:ascii="Arial" w:hAnsi="Arial" w:cs="Arial"/>
          <w:sz w:val="20"/>
          <w:szCs w:val="20"/>
        </w:rPr>
        <w:t xml:space="preserve">The NTC have argued that heavier </w:t>
      </w:r>
      <w:r w:rsidR="00E1193F" w:rsidRPr="001D46D2">
        <w:rPr>
          <w:rFonts w:ascii="Arial" w:hAnsi="Arial" w:cs="Arial"/>
          <w:sz w:val="20"/>
          <w:szCs w:val="20"/>
        </w:rPr>
        <w:t>vehicles impose</w:t>
      </w:r>
      <w:r w:rsidR="00AB0EDB" w:rsidRPr="001D46D2">
        <w:rPr>
          <w:rFonts w:ascii="Arial" w:hAnsi="Arial" w:cs="Arial"/>
          <w:sz w:val="20"/>
          <w:szCs w:val="20"/>
        </w:rPr>
        <w:t xml:space="preserve"> a </w:t>
      </w:r>
      <w:r w:rsidR="00E1193F" w:rsidRPr="001D46D2">
        <w:rPr>
          <w:rFonts w:ascii="Arial" w:hAnsi="Arial" w:cs="Arial"/>
          <w:sz w:val="20"/>
          <w:szCs w:val="20"/>
        </w:rPr>
        <w:t>higher</w:t>
      </w:r>
      <w:r w:rsidR="00AB0EDB" w:rsidRPr="001D46D2">
        <w:rPr>
          <w:rFonts w:ascii="Arial" w:hAnsi="Arial" w:cs="Arial"/>
          <w:sz w:val="20"/>
          <w:szCs w:val="20"/>
        </w:rPr>
        <w:t xml:space="preserve"> risk in that they will cause more wear and tear on roads if they are ov</w:t>
      </w:r>
      <w:r w:rsidR="00BF5081">
        <w:rPr>
          <w:rFonts w:ascii="Arial" w:hAnsi="Arial" w:cs="Arial"/>
          <w:sz w:val="20"/>
          <w:szCs w:val="20"/>
        </w:rPr>
        <w:t>erloaded than a smaller vehicle</w:t>
      </w:r>
      <w:r w:rsidR="00AB0EDB" w:rsidRPr="001D46D2">
        <w:rPr>
          <w:rFonts w:ascii="Arial" w:hAnsi="Arial" w:cs="Arial"/>
          <w:sz w:val="20"/>
          <w:szCs w:val="20"/>
        </w:rPr>
        <w:t xml:space="preserve"> and the consequences of overloading a heavier vehicle are likely to be more significant from a safety </w:t>
      </w:r>
      <w:r w:rsidR="00E1193F" w:rsidRPr="001D46D2">
        <w:rPr>
          <w:rFonts w:ascii="Arial" w:hAnsi="Arial" w:cs="Arial"/>
          <w:sz w:val="20"/>
          <w:szCs w:val="20"/>
        </w:rPr>
        <w:t>perspective</w:t>
      </w:r>
      <w:r w:rsidR="00AB0EDB" w:rsidRPr="001D46D2">
        <w:rPr>
          <w:rFonts w:ascii="Arial" w:hAnsi="Arial" w:cs="Arial"/>
          <w:sz w:val="20"/>
          <w:szCs w:val="20"/>
        </w:rPr>
        <w:t xml:space="preserve"> because crash outcomes are more severe for heavier vehicles. </w:t>
      </w:r>
      <w:r w:rsidRPr="001D46D2">
        <w:rPr>
          <w:rFonts w:ascii="Arial" w:hAnsi="Arial" w:cs="Arial"/>
          <w:sz w:val="20"/>
          <w:szCs w:val="20"/>
        </w:rPr>
        <w:t xml:space="preserve"> </w:t>
      </w:r>
      <w:r w:rsidR="00E1193F" w:rsidRPr="001D46D2">
        <w:rPr>
          <w:rFonts w:ascii="Arial" w:hAnsi="Arial" w:cs="Arial"/>
          <w:sz w:val="20"/>
          <w:szCs w:val="20"/>
        </w:rPr>
        <w:t>Similarly</w:t>
      </w:r>
      <w:r w:rsidR="00AB0EDB" w:rsidRPr="001D46D2">
        <w:rPr>
          <w:rFonts w:ascii="Arial" w:hAnsi="Arial" w:cs="Arial"/>
          <w:sz w:val="20"/>
          <w:szCs w:val="20"/>
        </w:rPr>
        <w:t xml:space="preserve"> vehicles travelling larger distances should </w:t>
      </w:r>
      <w:r w:rsidR="00F12173" w:rsidRPr="001D46D2">
        <w:rPr>
          <w:rFonts w:ascii="Arial" w:hAnsi="Arial" w:cs="Arial"/>
          <w:sz w:val="20"/>
          <w:szCs w:val="20"/>
        </w:rPr>
        <w:t>arguably</w:t>
      </w:r>
      <w:r w:rsidR="00E1193F" w:rsidRPr="001D46D2">
        <w:rPr>
          <w:rFonts w:ascii="Arial" w:hAnsi="Arial" w:cs="Arial"/>
          <w:sz w:val="20"/>
          <w:szCs w:val="20"/>
        </w:rPr>
        <w:t xml:space="preserve"> contri</w:t>
      </w:r>
      <w:r w:rsidR="00AB0EDB" w:rsidRPr="001D46D2">
        <w:rPr>
          <w:rFonts w:ascii="Arial" w:hAnsi="Arial" w:cs="Arial"/>
          <w:sz w:val="20"/>
          <w:szCs w:val="20"/>
        </w:rPr>
        <w:t xml:space="preserve">bute more to the cost of the </w:t>
      </w:r>
      <w:r w:rsidR="00E1193F" w:rsidRPr="001D46D2">
        <w:rPr>
          <w:rFonts w:ascii="Arial" w:hAnsi="Arial" w:cs="Arial"/>
          <w:sz w:val="20"/>
          <w:szCs w:val="20"/>
        </w:rPr>
        <w:t>NHVR</w:t>
      </w:r>
      <w:r w:rsidR="00AB0EDB" w:rsidRPr="001D46D2">
        <w:rPr>
          <w:rFonts w:ascii="Arial" w:hAnsi="Arial" w:cs="Arial"/>
          <w:sz w:val="20"/>
          <w:szCs w:val="20"/>
        </w:rPr>
        <w:t xml:space="preserve"> regulatory </w:t>
      </w:r>
      <w:r w:rsidR="00543AEF" w:rsidRPr="001D46D2">
        <w:rPr>
          <w:rFonts w:ascii="Arial" w:hAnsi="Arial" w:cs="Arial"/>
          <w:sz w:val="20"/>
          <w:szCs w:val="20"/>
        </w:rPr>
        <w:t xml:space="preserve">operations </w:t>
      </w:r>
      <w:r w:rsidR="00AB0EDB" w:rsidRPr="001D46D2">
        <w:rPr>
          <w:rFonts w:ascii="Arial" w:hAnsi="Arial" w:cs="Arial"/>
          <w:sz w:val="20"/>
          <w:szCs w:val="20"/>
        </w:rPr>
        <w:t xml:space="preserve">than those that travel less. Over time this could be based on data underpinning a future risk management approach aimed at better targeting compliance and enforcement activities. </w:t>
      </w:r>
    </w:p>
    <w:p w:rsidR="00E1193F" w:rsidRPr="001D46D2" w:rsidRDefault="00E1193F">
      <w:pPr>
        <w:rPr>
          <w:rFonts w:ascii="Arial" w:hAnsi="Arial" w:cs="Arial"/>
          <w:sz w:val="20"/>
          <w:szCs w:val="20"/>
        </w:rPr>
      </w:pPr>
    </w:p>
    <w:p w:rsidR="00E1193F" w:rsidRPr="001D46D2" w:rsidRDefault="00E1193F">
      <w:pPr>
        <w:rPr>
          <w:rFonts w:ascii="Arial" w:hAnsi="Arial" w:cs="Arial"/>
          <w:sz w:val="20"/>
          <w:szCs w:val="20"/>
        </w:rPr>
      </w:pPr>
      <w:r w:rsidRPr="001D46D2">
        <w:rPr>
          <w:rFonts w:ascii="Arial" w:hAnsi="Arial" w:cs="Arial"/>
          <w:sz w:val="20"/>
          <w:szCs w:val="20"/>
        </w:rPr>
        <w:t>However, the ATA disagrees with th</w:t>
      </w:r>
      <w:r w:rsidR="00F12173" w:rsidRPr="001D46D2">
        <w:rPr>
          <w:rFonts w:ascii="Arial" w:hAnsi="Arial" w:cs="Arial"/>
          <w:sz w:val="20"/>
          <w:szCs w:val="20"/>
        </w:rPr>
        <w:t xml:space="preserve">e assumption that heavier vehicles pose a higher risk, </w:t>
      </w:r>
      <w:r w:rsidRPr="001D46D2">
        <w:rPr>
          <w:rFonts w:ascii="Arial" w:hAnsi="Arial" w:cs="Arial"/>
          <w:sz w:val="20"/>
          <w:szCs w:val="20"/>
        </w:rPr>
        <w:t>because there is evidence suggesting that the heavier end of t</w:t>
      </w:r>
      <w:r w:rsidR="009A6EB9" w:rsidRPr="001D46D2">
        <w:rPr>
          <w:rFonts w:ascii="Arial" w:hAnsi="Arial" w:cs="Arial"/>
          <w:sz w:val="20"/>
          <w:szCs w:val="20"/>
        </w:rPr>
        <w:t>he fleet (</w:t>
      </w:r>
      <w:r w:rsidR="00543AEF" w:rsidRPr="001D46D2">
        <w:rPr>
          <w:rFonts w:ascii="Arial" w:hAnsi="Arial" w:cs="Arial"/>
          <w:sz w:val="20"/>
          <w:szCs w:val="20"/>
        </w:rPr>
        <w:t>Inc</w:t>
      </w:r>
      <w:r w:rsidR="00F12173" w:rsidRPr="001D46D2">
        <w:rPr>
          <w:rFonts w:ascii="Arial" w:hAnsi="Arial" w:cs="Arial"/>
          <w:sz w:val="20"/>
          <w:szCs w:val="20"/>
        </w:rPr>
        <w:t>luding</w:t>
      </w:r>
      <w:r w:rsidR="009A6EB9" w:rsidRPr="001D46D2">
        <w:rPr>
          <w:rFonts w:ascii="Arial" w:hAnsi="Arial" w:cs="Arial"/>
          <w:sz w:val="20"/>
          <w:szCs w:val="20"/>
        </w:rPr>
        <w:t xml:space="preserve"> B</w:t>
      </w:r>
      <w:r w:rsidRPr="001D46D2">
        <w:rPr>
          <w:rFonts w:ascii="Arial" w:hAnsi="Arial" w:cs="Arial"/>
          <w:sz w:val="20"/>
          <w:szCs w:val="20"/>
        </w:rPr>
        <w:t xml:space="preserve">-doubles and semi trailers) are accounting for a smaller percentage of </w:t>
      </w:r>
      <w:r w:rsidR="00BF5081">
        <w:rPr>
          <w:rFonts w:ascii="Arial" w:hAnsi="Arial" w:cs="Arial"/>
          <w:sz w:val="20"/>
          <w:szCs w:val="20"/>
        </w:rPr>
        <w:t>crashes</w:t>
      </w:r>
      <w:r w:rsidR="00543AEF" w:rsidRPr="001D46D2">
        <w:rPr>
          <w:rFonts w:ascii="Arial" w:hAnsi="Arial" w:cs="Arial"/>
          <w:sz w:val="20"/>
          <w:szCs w:val="20"/>
        </w:rPr>
        <w:t xml:space="preserve"> whereas rigid truck freight </w:t>
      </w:r>
      <w:r w:rsidR="00BF5081">
        <w:rPr>
          <w:rFonts w:ascii="Arial" w:hAnsi="Arial" w:cs="Arial"/>
          <w:sz w:val="20"/>
          <w:szCs w:val="20"/>
        </w:rPr>
        <w:t xml:space="preserve">task accidents are increasing. </w:t>
      </w:r>
      <w:r w:rsidR="00543AEF" w:rsidRPr="001D46D2">
        <w:rPr>
          <w:rFonts w:ascii="Arial" w:hAnsi="Arial" w:cs="Arial"/>
          <w:sz w:val="20"/>
          <w:szCs w:val="20"/>
        </w:rPr>
        <w:t xml:space="preserve">National Transport Insurance (NTI) </w:t>
      </w:r>
      <w:proofErr w:type="gramStart"/>
      <w:r w:rsidR="00543AEF" w:rsidRPr="001D46D2">
        <w:rPr>
          <w:rFonts w:ascii="Arial" w:hAnsi="Arial" w:cs="Arial"/>
          <w:sz w:val="20"/>
          <w:szCs w:val="20"/>
        </w:rPr>
        <w:t>have</w:t>
      </w:r>
      <w:proofErr w:type="gramEnd"/>
      <w:r w:rsidR="00543AEF" w:rsidRPr="001D46D2">
        <w:rPr>
          <w:rFonts w:ascii="Arial" w:hAnsi="Arial" w:cs="Arial"/>
          <w:sz w:val="20"/>
          <w:szCs w:val="20"/>
        </w:rPr>
        <w:t xml:space="preserve"> looked into these figures and believe the underlying reason for the figures reflects vehicle stability of the different configurations. </w:t>
      </w:r>
      <w:r w:rsidR="00914E57" w:rsidRPr="001D46D2">
        <w:rPr>
          <w:rFonts w:ascii="Arial" w:hAnsi="Arial" w:cs="Arial"/>
          <w:sz w:val="20"/>
          <w:szCs w:val="20"/>
        </w:rPr>
        <w:t>Further, over loading is of a greater consequence in smaller vehicles in our view as there is less safety margin. A single axle rated at 10 tonnes</w:t>
      </w:r>
      <w:r w:rsidR="00F12173" w:rsidRPr="001D46D2">
        <w:rPr>
          <w:rFonts w:ascii="Arial" w:hAnsi="Arial" w:cs="Arial"/>
          <w:sz w:val="20"/>
          <w:szCs w:val="20"/>
        </w:rPr>
        <w:t>,</w:t>
      </w:r>
      <w:r w:rsidR="00914E57" w:rsidRPr="001D46D2">
        <w:rPr>
          <w:rFonts w:ascii="Arial" w:hAnsi="Arial" w:cs="Arial"/>
          <w:sz w:val="20"/>
          <w:szCs w:val="20"/>
        </w:rPr>
        <w:t xml:space="preserve"> legal at 9</w:t>
      </w:r>
      <w:r w:rsidR="00F12173" w:rsidRPr="001D46D2">
        <w:rPr>
          <w:rFonts w:ascii="Arial" w:hAnsi="Arial" w:cs="Arial"/>
          <w:sz w:val="20"/>
          <w:szCs w:val="20"/>
        </w:rPr>
        <w:t>,</w:t>
      </w:r>
      <w:r w:rsidR="00914E57" w:rsidRPr="001D46D2">
        <w:rPr>
          <w:rFonts w:ascii="Arial" w:hAnsi="Arial" w:cs="Arial"/>
          <w:sz w:val="20"/>
          <w:szCs w:val="20"/>
        </w:rPr>
        <w:t xml:space="preserve"> does not have the safety margin of a tri-group rated at 36 tonnes carrying </w:t>
      </w:r>
      <w:r w:rsidR="00F12173" w:rsidRPr="001D46D2">
        <w:rPr>
          <w:rFonts w:ascii="Arial" w:hAnsi="Arial" w:cs="Arial"/>
          <w:sz w:val="20"/>
          <w:szCs w:val="20"/>
        </w:rPr>
        <w:t xml:space="preserve">a </w:t>
      </w:r>
      <w:r w:rsidR="00914E57" w:rsidRPr="001D46D2">
        <w:rPr>
          <w:rFonts w:ascii="Arial" w:hAnsi="Arial" w:cs="Arial"/>
          <w:sz w:val="20"/>
          <w:szCs w:val="20"/>
        </w:rPr>
        <w:t>legal load of 20 tonnes.</w:t>
      </w:r>
    </w:p>
    <w:p w:rsidR="00A95F6F" w:rsidRDefault="00A95F6F" w:rsidP="00AF3626">
      <w:pPr>
        <w:jc w:val="center"/>
        <w:rPr>
          <w:rFonts w:ascii="Arial" w:hAnsi="Arial" w:cs="Arial"/>
          <w:b/>
          <w:sz w:val="20"/>
          <w:szCs w:val="20"/>
        </w:rPr>
      </w:pPr>
    </w:p>
    <w:p w:rsidR="00A95F6F" w:rsidRDefault="00A95F6F" w:rsidP="00AF3626">
      <w:pPr>
        <w:jc w:val="center"/>
        <w:rPr>
          <w:rFonts w:ascii="Arial" w:hAnsi="Arial" w:cs="Arial"/>
          <w:b/>
          <w:sz w:val="20"/>
          <w:szCs w:val="20"/>
        </w:rPr>
      </w:pPr>
    </w:p>
    <w:p w:rsidR="00A95F6F" w:rsidRDefault="00A95F6F" w:rsidP="00AF3626">
      <w:pPr>
        <w:jc w:val="center"/>
        <w:rPr>
          <w:rFonts w:ascii="Arial" w:hAnsi="Arial" w:cs="Arial"/>
          <w:b/>
          <w:sz w:val="20"/>
          <w:szCs w:val="20"/>
        </w:rPr>
      </w:pPr>
    </w:p>
    <w:p w:rsidR="00A95F6F" w:rsidRDefault="00A95F6F" w:rsidP="00AF3626">
      <w:pPr>
        <w:jc w:val="center"/>
        <w:rPr>
          <w:rFonts w:ascii="Arial" w:hAnsi="Arial" w:cs="Arial"/>
          <w:b/>
          <w:sz w:val="20"/>
          <w:szCs w:val="20"/>
        </w:rPr>
      </w:pPr>
    </w:p>
    <w:p w:rsidR="00A95F6F" w:rsidRDefault="00A95F6F" w:rsidP="00AF3626">
      <w:pPr>
        <w:jc w:val="center"/>
        <w:rPr>
          <w:rFonts w:ascii="Arial" w:hAnsi="Arial" w:cs="Arial"/>
          <w:b/>
          <w:sz w:val="20"/>
          <w:szCs w:val="20"/>
        </w:rPr>
      </w:pPr>
    </w:p>
    <w:p w:rsidR="00A95F6F" w:rsidRDefault="00A95F6F" w:rsidP="00AF3626">
      <w:pPr>
        <w:jc w:val="center"/>
        <w:rPr>
          <w:rFonts w:ascii="Arial" w:hAnsi="Arial" w:cs="Arial"/>
          <w:b/>
          <w:sz w:val="20"/>
          <w:szCs w:val="20"/>
        </w:rPr>
      </w:pPr>
    </w:p>
    <w:p w:rsidR="00543AEF" w:rsidRPr="001D46D2" w:rsidRDefault="00543AEF" w:rsidP="00AF3626">
      <w:pPr>
        <w:jc w:val="center"/>
        <w:rPr>
          <w:rFonts w:ascii="Arial" w:hAnsi="Arial" w:cs="Arial"/>
          <w:b/>
          <w:sz w:val="20"/>
          <w:szCs w:val="20"/>
        </w:rPr>
      </w:pPr>
      <w:r w:rsidRPr="001D46D2">
        <w:rPr>
          <w:rFonts w:ascii="Arial" w:hAnsi="Arial" w:cs="Arial"/>
          <w:b/>
          <w:sz w:val="20"/>
          <w:szCs w:val="20"/>
        </w:rPr>
        <w:lastRenderedPageBreak/>
        <w:t>Figure 1: Accident Vehicle Configuration</w:t>
      </w:r>
    </w:p>
    <w:p w:rsidR="00543AEF" w:rsidRPr="001D46D2" w:rsidRDefault="00543AEF">
      <w:pPr>
        <w:rPr>
          <w:rFonts w:ascii="Arial" w:hAnsi="Arial" w:cs="Arial"/>
          <w:sz w:val="20"/>
          <w:szCs w:val="20"/>
        </w:rPr>
      </w:pPr>
      <w:r w:rsidRPr="001D46D2">
        <w:rPr>
          <w:rFonts w:ascii="Arial" w:hAnsi="Arial" w:cs="Arial"/>
          <w:noProof/>
          <w:sz w:val="20"/>
          <w:szCs w:val="20"/>
          <w:lang w:eastAsia="en-AU"/>
        </w:rPr>
        <w:drawing>
          <wp:inline distT="0" distB="0" distL="0" distR="0">
            <wp:extent cx="6120130" cy="28603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20130" cy="2860311"/>
                    </a:xfrm>
                    <a:prstGeom prst="rect">
                      <a:avLst/>
                    </a:prstGeom>
                    <a:noFill/>
                    <a:ln w="9525">
                      <a:noFill/>
                      <a:miter lim="800000"/>
                      <a:headEnd/>
                      <a:tailEnd/>
                    </a:ln>
                  </pic:spPr>
                </pic:pic>
              </a:graphicData>
            </a:graphic>
          </wp:inline>
        </w:drawing>
      </w:r>
    </w:p>
    <w:p w:rsidR="00543AEF" w:rsidRPr="001D46D2" w:rsidRDefault="00543AEF">
      <w:pPr>
        <w:rPr>
          <w:rFonts w:ascii="Arial" w:hAnsi="Arial" w:cs="Arial"/>
          <w:sz w:val="20"/>
          <w:szCs w:val="20"/>
        </w:rPr>
      </w:pPr>
      <w:r w:rsidRPr="001D46D2">
        <w:rPr>
          <w:rFonts w:ascii="Arial" w:hAnsi="Arial" w:cs="Arial"/>
          <w:sz w:val="20"/>
          <w:szCs w:val="20"/>
        </w:rPr>
        <w:t>Source: page 19 National Transport Insurance 2013 Major Accident Investigation Report</w:t>
      </w:r>
    </w:p>
    <w:p w:rsidR="00543AEF" w:rsidRPr="001D46D2" w:rsidRDefault="00543AEF">
      <w:pPr>
        <w:rPr>
          <w:rFonts w:ascii="Arial" w:hAnsi="Arial" w:cs="Arial"/>
          <w:sz w:val="20"/>
          <w:szCs w:val="20"/>
        </w:rPr>
      </w:pPr>
    </w:p>
    <w:p w:rsidR="00543AEF" w:rsidRPr="001D46D2" w:rsidRDefault="00543AEF">
      <w:pPr>
        <w:rPr>
          <w:rFonts w:ascii="Arial" w:hAnsi="Arial" w:cs="Arial"/>
          <w:sz w:val="20"/>
          <w:szCs w:val="20"/>
        </w:rPr>
      </w:pPr>
      <w:r w:rsidRPr="001D46D2">
        <w:rPr>
          <w:rFonts w:ascii="Arial" w:hAnsi="Arial" w:cs="Arial"/>
          <w:sz w:val="20"/>
          <w:szCs w:val="20"/>
        </w:rPr>
        <w:t>While the ATA supports the use of a sophisticated and sensitive method to allocate regulatory costs across the fleet</w:t>
      </w:r>
      <w:r w:rsidR="00F12173" w:rsidRPr="001D46D2">
        <w:rPr>
          <w:rFonts w:ascii="Arial" w:hAnsi="Arial" w:cs="Arial"/>
          <w:sz w:val="20"/>
          <w:szCs w:val="20"/>
        </w:rPr>
        <w:t>,</w:t>
      </w:r>
      <w:r w:rsidRPr="001D46D2">
        <w:rPr>
          <w:rFonts w:ascii="Arial" w:hAnsi="Arial" w:cs="Arial"/>
          <w:sz w:val="20"/>
          <w:szCs w:val="20"/>
        </w:rPr>
        <w:t xml:space="preserve"> </w:t>
      </w:r>
      <w:r w:rsidR="00F12173" w:rsidRPr="001D46D2">
        <w:rPr>
          <w:rFonts w:ascii="Arial" w:hAnsi="Arial" w:cs="Arial"/>
          <w:sz w:val="20"/>
          <w:szCs w:val="20"/>
        </w:rPr>
        <w:t>t</w:t>
      </w:r>
      <w:r w:rsidRPr="001D46D2">
        <w:rPr>
          <w:rFonts w:ascii="Arial" w:hAnsi="Arial" w:cs="Arial"/>
          <w:sz w:val="20"/>
          <w:szCs w:val="20"/>
        </w:rPr>
        <w:t>he assumptions behind the proposed weightings of the allocation may need to be revi</w:t>
      </w:r>
      <w:r w:rsidR="00F12173" w:rsidRPr="001D46D2">
        <w:rPr>
          <w:rFonts w:ascii="Arial" w:hAnsi="Arial" w:cs="Arial"/>
          <w:sz w:val="20"/>
          <w:szCs w:val="20"/>
        </w:rPr>
        <w:t>ewed given industry crash data. Additionally, given that the regulatory costs are</w:t>
      </w:r>
      <w:r w:rsidRPr="001D46D2">
        <w:rPr>
          <w:rFonts w:ascii="Arial" w:hAnsi="Arial" w:cs="Arial"/>
          <w:sz w:val="20"/>
          <w:szCs w:val="20"/>
        </w:rPr>
        <w:t xml:space="preserve"> intended to reflect enforcement costs, which will not solely reflect mass enforcement costs</w:t>
      </w:r>
      <w:r w:rsidR="00F12173" w:rsidRPr="001D46D2">
        <w:rPr>
          <w:rFonts w:ascii="Arial" w:hAnsi="Arial" w:cs="Arial"/>
          <w:sz w:val="20"/>
          <w:szCs w:val="20"/>
        </w:rPr>
        <w:t xml:space="preserve"> the AGM should not be a primary parameter in the allocation methodology</w:t>
      </w:r>
      <w:r w:rsidRPr="001D46D2">
        <w:rPr>
          <w:rFonts w:ascii="Arial" w:hAnsi="Arial" w:cs="Arial"/>
          <w:sz w:val="20"/>
          <w:szCs w:val="20"/>
        </w:rPr>
        <w:t>.</w:t>
      </w:r>
      <w:r w:rsidR="00B64C58" w:rsidRPr="001D46D2">
        <w:rPr>
          <w:rFonts w:ascii="Arial" w:hAnsi="Arial" w:cs="Arial"/>
          <w:sz w:val="20"/>
          <w:szCs w:val="20"/>
        </w:rPr>
        <w:t xml:space="preserve"> Therefore, a VKT allocation may be fairer given t</w:t>
      </w:r>
      <w:r w:rsidR="009A58E6" w:rsidRPr="001D46D2">
        <w:rPr>
          <w:rFonts w:ascii="Arial" w:hAnsi="Arial" w:cs="Arial"/>
          <w:sz w:val="20"/>
          <w:szCs w:val="20"/>
        </w:rPr>
        <w:t xml:space="preserve">hat </w:t>
      </w:r>
      <w:r w:rsidR="00BF5081">
        <w:rPr>
          <w:rFonts w:ascii="Arial" w:hAnsi="Arial" w:cs="Arial"/>
          <w:sz w:val="20"/>
          <w:szCs w:val="20"/>
        </w:rPr>
        <w:t xml:space="preserve">category </w:t>
      </w:r>
      <w:r w:rsidR="009A58E6" w:rsidRPr="001D46D2">
        <w:rPr>
          <w:rFonts w:ascii="Arial" w:hAnsi="Arial" w:cs="Arial"/>
          <w:sz w:val="20"/>
          <w:szCs w:val="20"/>
        </w:rPr>
        <w:t xml:space="preserve">G2/enforcement costs is meant to reflect regulatory costs. </w:t>
      </w:r>
      <w:r w:rsidRPr="001D46D2">
        <w:rPr>
          <w:rFonts w:ascii="Arial" w:hAnsi="Arial" w:cs="Arial"/>
          <w:sz w:val="20"/>
          <w:szCs w:val="20"/>
        </w:rPr>
        <w:t xml:space="preserve">  </w:t>
      </w:r>
    </w:p>
    <w:p w:rsidR="007B0238" w:rsidRPr="001D46D2" w:rsidRDefault="007B0238">
      <w:pPr>
        <w:rPr>
          <w:rFonts w:ascii="Arial" w:hAnsi="Arial" w:cs="Arial"/>
          <w:sz w:val="20"/>
          <w:szCs w:val="20"/>
        </w:rPr>
      </w:pPr>
    </w:p>
    <w:p w:rsidR="007B0238" w:rsidRPr="001D46D2" w:rsidRDefault="007B0238">
      <w:pPr>
        <w:rPr>
          <w:rFonts w:ascii="Arial" w:hAnsi="Arial" w:cs="Arial"/>
          <w:sz w:val="20"/>
          <w:szCs w:val="20"/>
        </w:rPr>
      </w:pPr>
      <w:r w:rsidRPr="001D46D2">
        <w:rPr>
          <w:rFonts w:ascii="Arial" w:hAnsi="Arial" w:cs="Arial"/>
          <w:sz w:val="20"/>
          <w:szCs w:val="20"/>
        </w:rPr>
        <w:t>Given the estimated timing for the implementation of</w:t>
      </w:r>
      <w:r w:rsidR="00BF5081">
        <w:rPr>
          <w:rFonts w:ascii="Arial" w:hAnsi="Arial" w:cs="Arial"/>
          <w:sz w:val="20"/>
          <w:szCs w:val="20"/>
        </w:rPr>
        <w:t xml:space="preserve"> the</w:t>
      </w:r>
      <w:r w:rsidRPr="001D46D2">
        <w:rPr>
          <w:rFonts w:ascii="Arial" w:hAnsi="Arial" w:cs="Arial"/>
          <w:sz w:val="20"/>
          <w:szCs w:val="20"/>
        </w:rPr>
        <w:t xml:space="preserve"> separately indentified NHVR regulatory portion of registration </w:t>
      </w:r>
      <w:r w:rsidR="00B42ECE" w:rsidRPr="001D46D2">
        <w:rPr>
          <w:rFonts w:ascii="Arial" w:hAnsi="Arial" w:cs="Arial"/>
          <w:sz w:val="20"/>
          <w:szCs w:val="20"/>
        </w:rPr>
        <w:t>charges varies between states (</w:t>
      </w:r>
      <w:r w:rsidRPr="001D46D2">
        <w:rPr>
          <w:rFonts w:ascii="Arial" w:hAnsi="Arial" w:cs="Arial"/>
          <w:sz w:val="20"/>
          <w:szCs w:val="20"/>
        </w:rPr>
        <w:t xml:space="preserve">it could take as long </w:t>
      </w:r>
      <w:r w:rsidR="00914E57" w:rsidRPr="001D46D2">
        <w:rPr>
          <w:rFonts w:ascii="Arial" w:hAnsi="Arial" w:cs="Arial"/>
          <w:sz w:val="20"/>
          <w:szCs w:val="20"/>
        </w:rPr>
        <w:t>as</w:t>
      </w:r>
      <w:r w:rsidR="00172D5B" w:rsidRPr="001D46D2">
        <w:rPr>
          <w:rFonts w:ascii="Arial" w:hAnsi="Arial" w:cs="Arial"/>
          <w:sz w:val="20"/>
          <w:szCs w:val="20"/>
        </w:rPr>
        <w:t xml:space="preserve"> </w:t>
      </w:r>
      <w:r w:rsidRPr="001D46D2">
        <w:rPr>
          <w:rFonts w:ascii="Arial" w:hAnsi="Arial" w:cs="Arial"/>
          <w:sz w:val="20"/>
          <w:szCs w:val="20"/>
        </w:rPr>
        <w:t>17 months)</w:t>
      </w:r>
      <w:r w:rsidR="00BF5081">
        <w:rPr>
          <w:rFonts w:ascii="Arial" w:hAnsi="Arial" w:cs="Arial"/>
          <w:sz w:val="20"/>
          <w:szCs w:val="20"/>
        </w:rPr>
        <w:t>,</w:t>
      </w:r>
      <w:r w:rsidRPr="001D46D2">
        <w:rPr>
          <w:rFonts w:ascii="Arial" w:hAnsi="Arial" w:cs="Arial"/>
          <w:sz w:val="20"/>
          <w:szCs w:val="20"/>
        </w:rPr>
        <w:t xml:space="preserve"> there is considerable time to make sure the allocation of charges across the fleet are reasonable. </w:t>
      </w:r>
    </w:p>
    <w:p w:rsidR="00B42ECE" w:rsidRPr="001D46D2" w:rsidRDefault="00B42ECE" w:rsidP="00B42ECE">
      <w:pPr>
        <w:autoSpaceDE w:val="0"/>
        <w:autoSpaceDN w:val="0"/>
        <w:adjustRightInd w:val="0"/>
        <w:rPr>
          <w:rFonts w:ascii="Arial" w:hAnsi="Arial" w:cs="Arial"/>
          <w:b/>
          <w:sz w:val="20"/>
          <w:szCs w:val="20"/>
          <w:highlight w:val="white"/>
          <w:lang w:eastAsia="en-AU"/>
        </w:rPr>
      </w:pPr>
    </w:p>
    <w:p w:rsidR="00B42ECE" w:rsidRPr="001D46D2" w:rsidRDefault="00B42ECE" w:rsidP="00B42ECE">
      <w:pPr>
        <w:autoSpaceDE w:val="0"/>
        <w:autoSpaceDN w:val="0"/>
        <w:adjustRightInd w:val="0"/>
        <w:rPr>
          <w:rFonts w:ascii="Arial" w:hAnsi="Arial" w:cs="Arial"/>
          <w:b/>
          <w:sz w:val="20"/>
          <w:szCs w:val="20"/>
          <w:highlight w:val="white"/>
          <w:lang w:eastAsia="en-AU"/>
        </w:rPr>
      </w:pPr>
      <w:r w:rsidRPr="001D46D2">
        <w:rPr>
          <w:rFonts w:ascii="Arial" w:hAnsi="Arial" w:cs="Arial"/>
          <w:b/>
          <w:sz w:val="20"/>
          <w:szCs w:val="20"/>
          <w:highlight w:val="white"/>
          <w:lang w:eastAsia="en-AU"/>
        </w:rPr>
        <w:t>ATA recommendation 1</w:t>
      </w:r>
    </w:p>
    <w:p w:rsidR="00B42ECE" w:rsidRPr="001D46D2" w:rsidRDefault="00B42ECE" w:rsidP="00B42ECE">
      <w:pPr>
        <w:autoSpaceDE w:val="0"/>
        <w:autoSpaceDN w:val="0"/>
        <w:adjustRightInd w:val="0"/>
        <w:rPr>
          <w:rFonts w:ascii="Arial" w:hAnsi="Arial" w:cs="Arial"/>
          <w:b/>
          <w:sz w:val="20"/>
          <w:szCs w:val="20"/>
          <w:highlight w:val="white"/>
          <w:lang w:eastAsia="en-AU"/>
        </w:rPr>
      </w:pPr>
    </w:p>
    <w:p w:rsidR="00B42ECE" w:rsidRPr="001D46D2" w:rsidRDefault="00B42ECE" w:rsidP="00B42ECE">
      <w:pPr>
        <w:autoSpaceDE w:val="0"/>
        <w:autoSpaceDN w:val="0"/>
        <w:adjustRightInd w:val="0"/>
        <w:rPr>
          <w:rFonts w:ascii="Arial" w:hAnsi="Arial" w:cs="Arial"/>
          <w:sz w:val="20"/>
          <w:szCs w:val="20"/>
          <w:highlight w:val="white"/>
          <w:lang w:eastAsia="en-AU"/>
        </w:rPr>
      </w:pPr>
      <w:r w:rsidRPr="001D46D2">
        <w:rPr>
          <w:rFonts w:ascii="Arial" w:hAnsi="Arial" w:cs="Arial"/>
          <w:sz w:val="20"/>
          <w:szCs w:val="20"/>
          <w:highlight w:val="white"/>
          <w:lang w:eastAsia="en-AU"/>
        </w:rPr>
        <w:t>The ATA recommends all the NTC proposed technical updates to the PayGo model</w:t>
      </w:r>
      <w:r w:rsidR="006F73DA">
        <w:rPr>
          <w:rFonts w:ascii="Arial" w:hAnsi="Arial" w:cs="Arial"/>
          <w:sz w:val="20"/>
          <w:szCs w:val="20"/>
          <w:highlight w:val="white"/>
          <w:lang w:eastAsia="en-AU"/>
        </w:rPr>
        <w:t>,</w:t>
      </w:r>
      <w:r w:rsidRPr="001D46D2">
        <w:rPr>
          <w:rFonts w:ascii="Arial" w:hAnsi="Arial" w:cs="Arial"/>
          <w:sz w:val="20"/>
          <w:szCs w:val="20"/>
          <w:highlight w:val="white"/>
          <w:lang w:eastAsia="en-AU"/>
        </w:rPr>
        <w:t xml:space="preserve"> </w:t>
      </w:r>
      <w:r w:rsidR="006F73DA" w:rsidRPr="001D46D2">
        <w:rPr>
          <w:rFonts w:ascii="Arial" w:hAnsi="Arial" w:cs="Arial"/>
          <w:sz w:val="20"/>
          <w:szCs w:val="20"/>
          <w:highlight w:val="white"/>
          <w:lang w:eastAsia="en-AU"/>
        </w:rPr>
        <w:t>except the NHVR funding allocation methodology</w:t>
      </w:r>
      <w:r w:rsidR="006F73DA">
        <w:rPr>
          <w:rFonts w:ascii="Arial" w:hAnsi="Arial" w:cs="Arial"/>
          <w:sz w:val="20"/>
          <w:szCs w:val="20"/>
          <w:highlight w:val="white"/>
          <w:lang w:eastAsia="en-AU"/>
        </w:rPr>
        <w:t>,</w:t>
      </w:r>
      <w:r w:rsidR="006F73DA" w:rsidRPr="001D46D2">
        <w:rPr>
          <w:rFonts w:ascii="Arial" w:hAnsi="Arial" w:cs="Arial"/>
          <w:sz w:val="20"/>
          <w:szCs w:val="20"/>
          <w:highlight w:val="white"/>
          <w:lang w:eastAsia="en-AU"/>
        </w:rPr>
        <w:t xml:space="preserve"> </w:t>
      </w:r>
      <w:r w:rsidR="00DA1C78">
        <w:rPr>
          <w:rFonts w:ascii="Arial" w:hAnsi="Arial" w:cs="Arial"/>
          <w:sz w:val="20"/>
          <w:szCs w:val="20"/>
          <w:highlight w:val="white"/>
          <w:lang w:eastAsia="en-AU"/>
        </w:rPr>
        <w:t>be implemented by 1 July 2014,</w:t>
      </w:r>
      <w:r w:rsidRPr="001D46D2">
        <w:rPr>
          <w:rFonts w:ascii="Arial" w:hAnsi="Arial" w:cs="Arial"/>
          <w:sz w:val="20"/>
          <w:szCs w:val="20"/>
          <w:highlight w:val="white"/>
          <w:lang w:eastAsia="en-AU"/>
        </w:rPr>
        <w:t xml:space="preserve"> given industry feedback on the assumptions behind the proposed weightings of the allocation.</w:t>
      </w:r>
    </w:p>
    <w:p w:rsidR="00CE77AE" w:rsidRPr="001D46D2" w:rsidRDefault="00CE77AE" w:rsidP="00CE77AE">
      <w:pPr>
        <w:autoSpaceDE w:val="0"/>
        <w:autoSpaceDN w:val="0"/>
        <w:adjustRightInd w:val="0"/>
        <w:rPr>
          <w:rFonts w:ascii="Arial" w:hAnsi="Arial" w:cs="Arial"/>
          <w:sz w:val="20"/>
          <w:szCs w:val="20"/>
          <w:highlight w:val="white"/>
          <w:lang w:eastAsia="en-AU"/>
        </w:rPr>
      </w:pPr>
    </w:p>
    <w:p w:rsidR="00A21469" w:rsidRPr="001D46D2" w:rsidRDefault="00A21469" w:rsidP="00CE77AE">
      <w:pPr>
        <w:autoSpaceDE w:val="0"/>
        <w:autoSpaceDN w:val="0"/>
        <w:adjustRightInd w:val="0"/>
        <w:rPr>
          <w:rFonts w:ascii="Arial" w:hAnsi="Arial" w:cs="Arial"/>
          <w:sz w:val="20"/>
          <w:szCs w:val="20"/>
          <w:highlight w:val="white"/>
          <w:lang w:eastAsia="en-AU"/>
        </w:rPr>
      </w:pPr>
    </w:p>
    <w:p w:rsidR="00CE77AE" w:rsidRPr="001D46D2" w:rsidRDefault="00E2768A" w:rsidP="00CE77AE">
      <w:pPr>
        <w:pStyle w:val="Heading1"/>
        <w:jc w:val="both"/>
        <w:rPr>
          <w:szCs w:val="20"/>
        </w:rPr>
      </w:pPr>
      <w:bookmarkStart w:id="76" w:name="_Toc377542680"/>
      <w:r w:rsidRPr="001D46D2">
        <w:rPr>
          <w:szCs w:val="20"/>
        </w:rPr>
        <w:t>NTC Heavy vehicle charging options</w:t>
      </w:r>
      <w:bookmarkEnd w:id="76"/>
    </w:p>
    <w:p w:rsidR="00324459" w:rsidRPr="001D46D2" w:rsidRDefault="00324459" w:rsidP="00CE77AE">
      <w:pPr>
        <w:autoSpaceDE w:val="0"/>
        <w:autoSpaceDN w:val="0"/>
        <w:adjustRightInd w:val="0"/>
        <w:rPr>
          <w:rFonts w:ascii="Arial" w:hAnsi="Arial" w:cs="Arial"/>
          <w:sz w:val="20"/>
          <w:szCs w:val="20"/>
          <w:highlight w:val="white"/>
          <w:lang w:eastAsia="en-AU"/>
        </w:rPr>
      </w:pPr>
    </w:p>
    <w:p w:rsidR="00CE77AE" w:rsidRDefault="00CE77AE" w:rsidP="00CE77AE">
      <w:pPr>
        <w:autoSpaceDE w:val="0"/>
        <w:autoSpaceDN w:val="0"/>
        <w:adjustRightInd w:val="0"/>
        <w:rPr>
          <w:rFonts w:ascii="Arial" w:hAnsi="Arial" w:cs="Arial"/>
          <w:sz w:val="20"/>
          <w:szCs w:val="20"/>
          <w:highlight w:val="white"/>
          <w:lang w:eastAsia="en-AU"/>
        </w:rPr>
      </w:pPr>
      <w:r w:rsidRPr="001D46D2">
        <w:rPr>
          <w:rFonts w:ascii="Arial" w:hAnsi="Arial" w:cs="Arial"/>
          <w:sz w:val="20"/>
          <w:szCs w:val="20"/>
          <w:highlight w:val="white"/>
          <w:lang w:eastAsia="en-AU"/>
        </w:rPr>
        <w:t>The ATA has promoted increasing the variable component of the PayGo model through a fuel based charge for many years. The current</w:t>
      </w:r>
      <w:r w:rsidR="00B42ECE" w:rsidRPr="001D46D2">
        <w:rPr>
          <w:rFonts w:ascii="Arial" w:hAnsi="Arial" w:cs="Arial"/>
          <w:sz w:val="20"/>
          <w:szCs w:val="20"/>
          <w:highlight w:val="white"/>
          <w:lang w:eastAsia="en-AU"/>
        </w:rPr>
        <w:t xml:space="preserve"> </w:t>
      </w:r>
      <w:r w:rsidR="008952ED">
        <w:rPr>
          <w:rFonts w:ascii="Arial" w:hAnsi="Arial" w:cs="Arial"/>
          <w:sz w:val="20"/>
          <w:szCs w:val="20"/>
          <w:highlight w:val="white"/>
          <w:lang w:eastAsia="en-AU"/>
        </w:rPr>
        <w:t>RUC</w:t>
      </w:r>
      <w:r w:rsidRPr="001D46D2">
        <w:rPr>
          <w:rFonts w:ascii="Arial" w:hAnsi="Arial" w:cs="Arial"/>
          <w:sz w:val="20"/>
          <w:szCs w:val="20"/>
          <w:highlight w:val="white"/>
          <w:lang w:eastAsia="en-AU"/>
        </w:rPr>
        <w:t xml:space="preserve"> and registration spl</w:t>
      </w:r>
      <w:r w:rsidR="00B42ECE" w:rsidRPr="001D46D2">
        <w:rPr>
          <w:rFonts w:ascii="Arial" w:hAnsi="Arial" w:cs="Arial"/>
          <w:sz w:val="20"/>
          <w:szCs w:val="20"/>
          <w:highlight w:val="white"/>
          <w:lang w:eastAsia="en-AU"/>
        </w:rPr>
        <w:t>i</w:t>
      </w:r>
      <w:r w:rsidRPr="001D46D2">
        <w:rPr>
          <w:rFonts w:ascii="Arial" w:hAnsi="Arial" w:cs="Arial"/>
          <w:sz w:val="20"/>
          <w:szCs w:val="20"/>
          <w:highlight w:val="white"/>
          <w:lang w:eastAsia="en-AU"/>
        </w:rPr>
        <w:t>t is 62:38. Increasing the variable charge reduces the cash constraint that a large fixed registration charge presents. It also promotes paying for use</w:t>
      </w:r>
      <w:r w:rsidR="00E146ED" w:rsidRPr="001D46D2">
        <w:rPr>
          <w:rFonts w:ascii="Arial" w:hAnsi="Arial" w:cs="Arial"/>
          <w:sz w:val="20"/>
          <w:szCs w:val="20"/>
          <w:highlight w:val="white"/>
          <w:lang w:eastAsia="en-AU"/>
        </w:rPr>
        <w:t>,</w:t>
      </w:r>
      <w:r w:rsidRPr="001D46D2">
        <w:rPr>
          <w:rFonts w:ascii="Arial" w:hAnsi="Arial" w:cs="Arial"/>
          <w:sz w:val="20"/>
          <w:szCs w:val="20"/>
          <w:highlight w:val="white"/>
          <w:lang w:eastAsia="en-AU"/>
        </w:rPr>
        <w:t xml:space="preserve"> as fuel burn is a proxy for mass, distance and road condition. </w:t>
      </w:r>
      <w:r w:rsidR="004347C9">
        <w:rPr>
          <w:rFonts w:ascii="Arial" w:hAnsi="Arial" w:cs="Arial"/>
          <w:sz w:val="20"/>
          <w:szCs w:val="20"/>
          <w:highlight w:val="white"/>
          <w:lang w:eastAsia="en-AU"/>
        </w:rPr>
        <w:t xml:space="preserve">Fuel consumption increases with increased combination mass and distance travelled. Fuel consumption also increases with congestion, road roughness and adverse terrain. </w:t>
      </w:r>
      <w:r w:rsidR="00414BA7">
        <w:rPr>
          <w:rFonts w:ascii="Arial" w:hAnsi="Arial" w:cs="Arial"/>
          <w:sz w:val="20"/>
          <w:szCs w:val="20"/>
          <w:highlight w:val="white"/>
          <w:lang w:eastAsia="en-AU"/>
        </w:rPr>
        <w:t>These parameters</w:t>
      </w:r>
      <w:r w:rsidR="004347C9">
        <w:rPr>
          <w:rFonts w:ascii="Arial" w:hAnsi="Arial" w:cs="Arial"/>
          <w:sz w:val="20"/>
          <w:szCs w:val="20"/>
          <w:highlight w:val="white"/>
          <w:lang w:eastAsia="en-AU"/>
        </w:rPr>
        <w:t xml:space="preserve"> will be important in future charging options. </w:t>
      </w:r>
    </w:p>
    <w:p w:rsidR="004347C9" w:rsidRDefault="004347C9" w:rsidP="00CE77AE">
      <w:pPr>
        <w:autoSpaceDE w:val="0"/>
        <w:autoSpaceDN w:val="0"/>
        <w:adjustRightInd w:val="0"/>
        <w:rPr>
          <w:rFonts w:ascii="Arial" w:hAnsi="Arial" w:cs="Arial"/>
          <w:sz w:val="20"/>
          <w:szCs w:val="20"/>
          <w:highlight w:val="white"/>
          <w:lang w:eastAsia="en-AU"/>
        </w:rPr>
      </w:pPr>
    </w:p>
    <w:p w:rsidR="004347C9" w:rsidRPr="001D46D2" w:rsidRDefault="004347C9" w:rsidP="00CE77AE">
      <w:pPr>
        <w:autoSpaceDE w:val="0"/>
        <w:autoSpaceDN w:val="0"/>
        <w:adjustRightInd w:val="0"/>
        <w:rPr>
          <w:rFonts w:ascii="Arial" w:hAnsi="Arial" w:cs="Arial"/>
          <w:sz w:val="20"/>
          <w:szCs w:val="20"/>
          <w:highlight w:val="white"/>
          <w:lang w:eastAsia="en-AU"/>
        </w:rPr>
      </w:pPr>
      <w:r>
        <w:rPr>
          <w:rFonts w:ascii="Arial" w:hAnsi="Arial" w:cs="Arial"/>
          <w:sz w:val="20"/>
          <w:szCs w:val="20"/>
          <w:highlight w:val="white"/>
          <w:lang w:eastAsia="en-AU"/>
        </w:rPr>
        <w:t xml:space="preserve">Increasing the proportion of charges made by fuel also advances the energy efficiency agenda of the Government, as </w:t>
      </w:r>
      <w:r w:rsidR="00B72F22">
        <w:rPr>
          <w:rFonts w:ascii="Arial" w:hAnsi="Arial" w:cs="Arial"/>
          <w:sz w:val="20"/>
          <w:szCs w:val="20"/>
          <w:highlight w:val="white"/>
          <w:lang w:eastAsia="en-AU"/>
        </w:rPr>
        <w:t>operators</w:t>
      </w:r>
      <w:r>
        <w:rPr>
          <w:rFonts w:ascii="Arial" w:hAnsi="Arial" w:cs="Arial"/>
          <w:sz w:val="20"/>
          <w:szCs w:val="20"/>
          <w:highlight w:val="white"/>
          <w:lang w:eastAsia="en-AU"/>
        </w:rPr>
        <w:t xml:space="preserve"> become </w:t>
      </w:r>
      <w:r w:rsidR="00B72F22">
        <w:rPr>
          <w:rFonts w:ascii="Arial" w:hAnsi="Arial" w:cs="Arial"/>
          <w:sz w:val="20"/>
          <w:szCs w:val="20"/>
          <w:highlight w:val="white"/>
          <w:lang w:eastAsia="en-AU"/>
        </w:rPr>
        <w:t xml:space="preserve">more </w:t>
      </w:r>
      <w:r>
        <w:rPr>
          <w:rFonts w:ascii="Arial" w:hAnsi="Arial" w:cs="Arial"/>
          <w:sz w:val="20"/>
          <w:szCs w:val="20"/>
          <w:highlight w:val="white"/>
          <w:lang w:eastAsia="en-AU"/>
        </w:rPr>
        <w:t xml:space="preserve">conscious of fuel usage. </w:t>
      </w:r>
    </w:p>
    <w:p w:rsidR="00E146ED" w:rsidRPr="001D46D2" w:rsidRDefault="00E146ED" w:rsidP="00CE77AE">
      <w:pPr>
        <w:autoSpaceDE w:val="0"/>
        <w:autoSpaceDN w:val="0"/>
        <w:adjustRightInd w:val="0"/>
        <w:rPr>
          <w:rFonts w:ascii="Arial" w:hAnsi="Arial" w:cs="Arial"/>
          <w:sz w:val="20"/>
          <w:szCs w:val="20"/>
          <w:highlight w:val="white"/>
          <w:lang w:eastAsia="en-AU"/>
        </w:rPr>
      </w:pPr>
    </w:p>
    <w:p w:rsidR="00CE77AE" w:rsidRDefault="00E146ED" w:rsidP="00E146ED">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has produced 36 case studies from a variety of operators, </w:t>
      </w:r>
      <w:r w:rsidR="00BF5081">
        <w:rPr>
          <w:rFonts w:ascii="Arial" w:hAnsi="Arial" w:cs="Arial"/>
          <w:sz w:val="20"/>
          <w:szCs w:val="20"/>
          <w:highlight w:val="white"/>
          <w:lang w:eastAsia="en-AU"/>
        </w:rPr>
        <w:t>estimating</w:t>
      </w:r>
      <w:r w:rsidRPr="001D46D2">
        <w:rPr>
          <w:rFonts w:ascii="Arial" w:hAnsi="Arial" w:cs="Arial"/>
          <w:sz w:val="20"/>
          <w:szCs w:val="20"/>
          <w:highlight w:val="white"/>
          <w:lang w:eastAsia="en-AU"/>
        </w:rPr>
        <w:t xml:space="preserve"> the monetary effects of the proposed options. The case studies indicate that</w:t>
      </w:r>
      <w:r w:rsidR="00BF5081">
        <w:rPr>
          <w:rFonts w:ascii="Arial" w:hAnsi="Arial" w:cs="Arial"/>
          <w:sz w:val="20"/>
          <w:szCs w:val="20"/>
          <w:highlight w:val="white"/>
          <w:lang w:eastAsia="en-AU"/>
        </w:rPr>
        <w:t xml:space="preserve"> where</w:t>
      </w:r>
      <w:r w:rsidRPr="001D46D2">
        <w:rPr>
          <w:rFonts w:ascii="Arial" w:hAnsi="Arial" w:cs="Arial"/>
          <w:sz w:val="20"/>
          <w:szCs w:val="20"/>
          <w:highlight w:val="white"/>
          <w:lang w:eastAsia="en-AU"/>
        </w:rPr>
        <w:t xml:space="preserve"> operators sit either side of the average SMVU average kilometres travelled or average fuel usage for the vehicle class will indicate their preference for a higher variable charge and a lower fixed charge. Those sitting above the average will find that </w:t>
      </w:r>
      <w:r w:rsidR="00B42ECE" w:rsidRPr="001D46D2">
        <w:rPr>
          <w:rFonts w:ascii="Arial" w:hAnsi="Arial" w:cs="Arial"/>
          <w:sz w:val="20"/>
          <w:szCs w:val="20"/>
          <w:highlight w:val="white"/>
          <w:lang w:eastAsia="en-AU"/>
        </w:rPr>
        <w:t>under a</w:t>
      </w:r>
      <w:r w:rsidRPr="001D46D2">
        <w:rPr>
          <w:rFonts w:ascii="Arial" w:hAnsi="Arial" w:cs="Arial"/>
          <w:sz w:val="20"/>
          <w:szCs w:val="20"/>
          <w:highlight w:val="white"/>
          <w:lang w:eastAsia="en-AU"/>
        </w:rPr>
        <w:t xml:space="preserve"> higher variable charge </w:t>
      </w:r>
      <w:r w:rsidR="00B42ECE" w:rsidRPr="001D46D2">
        <w:rPr>
          <w:rFonts w:ascii="Arial" w:hAnsi="Arial" w:cs="Arial"/>
          <w:sz w:val="20"/>
          <w:szCs w:val="20"/>
          <w:highlight w:val="white"/>
          <w:lang w:eastAsia="en-AU"/>
        </w:rPr>
        <w:t xml:space="preserve">they </w:t>
      </w:r>
      <w:r w:rsidRPr="001D46D2">
        <w:rPr>
          <w:rFonts w:ascii="Arial" w:hAnsi="Arial" w:cs="Arial"/>
          <w:sz w:val="20"/>
          <w:szCs w:val="20"/>
          <w:highlight w:val="white"/>
          <w:lang w:eastAsia="en-AU"/>
        </w:rPr>
        <w:t xml:space="preserve">will be worse off and those sitting below or on the average will be either better off or unaffected by the increase in the RUC share. </w:t>
      </w:r>
    </w:p>
    <w:p w:rsidR="00AF3626" w:rsidRDefault="00AF3626" w:rsidP="00E146ED">
      <w:pPr>
        <w:autoSpaceDE w:val="0"/>
        <w:autoSpaceDN w:val="0"/>
        <w:adjustRightInd w:val="0"/>
        <w:spacing w:after="200" w:line="276" w:lineRule="auto"/>
        <w:rPr>
          <w:rFonts w:ascii="Arial" w:hAnsi="Arial" w:cs="Arial"/>
          <w:sz w:val="20"/>
          <w:szCs w:val="20"/>
          <w:highlight w:val="white"/>
          <w:lang w:eastAsia="en-AU"/>
        </w:rPr>
      </w:pPr>
    </w:p>
    <w:p w:rsidR="00AF3626" w:rsidRPr="001D46D2" w:rsidRDefault="00AF3626" w:rsidP="00E146ED">
      <w:pPr>
        <w:autoSpaceDE w:val="0"/>
        <w:autoSpaceDN w:val="0"/>
        <w:adjustRightInd w:val="0"/>
        <w:spacing w:after="200" w:line="276" w:lineRule="auto"/>
        <w:rPr>
          <w:rFonts w:ascii="Arial" w:hAnsi="Arial" w:cs="Arial"/>
          <w:sz w:val="20"/>
          <w:szCs w:val="20"/>
          <w:highlight w:val="white"/>
          <w:lang w:eastAsia="en-AU"/>
        </w:rPr>
      </w:pPr>
    </w:p>
    <w:p w:rsidR="00E146ED" w:rsidRPr="001D46D2" w:rsidRDefault="00E146ED" w:rsidP="00E146ED">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lastRenderedPageBreak/>
        <w:t xml:space="preserve">The extra cost presented by those above the average under option B and C needs to be weighed against the benefit </w:t>
      </w:r>
      <w:r w:rsidR="00B42ECE" w:rsidRPr="001D46D2">
        <w:rPr>
          <w:rFonts w:ascii="Arial" w:hAnsi="Arial" w:cs="Arial"/>
          <w:sz w:val="20"/>
          <w:szCs w:val="20"/>
          <w:highlight w:val="white"/>
          <w:lang w:eastAsia="en-AU"/>
        </w:rPr>
        <w:t>a higher variable charges</w:t>
      </w:r>
      <w:r w:rsidRPr="001D46D2">
        <w:rPr>
          <w:rFonts w:ascii="Arial" w:hAnsi="Arial" w:cs="Arial"/>
          <w:sz w:val="20"/>
          <w:szCs w:val="20"/>
          <w:highlight w:val="white"/>
          <w:lang w:eastAsia="en-AU"/>
        </w:rPr>
        <w:t xml:space="preserve"> presents to the cash flow </w:t>
      </w:r>
      <w:r w:rsidR="00B42ECE" w:rsidRPr="001D46D2">
        <w:rPr>
          <w:rFonts w:ascii="Arial" w:hAnsi="Arial" w:cs="Arial"/>
          <w:sz w:val="20"/>
          <w:szCs w:val="20"/>
          <w:highlight w:val="white"/>
          <w:lang w:eastAsia="en-AU"/>
        </w:rPr>
        <w:t>problem</w:t>
      </w:r>
      <w:r w:rsidRPr="001D46D2">
        <w:rPr>
          <w:rFonts w:ascii="Arial" w:hAnsi="Arial" w:cs="Arial"/>
          <w:sz w:val="20"/>
          <w:szCs w:val="20"/>
          <w:highlight w:val="white"/>
          <w:lang w:eastAsia="en-AU"/>
        </w:rPr>
        <w:t xml:space="preserve">, which is significant, especially for smaller operators. </w:t>
      </w:r>
      <w:r w:rsidR="00245CE4">
        <w:rPr>
          <w:rFonts w:ascii="Arial" w:hAnsi="Arial" w:cs="Arial"/>
          <w:sz w:val="20"/>
          <w:szCs w:val="20"/>
          <w:highlight w:val="white"/>
          <w:lang w:eastAsia="en-AU"/>
        </w:rPr>
        <w:t xml:space="preserve">Operators have also stressed </w:t>
      </w:r>
      <w:r w:rsidR="005A6A2D">
        <w:rPr>
          <w:rFonts w:ascii="Arial" w:hAnsi="Arial" w:cs="Arial"/>
          <w:sz w:val="20"/>
          <w:szCs w:val="20"/>
          <w:highlight w:val="white"/>
          <w:lang w:eastAsia="en-AU"/>
        </w:rPr>
        <w:t xml:space="preserve">that a larger portion of charges being recovered through the use related RUC, rather than through a fixed registration charge, makes it </w:t>
      </w:r>
      <w:r w:rsidR="00245CE4">
        <w:rPr>
          <w:rFonts w:ascii="Arial" w:hAnsi="Arial" w:cs="Arial"/>
          <w:sz w:val="20"/>
          <w:szCs w:val="20"/>
          <w:highlight w:val="white"/>
          <w:lang w:eastAsia="en-AU"/>
        </w:rPr>
        <w:t>far easier to recover the</w:t>
      </w:r>
      <w:r w:rsidR="00B72F22">
        <w:rPr>
          <w:rFonts w:ascii="Arial" w:hAnsi="Arial" w:cs="Arial"/>
          <w:sz w:val="20"/>
          <w:szCs w:val="20"/>
          <w:highlight w:val="white"/>
          <w:lang w:eastAsia="en-AU"/>
        </w:rPr>
        <w:t>ir</w:t>
      </w:r>
      <w:r w:rsidR="00245CE4">
        <w:rPr>
          <w:rFonts w:ascii="Arial" w:hAnsi="Arial" w:cs="Arial"/>
          <w:sz w:val="20"/>
          <w:szCs w:val="20"/>
          <w:highlight w:val="white"/>
          <w:lang w:eastAsia="en-AU"/>
        </w:rPr>
        <w:t xml:space="preserve"> cost</w:t>
      </w:r>
      <w:r w:rsidR="00B72F22">
        <w:rPr>
          <w:rFonts w:ascii="Arial" w:hAnsi="Arial" w:cs="Arial"/>
          <w:sz w:val="20"/>
          <w:szCs w:val="20"/>
          <w:highlight w:val="white"/>
          <w:lang w:eastAsia="en-AU"/>
        </w:rPr>
        <w:t>s</w:t>
      </w:r>
    </w:p>
    <w:p w:rsidR="00324459" w:rsidRPr="001D46D2" w:rsidRDefault="00324459" w:rsidP="00CE77AE">
      <w:pPr>
        <w:autoSpaceDE w:val="0"/>
        <w:autoSpaceDN w:val="0"/>
        <w:adjustRightInd w:val="0"/>
        <w:spacing w:after="200" w:line="276" w:lineRule="auto"/>
        <w:rPr>
          <w:rFonts w:ascii="Arial" w:hAnsi="Arial" w:cs="Arial"/>
          <w:i/>
          <w:sz w:val="20"/>
          <w:szCs w:val="20"/>
          <w:highlight w:val="white"/>
          <w:lang w:eastAsia="en-AU"/>
        </w:rPr>
      </w:pPr>
      <w:r w:rsidRPr="001D46D2">
        <w:rPr>
          <w:rFonts w:ascii="Arial" w:hAnsi="Arial" w:cs="Arial"/>
          <w:i/>
          <w:sz w:val="20"/>
          <w:szCs w:val="20"/>
          <w:highlight w:val="white"/>
          <w:lang w:eastAsia="en-AU"/>
        </w:rPr>
        <w:t xml:space="preserve">Base case (annual adjustment) </w:t>
      </w:r>
    </w:p>
    <w:p w:rsidR="00884122" w:rsidRPr="001D46D2" w:rsidRDefault="00884122"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The ATA does not support this option because it would continue the over-reco</w:t>
      </w:r>
      <w:r w:rsidR="00E146ED" w:rsidRPr="001D46D2">
        <w:rPr>
          <w:rFonts w:ascii="Arial" w:hAnsi="Arial" w:cs="Arial"/>
          <w:sz w:val="20"/>
          <w:szCs w:val="20"/>
          <w:highlight w:val="white"/>
          <w:lang w:eastAsia="en-AU"/>
        </w:rPr>
        <w:t xml:space="preserve">very that the current system </w:t>
      </w:r>
      <w:r w:rsidRPr="001D46D2">
        <w:rPr>
          <w:rFonts w:ascii="Arial" w:hAnsi="Arial" w:cs="Arial"/>
          <w:sz w:val="20"/>
          <w:szCs w:val="20"/>
          <w:highlight w:val="white"/>
          <w:lang w:eastAsia="en-AU"/>
        </w:rPr>
        <w:t>present</w:t>
      </w:r>
      <w:r w:rsidR="00E146ED" w:rsidRPr="001D46D2">
        <w:rPr>
          <w:rFonts w:ascii="Arial" w:hAnsi="Arial" w:cs="Arial"/>
          <w:sz w:val="20"/>
          <w:szCs w:val="20"/>
          <w:highlight w:val="white"/>
          <w:lang w:eastAsia="en-AU"/>
        </w:rPr>
        <w:t>s</w:t>
      </w:r>
      <w:r w:rsidRPr="001D46D2">
        <w:rPr>
          <w:rFonts w:ascii="Arial" w:hAnsi="Arial" w:cs="Arial"/>
          <w:sz w:val="20"/>
          <w:szCs w:val="20"/>
          <w:highlight w:val="white"/>
          <w:lang w:eastAsia="en-AU"/>
        </w:rPr>
        <w:t xml:space="preserve"> due to using the midpoint population data. It would also use the current annual adjustment formula which is flawed (see above). </w:t>
      </w:r>
      <w:r w:rsidR="00085055" w:rsidRPr="001D46D2">
        <w:rPr>
          <w:rFonts w:ascii="Arial" w:hAnsi="Arial" w:cs="Arial"/>
          <w:sz w:val="20"/>
          <w:szCs w:val="20"/>
          <w:highlight w:val="white"/>
          <w:lang w:eastAsia="en-AU"/>
        </w:rPr>
        <w:t xml:space="preserve"> </w:t>
      </w:r>
    </w:p>
    <w:p w:rsidR="007A0AE5" w:rsidRPr="001D46D2" w:rsidRDefault="007A0AE5"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This option would raise $232 milli</w:t>
      </w:r>
      <w:r w:rsidR="00E146ED" w:rsidRPr="001D46D2">
        <w:rPr>
          <w:rFonts w:ascii="Arial" w:hAnsi="Arial" w:cs="Arial"/>
          <w:sz w:val="20"/>
          <w:szCs w:val="20"/>
          <w:highlight w:val="white"/>
          <w:lang w:eastAsia="en-AU"/>
        </w:rPr>
        <w:t>on more than the cost base of $2.</w:t>
      </w:r>
      <w:r w:rsidRPr="001D46D2">
        <w:rPr>
          <w:rFonts w:ascii="Arial" w:hAnsi="Arial" w:cs="Arial"/>
          <w:sz w:val="20"/>
          <w:szCs w:val="20"/>
          <w:highlight w:val="white"/>
          <w:lang w:eastAsia="en-AU"/>
        </w:rPr>
        <w:t>9</w:t>
      </w:r>
      <w:r w:rsidR="00DA1C78">
        <w:rPr>
          <w:rFonts w:ascii="Arial" w:hAnsi="Arial" w:cs="Arial"/>
          <w:sz w:val="20"/>
          <w:szCs w:val="20"/>
          <w:highlight w:val="white"/>
          <w:lang w:eastAsia="en-AU"/>
        </w:rPr>
        <w:t xml:space="preserve"> </w:t>
      </w:r>
      <w:r w:rsidRPr="001D46D2">
        <w:rPr>
          <w:rFonts w:ascii="Arial" w:hAnsi="Arial" w:cs="Arial"/>
          <w:sz w:val="20"/>
          <w:szCs w:val="20"/>
          <w:highlight w:val="white"/>
          <w:lang w:eastAsia="en-AU"/>
        </w:rPr>
        <w:t>billion for the other options. This over</w:t>
      </w:r>
      <w:r w:rsidR="00E146ED" w:rsidRPr="001D46D2">
        <w:rPr>
          <w:rFonts w:ascii="Arial" w:hAnsi="Arial" w:cs="Arial"/>
          <w:sz w:val="20"/>
          <w:szCs w:val="20"/>
          <w:highlight w:val="white"/>
          <w:lang w:eastAsia="en-AU"/>
        </w:rPr>
        <w:t>-r</w:t>
      </w:r>
      <w:r w:rsidRPr="001D46D2">
        <w:rPr>
          <w:rFonts w:ascii="Arial" w:hAnsi="Arial" w:cs="Arial"/>
          <w:sz w:val="20"/>
          <w:szCs w:val="20"/>
          <w:highlight w:val="white"/>
          <w:lang w:eastAsia="en-AU"/>
        </w:rPr>
        <w:t xml:space="preserve">ecovery is due to the correction in the vehicle figures from 420,000 to the latest figures based on </w:t>
      </w:r>
      <w:r w:rsidR="00E146ED" w:rsidRPr="001D46D2">
        <w:rPr>
          <w:rFonts w:ascii="Arial" w:hAnsi="Arial" w:cs="Arial"/>
          <w:sz w:val="20"/>
          <w:szCs w:val="20"/>
          <w:highlight w:val="white"/>
          <w:lang w:eastAsia="en-AU"/>
        </w:rPr>
        <w:t>jurisdictional</w:t>
      </w:r>
      <w:r w:rsidRPr="001D46D2">
        <w:rPr>
          <w:rFonts w:ascii="Arial" w:hAnsi="Arial" w:cs="Arial"/>
          <w:sz w:val="20"/>
          <w:szCs w:val="20"/>
          <w:highlight w:val="white"/>
          <w:lang w:eastAsia="en-AU"/>
        </w:rPr>
        <w:t xml:space="preserve"> figures, which shows 496,000 vehicles were registered on 30 </w:t>
      </w:r>
      <w:r w:rsidR="00E146ED" w:rsidRPr="001D46D2">
        <w:rPr>
          <w:rFonts w:ascii="Arial" w:hAnsi="Arial" w:cs="Arial"/>
          <w:sz w:val="20"/>
          <w:szCs w:val="20"/>
          <w:highlight w:val="white"/>
          <w:lang w:eastAsia="en-AU"/>
        </w:rPr>
        <w:t>June 2013.</w:t>
      </w:r>
    </w:p>
    <w:p w:rsidR="00CA0643" w:rsidRPr="001D46D2" w:rsidRDefault="00CA0643"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have also recognised the over-recovery occurring in the model by illustrating the effect current PayGo parameters have: </w:t>
      </w:r>
    </w:p>
    <w:p w:rsidR="007E7452" w:rsidRPr="001D46D2" w:rsidRDefault="007E7452" w:rsidP="00CA0643">
      <w:pPr>
        <w:autoSpaceDE w:val="0"/>
        <w:autoSpaceDN w:val="0"/>
        <w:adjustRightInd w:val="0"/>
        <w:spacing w:after="200" w:line="276" w:lineRule="auto"/>
        <w:ind w:left="720"/>
        <w:rPr>
          <w:rFonts w:ascii="Arial" w:hAnsi="Arial" w:cs="Arial"/>
          <w:sz w:val="20"/>
          <w:szCs w:val="20"/>
          <w:highlight w:val="white"/>
          <w:lang w:eastAsia="en-AU"/>
        </w:rPr>
      </w:pPr>
      <w:r w:rsidRPr="001D46D2">
        <w:rPr>
          <w:rFonts w:ascii="Arial" w:hAnsi="Arial" w:cs="Arial"/>
          <w:sz w:val="20"/>
          <w:szCs w:val="20"/>
          <w:highlight w:val="white"/>
          <w:lang w:eastAsia="en-AU"/>
        </w:rPr>
        <w:t>The result of the previous approach was that charges were set higher than was necessary to recover the cost base. For example, to recover a cost base of $3 billion would require an average contribution of $7</w:t>
      </w:r>
      <w:r w:rsidR="00DA1C78">
        <w:rPr>
          <w:rFonts w:ascii="Arial" w:hAnsi="Arial" w:cs="Arial"/>
          <w:sz w:val="20"/>
          <w:szCs w:val="20"/>
          <w:highlight w:val="white"/>
          <w:lang w:eastAsia="en-AU"/>
        </w:rPr>
        <w:t>,</w:t>
      </w:r>
      <w:r w:rsidRPr="001D46D2">
        <w:rPr>
          <w:rFonts w:ascii="Arial" w:hAnsi="Arial" w:cs="Arial"/>
          <w:sz w:val="20"/>
          <w:szCs w:val="20"/>
          <w:highlight w:val="white"/>
          <w:lang w:eastAsia="en-AU"/>
        </w:rPr>
        <w:t xml:space="preserve">317 if spread across an estimated vehicle fleet of 410,000 vehicles. However, if such an average contribution is collected on 496,000 vehicles actually registered, it would </w:t>
      </w:r>
      <w:r w:rsidR="00DA1C78" w:rsidRPr="001D46D2">
        <w:rPr>
          <w:rFonts w:ascii="Arial" w:hAnsi="Arial" w:cs="Arial"/>
          <w:sz w:val="20"/>
          <w:szCs w:val="20"/>
          <w:highlight w:val="white"/>
          <w:lang w:eastAsia="en-AU"/>
        </w:rPr>
        <w:t>raise</w:t>
      </w:r>
      <w:r w:rsidRPr="001D46D2">
        <w:rPr>
          <w:rFonts w:ascii="Arial" w:hAnsi="Arial" w:cs="Arial"/>
          <w:sz w:val="20"/>
          <w:szCs w:val="20"/>
          <w:highlight w:val="white"/>
          <w:lang w:eastAsia="en-AU"/>
        </w:rPr>
        <w:t xml:space="preserve"> just over 3.6 billion. </w:t>
      </w:r>
      <w:r w:rsidR="00BF5081">
        <w:rPr>
          <w:rStyle w:val="FootnoteReference"/>
          <w:rFonts w:ascii="Arial" w:hAnsi="Arial"/>
          <w:sz w:val="20"/>
          <w:szCs w:val="20"/>
          <w:highlight w:val="white"/>
          <w:lang w:eastAsia="en-AU"/>
        </w:rPr>
        <w:footnoteReference w:id="4"/>
      </w:r>
    </w:p>
    <w:p w:rsidR="00CA0643" w:rsidRPr="001D46D2" w:rsidRDefault="00CA0643" w:rsidP="00CA0643">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This option fails the PayGo charging principle of ‘full cost recovery’, as it underestimates the number of vehicles and therefore sets charges higher than is necessary to cover the cost base. </w:t>
      </w:r>
    </w:p>
    <w:p w:rsidR="00324459" w:rsidRPr="001D46D2" w:rsidRDefault="00FF71A5" w:rsidP="00CE77AE">
      <w:pPr>
        <w:autoSpaceDE w:val="0"/>
        <w:autoSpaceDN w:val="0"/>
        <w:adjustRightInd w:val="0"/>
        <w:spacing w:after="200" w:line="276" w:lineRule="auto"/>
        <w:rPr>
          <w:rFonts w:ascii="Arial" w:hAnsi="Arial" w:cs="Arial"/>
          <w:i/>
          <w:sz w:val="20"/>
          <w:szCs w:val="20"/>
          <w:highlight w:val="white"/>
          <w:lang w:eastAsia="en-AU"/>
        </w:rPr>
      </w:pPr>
      <w:r w:rsidRPr="001D46D2">
        <w:rPr>
          <w:rFonts w:ascii="Arial" w:hAnsi="Arial" w:cs="Arial"/>
          <w:i/>
          <w:sz w:val="20"/>
          <w:szCs w:val="20"/>
          <w:highlight w:val="white"/>
          <w:lang w:eastAsia="en-AU"/>
        </w:rPr>
        <w:t>Updated status quo</w:t>
      </w:r>
    </w:p>
    <w:p w:rsidR="00884122" w:rsidRPr="001D46D2" w:rsidRDefault="00B42ECE"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This option involves</w:t>
      </w:r>
      <w:r w:rsidR="00884122" w:rsidRPr="001D46D2">
        <w:rPr>
          <w:rFonts w:ascii="Arial" w:hAnsi="Arial" w:cs="Arial"/>
          <w:sz w:val="20"/>
          <w:szCs w:val="20"/>
          <w:highlight w:val="white"/>
          <w:lang w:eastAsia="en-AU"/>
        </w:rPr>
        <w:t xml:space="preserve"> updating the </w:t>
      </w:r>
      <w:r w:rsidR="002550E9" w:rsidRPr="001D46D2">
        <w:rPr>
          <w:rFonts w:ascii="Arial" w:hAnsi="Arial" w:cs="Arial"/>
          <w:sz w:val="20"/>
          <w:szCs w:val="20"/>
          <w:highlight w:val="white"/>
          <w:lang w:eastAsia="en-AU"/>
        </w:rPr>
        <w:t>road expenditure and usage data, which</w:t>
      </w:r>
      <w:r w:rsidR="00BF5081">
        <w:rPr>
          <w:rFonts w:ascii="Arial" w:hAnsi="Arial" w:cs="Arial"/>
          <w:sz w:val="20"/>
          <w:szCs w:val="20"/>
          <w:highlight w:val="white"/>
          <w:lang w:eastAsia="en-AU"/>
        </w:rPr>
        <w:t xml:space="preserve"> will re-estimate the cost base</w:t>
      </w:r>
      <w:r w:rsidR="002550E9" w:rsidRPr="001D46D2">
        <w:rPr>
          <w:rFonts w:ascii="Arial" w:hAnsi="Arial" w:cs="Arial"/>
          <w:sz w:val="20"/>
          <w:szCs w:val="20"/>
          <w:highlight w:val="white"/>
          <w:lang w:eastAsia="en-AU"/>
        </w:rPr>
        <w:t xml:space="preserve"> </w:t>
      </w:r>
      <w:r w:rsidR="00CA0643" w:rsidRPr="001D46D2">
        <w:rPr>
          <w:rFonts w:ascii="Arial" w:hAnsi="Arial" w:cs="Arial"/>
          <w:sz w:val="20"/>
          <w:szCs w:val="20"/>
          <w:highlight w:val="white"/>
          <w:lang w:eastAsia="en-AU"/>
        </w:rPr>
        <w:t>according</w:t>
      </w:r>
      <w:r w:rsidR="002550E9" w:rsidRPr="001D46D2">
        <w:rPr>
          <w:rFonts w:ascii="Arial" w:hAnsi="Arial" w:cs="Arial"/>
          <w:sz w:val="20"/>
          <w:szCs w:val="20"/>
          <w:highlight w:val="white"/>
          <w:lang w:eastAsia="en-AU"/>
        </w:rPr>
        <w:t xml:space="preserve"> to the most recent vehicle numbers</w:t>
      </w:r>
      <w:r w:rsidR="00884122" w:rsidRPr="001D46D2">
        <w:rPr>
          <w:rFonts w:ascii="Arial" w:hAnsi="Arial" w:cs="Arial"/>
          <w:sz w:val="20"/>
          <w:szCs w:val="20"/>
          <w:highlight w:val="white"/>
          <w:lang w:eastAsia="en-AU"/>
        </w:rPr>
        <w:t xml:space="preserve">.  While this option is a slight improvement on the PayGo model it does not go far enough to have any </w:t>
      </w:r>
      <w:r w:rsidR="002550E9" w:rsidRPr="001D46D2">
        <w:rPr>
          <w:rFonts w:ascii="Arial" w:hAnsi="Arial" w:cs="Arial"/>
          <w:sz w:val="20"/>
          <w:szCs w:val="20"/>
          <w:highlight w:val="white"/>
          <w:lang w:eastAsia="en-AU"/>
        </w:rPr>
        <w:t>real changes to the PayGo model</w:t>
      </w:r>
      <w:r w:rsidR="00CA0643" w:rsidRPr="001D46D2">
        <w:rPr>
          <w:rFonts w:ascii="Arial" w:hAnsi="Arial" w:cs="Arial"/>
          <w:sz w:val="20"/>
          <w:szCs w:val="20"/>
          <w:highlight w:val="white"/>
          <w:lang w:eastAsia="en-AU"/>
        </w:rPr>
        <w:t xml:space="preserve"> and is not supported by the ATA as the preferred option. </w:t>
      </w:r>
    </w:p>
    <w:p w:rsidR="00611ED6" w:rsidRPr="001D46D2" w:rsidRDefault="00DA1C78" w:rsidP="00CE77AE">
      <w:pPr>
        <w:autoSpaceDE w:val="0"/>
        <w:autoSpaceDN w:val="0"/>
        <w:adjustRightInd w:val="0"/>
        <w:spacing w:after="200" w:line="276" w:lineRule="auto"/>
        <w:rPr>
          <w:rFonts w:ascii="Arial" w:hAnsi="Arial" w:cs="Arial"/>
          <w:sz w:val="20"/>
          <w:szCs w:val="20"/>
          <w:highlight w:val="white"/>
          <w:lang w:eastAsia="en-AU"/>
        </w:rPr>
      </w:pPr>
      <w:r>
        <w:rPr>
          <w:rFonts w:ascii="Arial" w:hAnsi="Arial" w:cs="Arial"/>
          <w:sz w:val="20"/>
          <w:szCs w:val="20"/>
          <w:highlight w:val="white"/>
          <w:lang w:eastAsia="en-AU"/>
        </w:rPr>
        <w:t>Under</w:t>
      </w:r>
      <w:r w:rsidR="00611ED6" w:rsidRPr="001D46D2">
        <w:rPr>
          <w:rFonts w:ascii="Arial" w:hAnsi="Arial" w:cs="Arial"/>
          <w:sz w:val="20"/>
          <w:szCs w:val="20"/>
          <w:highlight w:val="white"/>
          <w:lang w:eastAsia="en-AU"/>
        </w:rPr>
        <w:t xml:space="preserve"> this option 42% of the </w:t>
      </w:r>
      <w:r w:rsidR="002550E9" w:rsidRPr="001D46D2">
        <w:rPr>
          <w:rFonts w:ascii="Arial" w:hAnsi="Arial" w:cs="Arial"/>
          <w:sz w:val="20"/>
          <w:szCs w:val="20"/>
          <w:highlight w:val="white"/>
          <w:lang w:eastAsia="en-AU"/>
        </w:rPr>
        <w:t>industry</w:t>
      </w:r>
      <w:r w:rsidR="00611ED6" w:rsidRPr="001D46D2">
        <w:rPr>
          <w:rFonts w:ascii="Arial" w:hAnsi="Arial" w:cs="Arial"/>
          <w:sz w:val="20"/>
          <w:szCs w:val="20"/>
          <w:highlight w:val="white"/>
          <w:lang w:eastAsia="en-AU"/>
        </w:rPr>
        <w:t xml:space="preserve"> has increased costs. However, the increases are directly linked the refined ESA figures</w:t>
      </w:r>
      <w:r w:rsidR="003C142B" w:rsidRPr="001D46D2">
        <w:rPr>
          <w:rFonts w:ascii="Arial" w:hAnsi="Arial" w:cs="Arial"/>
          <w:sz w:val="20"/>
          <w:szCs w:val="20"/>
          <w:highlight w:val="white"/>
          <w:lang w:eastAsia="en-AU"/>
        </w:rPr>
        <w:t xml:space="preserve"> and update</w:t>
      </w:r>
      <w:r w:rsidR="00B42ECE" w:rsidRPr="001D46D2">
        <w:rPr>
          <w:rFonts w:ascii="Arial" w:hAnsi="Arial" w:cs="Arial"/>
          <w:sz w:val="20"/>
          <w:szCs w:val="20"/>
          <w:highlight w:val="white"/>
          <w:lang w:eastAsia="en-AU"/>
        </w:rPr>
        <w:t>d</w:t>
      </w:r>
      <w:r w:rsidR="003C142B" w:rsidRPr="001D46D2">
        <w:rPr>
          <w:rFonts w:ascii="Arial" w:hAnsi="Arial" w:cs="Arial"/>
          <w:sz w:val="20"/>
          <w:szCs w:val="20"/>
          <w:highlight w:val="white"/>
          <w:lang w:eastAsia="en-AU"/>
        </w:rPr>
        <w:t xml:space="preserve"> usage data</w:t>
      </w:r>
      <w:r w:rsidR="00611ED6" w:rsidRPr="001D46D2">
        <w:rPr>
          <w:rFonts w:ascii="Arial" w:hAnsi="Arial" w:cs="Arial"/>
          <w:sz w:val="20"/>
          <w:szCs w:val="20"/>
          <w:highlight w:val="white"/>
          <w:lang w:eastAsia="en-AU"/>
        </w:rPr>
        <w:t xml:space="preserve">. It should also be noted that in the case of the truck class with the </w:t>
      </w:r>
      <w:r w:rsidR="007E242D" w:rsidRPr="001D46D2">
        <w:rPr>
          <w:rFonts w:ascii="Arial" w:hAnsi="Arial" w:cs="Arial"/>
          <w:sz w:val="20"/>
          <w:szCs w:val="20"/>
          <w:highlight w:val="white"/>
          <w:lang w:eastAsia="en-AU"/>
        </w:rPr>
        <w:t>highest increase in charges under this option</w:t>
      </w:r>
      <w:r w:rsidR="00B42ECE" w:rsidRPr="001D46D2">
        <w:rPr>
          <w:rFonts w:ascii="Arial" w:hAnsi="Arial" w:cs="Arial"/>
          <w:sz w:val="20"/>
          <w:szCs w:val="20"/>
          <w:highlight w:val="white"/>
          <w:lang w:eastAsia="en-AU"/>
        </w:rPr>
        <w:t>, the</w:t>
      </w:r>
      <w:r w:rsidR="007E242D" w:rsidRPr="001D46D2">
        <w:rPr>
          <w:rFonts w:ascii="Arial" w:hAnsi="Arial" w:cs="Arial"/>
          <w:sz w:val="20"/>
          <w:szCs w:val="20"/>
          <w:highlight w:val="white"/>
          <w:lang w:eastAsia="en-AU"/>
        </w:rPr>
        <w:t xml:space="preserve"> regulatory charge makes up 42% of the total charge. </w:t>
      </w:r>
    </w:p>
    <w:p w:rsidR="00FF71A5" w:rsidRPr="001D46D2" w:rsidRDefault="00884122" w:rsidP="00CE77AE">
      <w:pPr>
        <w:autoSpaceDE w:val="0"/>
        <w:autoSpaceDN w:val="0"/>
        <w:adjustRightInd w:val="0"/>
        <w:spacing w:after="200" w:line="276" w:lineRule="auto"/>
        <w:rPr>
          <w:rFonts w:ascii="Arial" w:hAnsi="Arial" w:cs="Arial"/>
          <w:i/>
          <w:sz w:val="20"/>
          <w:szCs w:val="20"/>
          <w:highlight w:val="white"/>
          <w:lang w:eastAsia="en-AU"/>
        </w:rPr>
      </w:pPr>
      <w:r w:rsidRPr="001D46D2">
        <w:rPr>
          <w:rFonts w:ascii="Arial" w:hAnsi="Arial" w:cs="Arial"/>
          <w:i/>
          <w:sz w:val="20"/>
          <w:szCs w:val="20"/>
          <w:highlight w:val="white"/>
          <w:lang w:eastAsia="en-AU"/>
        </w:rPr>
        <w:t>Option A</w:t>
      </w:r>
    </w:p>
    <w:p w:rsidR="00535B95" w:rsidRPr="001D46D2" w:rsidRDefault="00884122"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This option includes all of the technical updates that the ATA </w:t>
      </w:r>
      <w:r w:rsidR="00535B95" w:rsidRPr="001D46D2">
        <w:rPr>
          <w:rFonts w:ascii="Arial" w:hAnsi="Arial" w:cs="Arial"/>
          <w:sz w:val="20"/>
          <w:szCs w:val="20"/>
          <w:highlight w:val="white"/>
          <w:lang w:eastAsia="en-AU"/>
        </w:rPr>
        <w:t xml:space="preserve">supports. Under this option 62.1% of the revenue is collected through the RUC while 37.9% of revenue is collected through registration charges. </w:t>
      </w:r>
      <w:r w:rsidR="00CA0643" w:rsidRPr="001D46D2">
        <w:rPr>
          <w:rFonts w:ascii="Arial" w:hAnsi="Arial" w:cs="Arial"/>
          <w:sz w:val="20"/>
          <w:szCs w:val="20"/>
          <w:highlight w:val="white"/>
          <w:lang w:eastAsia="en-AU"/>
        </w:rPr>
        <w:t>R</w:t>
      </w:r>
      <w:r w:rsidR="00535B95" w:rsidRPr="001D46D2">
        <w:rPr>
          <w:rFonts w:ascii="Arial" w:hAnsi="Arial" w:cs="Arial"/>
          <w:sz w:val="20"/>
          <w:szCs w:val="20"/>
          <w:highlight w:val="white"/>
          <w:lang w:eastAsia="en-AU"/>
        </w:rPr>
        <w:t>oad t</w:t>
      </w:r>
      <w:r w:rsidR="00CA0643" w:rsidRPr="001D46D2">
        <w:rPr>
          <w:rFonts w:ascii="Arial" w:hAnsi="Arial" w:cs="Arial"/>
          <w:sz w:val="20"/>
          <w:szCs w:val="20"/>
          <w:highlight w:val="white"/>
          <w:lang w:eastAsia="en-AU"/>
        </w:rPr>
        <w:t>rains</w:t>
      </w:r>
      <w:r w:rsidR="00535B95" w:rsidRPr="001D46D2">
        <w:rPr>
          <w:rFonts w:ascii="Arial" w:hAnsi="Arial" w:cs="Arial"/>
          <w:sz w:val="20"/>
          <w:szCs w:val="20"/>
          <w:highlight w:val="white"/>
          <w:lang w:eastAsia="en-AU"/>
        </w:rPr>
        <w:t xml:space="preserve"> and B-doubles/B-triples have the same roads component costs, as the converter dolly used in a road train would be a zero dollar charge.</w:t>
      </w:r>
      <w:r w:rsidR="00CA0643" w:rsidRPr="001D46D2">
        <w:rPr>
          <w:rFonts w:ascii="Arial" w:hAnsi="Arial" w:cs="Arial"/>
          <w:sz w:val="20"/>
          <w:szCs w:val="20"/>
          <w:highlight w:val="white"/>
          <w:lang w:eastAsia="en-AU"/>
        </w:rPr>
        <w:t xml:space="preserve"> </w:t>
      </w:r>
    </w:p>
    <w:p w:rsidR="003C142B" w:rsidRPr="001D46D2" w:rsidRDefault="00535B95"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Viewing the case study results, </w:t>
      </w:r>
      <w:r w:rsidR="002C7AB9" w:rsidRPr="001D46D2">
        <w:rPr>
          <w:rFonts w:ascii="Arial" w:hAnsi="Arial" w:cs="Arial"/>
          <w:sz w:val="20"/>
          <w:szCs w:val="20"/>
          <w:highlight w:val="white"/>
          <w:lang w:eastAsia="en-AU"/>
        </w:rPr>
        <w:t>70% of industry will see a decrease</w:t>
      </w:r>
      <w:r w:rsidR="003C142B" w:rsidRPr="001D46D2">
        <w:rPr>
          <w:rFonts w:ascii="Arial" w:hAnsi="Arial" w:cs="Arial"/>
          <w:sz w:val="20"/>
          <w:szCs w:val="20"/>
          <w:highlight w:val="white"/>
          <w:lang w:eastAsia="en-AU"/>
        </w:rPr>
        <w:t xml:space="preserve"> in the registration charges. The</w:t>
      </w:r>
      <w:r w:rsidR="002C7AB9" w:rsidRPr="001D46D2">
        <w:rPr>
          <w:rFonts w:ascii="Arial" w:hAnsi="Arial" w:cs="Arial"/>
          <w:sz w:val="20"/>
          <w:szCs w:val="20"/>
          <w:highlight w:val="white"/>
          <w:lang w:eastAsia="en-AU"/>
        </w:rPr>
        <w:t xml:space="preserve"> small number of increases is</w:t>
      </w:r>
      <w:r w:rsidR="003C142B" w:rsidRPr="001D46D2">
        <w:rPr>
          <w:rFonts w:ascii="Arial" w:hAnsi="Arial" w:cs="Arial"/>
          <w:sz w:val="20"/>
          <w:szCs w:val="20"/>
          <w:highlight w:val="white"/>
          <w:lang w:eastAsia="en-AU"/>
        </w:rPr>
        <w:t xml:space="preserve"> due to increased ESA values or </w:t>
      </w:r>
      <w:r w:rsidRPr="001D46D2">
        <w:rPr>
          <w:rFonts w:ascii="Arial" w:hAnsi="Arial" w:cs="Arial"/>
          <w:sz w:val="20"/>
          <w:szCs w:val="20"/>
          <w:highlight w:val="white"/>
          <w:lang w:eastAsia="en-AU"/>
        </w:rPr>
        <w:t>higher</w:t>
      </w:r>
      <w:r w:rsidR="003C142B" w:rsidRPr="001D46D2">
        <w:rPr>
          <w:rFonts w:ascii="Arial" w:hAnsi="Arial" w:cs="Arial"/>
          <w:sz w:val="20"/>
          <w:szCs w:val="20"/>
          <w:highlight w:val="white"/>
          <w:lang w:eastAsia="en-AU"/>
        </w:rPr>
        <w:t xml:space="preserve"> VKT usage data raising the </w:t>
      </w:r>
      <w:r w:rsidRPr="001D46D2">
        <w:rPr>
          <w:rFonts w:ascii="Arial" w:hAnsi="Arial" w:cs="Arial"/>
          <w:sz w:val="20"/>
          <w:szCs w:val="20"/>
          <w:highlight w:val="white"/>
          <w:lang w:eastAsia="en-AU"/>
        </w:rPr>
        <w:t>attributable</w:t>
      </w:r>
      <w:r w:rsidR="003C142B" w:rsidRPr="001D46D2">
        <w:rPr>
          <w:rFonts w:ascii="Arial" w:hAnsi="Arial" w:cs="Arial"/>
          <w:sz w:val="20"/>
          <w:szCs w:val="20"/>
          <w:highlight w:val="white"/>
          <w:lang w:eastAsia="en-AU"/>
        </w:rPr>
        <w:t xml:space="preserve"> cost for these vehicle </w:t>
      </w:r>
      <w:r w:rsidRPr="001D46D2">
        <w:rPr>
          <w:rFonts w:ascii="Arial" w:hAnsi="Arial" w:cs="Arial"/>
          <w:sz w:val="20"/>
          <w:szCs w:val="20"/>
          <w:highlight w:val="white"/>
          <w:lang w:eastAsia="en-AU"/>
        </w:rPr>
        <w:t>types</w:t>
      </w:r>
      <w:r w:rsidR="003C142B" w:rsidRPr="001D46D2">
        <w:rPr>
          <w:rFonts w:ascii="Arial" w:hAnsi="Arial" w:cs="Arial"/>
          <w:sz w:val="20"/>
          <w:szCs w:val="20"/>
          <w:highlight w:val="white"/>
          <w:lang w:eastAsia="en-AU"/>
        </w:rPr>
        <w:t xml:space="preserve"> to a level where the </w:t>
      </w:r>
      <w:r w:rsidRPr="001D46D2">
        <w:rPr>
          <w:rFonts w:ascii="Arial" w:hAnsi="Arial" w:cs="Arial"/>
          <w:sz w:val="20"/>
          <w:szCs w:val="20"/>
          <w:highlight w:val="white"/>
          <w:lang w:eastAsia="en-AU"/>
        </w:rPr>
        <w:t>registration</w:t>
      </w:r>
      <w:r w:rsidR="003C142B" w:rsidRPr="001D46D2">
        <w:rPr>
          <w:rFonts w:ascii="Arial" w:hAnsi="Arial" w:cs="Arial"/>
          <w:sz w:val="20"/>
          <w:szCs w:val="20"/>
          <w:highlight w:val="white"/>
          <w:lang w:eastAsia="en-AU"/>
        </w:rPr>
        <w:t xml:space="preserve"> charge had to be increase</w:t>
      </w:r>
      <w:r w:rsidRPr="001D46D2">
        <w:rPr>
          <w:rFonts w:ascii="Arial" w:hAnsi="Arial" w:cs="Arial"/>
          <w:sz w:val="20"/>
          <w:szCs w:val="20"/>
          <w:highlight w:val="white"/>
          <w:lang w:eastAsia="en-AU"/>
        </w:rPr>
        <w:t>d</w:t>
      </w:r>
      <w:r w:rsidR="003C142B" w:rsidRPr="001D46D2">
        <w:rPr>
          <w:rFonts w:ascii="Arial" w:hAnsi="Arial" w:cs="Arial"/>
          <w:sz w:val="20"/>
          <w:szCs w:val="20"/>
          <w:highlight w:val="white"/>
          <w:lang w:eastAsia="en-AU"/>
        </w:rPr>
        <w:t xml:space="preserve"> in order to </w:t>
      </w:r>
      <w:r w:rsidRPr="001D46D2">
        <w:rPr>
          <w:rFonts w:ascii="Arial" w:hAnsi="Arial" w:cs="Arial"/>
          <w:sz w:val="20"/>
          <w:szCs w:val="20"/>
          <w:highlight w:val="white"/>
          <w:lang w:eastAsia="en-AU"/>
        </w:rPr>
        <w:t>achieve</w:t>
      </w:r>
      <w:r w:rsidR="003C142B" w:rsidRPr="001D46D2">
        <w:rPr>
          <w:rFonts w:ascii="Arial" w:hAnsi="Arial" w:cs="Arial"/>
          <w:sz w:val="20"/>
          <w:szCs w:val="20"/>
          <w:highlight w:val="white"/>
          <w:lang w:eastAsia="en-AU"/>
        </w:rPr>
        <w:t xml:space="preserve"> full cost recovery. </w:t>
      </w:r>
      <w:r w:rsidRPr="001D46D2">
        <w:rPr>
          <w:rFonts w:ascii="Arial" w:hAnsi="Arial" w:cs="Arial"/>
          <w:sz w:val="20"/>
          <w:szCs w:val="20"/>
          <w:highlight w:val="white"/>
          <w:lang w:eastAsia="en-AU"/>
        </w:rPr>
        <w:t xml:space="preserve"> </w:t>
      </w:r>
    </w:p>
    <w:p w:rsidR="00884122" w:rsidRPr="001D46D2" w:rsidRDefault="00884122"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 </w:t>
      </w:r>
      <w:r w:rsidR="00042462" w:rsidRPr="001D46D2">
        <w:rPr>
          <w:rFonts w:ascii="Arial" w:hAnsi="Arial" w:cs="Arial"/>
          <w:sz w:val="20"/>
          <w:szCs w:val="20"/>
          <w:highlight w:val="white"/>
          <w:lang w:eastAsia="en-AU"/>
        </w:rPr>
        <w:t xml:space="preserve">All </w:t>
      </w:r>
      <w:r w:rsidR="002374B4" w:rsidRPr="001D46D2">
        <w:rPr>
          <w:rFonts w:ascii="Arial" w:hAnsi="Arial" w:cs="Arial"/>
          <w:sz w:val="20"/>
          <w:szCs w:val="20"/>
          <w:highlight w:val="white"/>
          <w:lang w:eastAsia="en-AU"/>
        </w:rPr>
        <w:t>vehicles</w:t>
      </w:r>
      <w:r w:rsidR="00042462" w:rsidRPr="001D46D2">
        <w:rPr>
          <w:rFonts w:ascii="Arial" w:hAnsi="Arial" w:cs="Arial"/>
          <w:sz w:val="20"/>
          <w:szCs w:val="20"/>
          <w:highlight w:val="white"/>
          <w:lang w:eastAsia="en-AU"/>
        </w:rPr>
        <w:t xml:space="preserve"> classes recover, on average</w:t>
      </w:r>
      <w:r w:rsidR="002374B4" w:rsidRPr="001D46D2">
        <w:rPr>
          <w:rFonts w:ascii="Arial" w:hAnsi="Arial" w:cs="Arial"/>
          <w:sz w:val="20"/>
          <w:szCs w:val="20"/>
          <w:highlight w:val="white"/>
          <w:lang w:eastAsia="en-AU"/>
        </w:rPr>
        <w:t>,</w:t>
      </w:r>
      <w:r w:rsidR="00042462" w:rsidRPr="001D46D2">
        <w:rPr>
          <w:rFonts w:ascii="Arial" w:hAnsi="Arial" w:cs="Arial"/>
          <w:sz w:val="20"/>
          <w:szCs w:val="20"/>
          <w:highlight w:val="white"/>
          <w:lang w:eastAsia="en-AU"/>
        </w:rPr>
        <w:t xml:space="preserve"> </w:t>
      </w:r>
      <w:r w:rsidR="002374B4" w:rsidRPr="001D46D2">
        <w:rPr>
          <w:rFonts w:ascii="Arial" w:hAnsi="Arial" w:cs="Arial"/>
          <w:sz w:val="20"/>
          <w:szCs w:val="20"/>
          <w:highlight w:val="white"/>
          <w:lang w:eastAsia="en-AU"/>
        </w:rPr>
        <w:t>their</w:t>
      </w:r>
      <w:r w:rsidR="00042462" w:rsidRPr="001D46D2">
        <w:rPr>
          <w:rFonts w:ascii="Arial" w:hAnsi="Arial" w:cs="Arial"/>
          <w:sz w:val="20"/>
          <w:szCs w:val="20"/>
          <w:highlight w:val="white"/>
          <w:lang w:eastAsia="en-AU"/>
        </w:rPr>
        <w:t xml:space="preserve"> attributable costs, meaning that no cross subsidies exist</w:t>
      </w:r>
      <w:r w:rsidR="002374B4" w:rsidRPr="001D46D2">
        <w:rPr>
          <w:rFonts w:ascii="Arial" w:hAnsi="Arial" w:cs="Arial"/>
          <w:sz w:val="20"/>
          <w:szCs w:val="20"/>
          <w:highlight w:val="white"/>
          <w:lang w:eastAsia="en-AU"/>
        </w:rPr>
        <w:t xml:space="preserve"> under option A</w:t>
      </w:r>
      <w:r w:rsidR="00A95D43" w:rsidRPr="001D46D2">
        <w:rPr>
          <w:rFonts w:ascii="Arial" w:hAnsi="Arial" w:cs="Arial"/>
          <w:sz w:val="20"/>
          <w:szCs w:val="20"/>
          <w:highlight w:val="white"/>
          <w:lang w:eastAsia="en-AU"/>
        </w:rPr>
        <w:t xml:space="preserve"> (other than the road train adjustment)</w:t>
      </w:r>
      <w:r w:rsidR="00042462" w:rsidRPr="001D46D2">
        <w:rPr>
          <w:rFonts w:ascii="Arial" w:hAnsi="Arial" w:cs="Arial"/>
          <w:sz w:val="20"/>
          <w:szCs w:val="20"/>
          <w:highlight w:val="white"/>
          <w:lang w:eastAsia="en-AU"/>
        </w:rPr>
        <w:t xml:space="preserve">. </w:t>
      </w:r>
    </w:p>
    <w:p w:rsidR="007E7452" w:rsidRPr="001D46D2" w:rsidRDefault="007E7452"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When examining the impact on regional and remote communities, option A appears to be more equitable than the status quo because registration charges no longer discriminate between trailer types. The road train converter dolly is maintained </w:t>
      </w:r>
      <w:r w:rsidR="00A95D43" w:rsidRPr="001D46D2">
        <w:rPr>
          <w:rFonts w:ascii="Arial" w:hAnsi="Arial" w:cs="Arial"/>
          <w:sz w:val="20"/>
          <w:szCs w:val="20"/>
          <w:highlight w:val="white"/>
          <w:lang w:eastAsia="en-AU"/>
        </w:rPr>
        <w:t xml:space="preserve">as </w:t>
      </w:r>
      <w:r w:rsidR="007A69E2" w:rsidRPr="001D46D2">
        <w:rPr>
          <w:rFonts w:ascii="Arial" w:hAnsi="Arial" w:cs="Arial"/>
          <w:sz w:val="20"/>
          <w:szCs w:val="20"/>
          <w:highlight w:val="white"/>
          <w:lang w:eastAsia="en-AU"/>
        </w:rPr>
        <w:t xml:space="preserve">a </w:t>
      </w:r>
      <w:r w:rsidR="00A95D43" w:rsidRPr="001D46D2">
        <w:rPr>
          <w:rFonts w:ascii="Arial" w:hAnsi="Arial" w:cs="Arial"/>
          <w:sz w:val="20"/>
          <w:szCs w:val="20"/>
          <w:highlight w:val="white"/>
          <w:lang w:eastAsia="en-AU"/>
        </w:rPr>
        <w:t>zero</w:t>
      </w:r>
      <w:r w:rsidR="007A69E2" w:rsidRPr="001D46D2">
        <w:rPr>
          <w:rFonts w:ascii="Arial" w:hAnsi="Arial" w:cs="Arial"/>
          <w:sz w:val="20"/>
          <w:szCs w:val="20"/>
          <w:highlight w:val="white"/>
          <w:lang w:eastAsia="en-AU"/>
        </w:rPr>
        <w:t xml:space="preserve"> dollar</w:t>
      </w:r>
      <w:r w:rsidR="00A95D43" w:rsidRPr="001D46D2">
        <w:rPr>
          <w:rFonts w:ascii="Arial" w:hAnsi="Arial" w:cs="Arial"/>
          <w:sz w:val="20"/>
          <w:szCs w:val="20"/>
          <w:highlight w:val="white"/>
          <w:lang w:eastAsia="en-AU"/>
        </w:rPr>
        <w:t xml:space="preserve"> charge </w:t>
      </w:r>
      <w:r w:rsidRPr="001D46D2">
        <w:rPr>
          <w:rFonts w:ascii="Arial" w:hAnsi="Arial" w:cs="Arial"/>
          <w:sz w:val="20"/>
          <w:szCs w:val="20"/>
          <w:highlight w:val="white"/>
          <w:lang w:eastAsia="en-AU"/>
        </w:rPr>
        <w:t xml:space="preserve">under all the options the NTC are presenting. </w:t>
      </w:r>
    </w:p>
    <w:p w:rsidR="007E7452" w:rsidRPr="001D46D2" w:rsidRDefault="007E7452"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lastRenderedPageBreak/>
        <w:t xml:space="preserve">The NTC also </w:t>
      </w:r>
      <w:r w:rsidR="00BF5081" w:rsidRPr="001D46D2">
        <w:rPr>
          <w:rFonts w:ascii="Arial" w:hAnsi="Arial" w:cs="Arial"/>
          <w:sz w:val="20"/>
          <w:szCs w:val="20"/>
          <w:highlight w:val="white"/>
          <w:lang w:eastAsia="en-AU"/>
        </w:rPr>
        <w:t>assess</w:t>
      </w:r>
      <w:r w:rsidR="00BF5081">
        <w:rPr>
          <w:rFonts w:ascii="Arial" w:hAnsi="Arial" w:cs="Arial"/>
          <w:sz w:val="20"/>
          <w:szCs w:val="20"/>
          <w:highlight w:val="white"/>
          <w:lang w:eastAsia="en-AU"/>
        </w:rPr>
        <w:t>es</w:t>
      </w:r>
      <w:r w:rsidRPr="001D46D2">
        <w:rPr>
          <w:rFonts w:ascii="Arial" w:hAnsi="Arial" w:cs="Arial"/>
          <w:sz w:val="20"/>
          <w:szCs w:val="20"/>
          <w:highlight w:val="white"/>
          <w:lang w:eastAsia="en-AU"/>
        </w:rPr>
        <w:t xml:space="preserve"> the options against the pricing principles and conclude that option </w:t>
      </w:r>
      <w:r w:rsidR="007A69E2" w:rsidRPr="001D46D2">
        <w:rPr>
          <w:rFonts w:ascii="Arial" w:hAnsi="Arial" w:cs="Arial"/>
          <w:sz w:val="20"/>
          <w:szCs w:val="20"/>
          <w:highlight w:val="white"/>
          <w:lang w:eastAsia="en-AU"/>
        </w:rPr>
        <w:t xml:space="preserve">A achieves full allocated cost </w:t>
      </w:r>
      <w:r w:rsidRPr="001D46D2">
        <w:rPr>
          <w:rFonts w:ascii="Arial" w:hAnsi="Arial" w:cs="Arial"/>
          <w:sz w:val="20"/>
          <w:szCs w:val="20"/>
          <w:highlight w:val="white"/>
          <w:lang w:eastAsia="en-AU"/>
        </w:rPr>
        <w:t>recovery for all vehicle types, whereas under option B and C, two heavy vehicle classes do not recover their allocated costs, which clashes with the principle of full recovery of allocated infrastructure costs while minimising over and under recov</w:t>
      </w:r>
      <w:r w:rsidR="00CA0643" w:rsidRPr="001D46D2">
        <w:rPr>
          <w:rFonts w:ascii="Arial" w:hAnsi="Arial" w:cs="Arial"/>
          <w:sz w:val="20"/>
          <w:szCs w:val="20"/>
          <w:highlight w:val="white"/>
          <w:lang w:eastAsia="en-AU"/>
        </w:rPr>
        <w:t xml:space="preserve">ery from any class of vehicle. </w:t>
      </w:r>
      <w:r w:rsidR="00A95D43" w:rsidRPr="001D46D2">
        <w:rPr>
          <w:rFonts w:ascii="Arial" w:hAnsi="Arial" w:cs="Arial"/>
          <w:sz w:val="20"/>
          <w:szCs w:val="20"/>
          <w:highlight w:val="white"/>
          <w:lang w:eastAsia="en-AU"/>
        </w:rPr>
        <w:t>These departures are minor</w:t>
      </w:r>
      <w:r w:rsidR="00344D53" w:rsidRPr="001D46D2">
        <w:rPr>
          <w:rFonts w:ascii="Arial" w:hAnsi="Arial" w:cs="Arial"/>
          <w:sz w:val="20"/>
          <w:szCs w:val="20"/>
          <w:highlight w:val="white"/>
          <w:lang w:eastAsia="en-AU"/>
        </w:rPr>
        <w:t xml:space="preserve"> and must be considered in light of the benefits of a higher </w:t>
      </w:r>
      <w:r w:rsidR="00EF014A" w:rsidRPr="001D46D2">
        <w:rPr>
          <w:rFonts w:ascii="Arial" w:hAnsi="Arial" w:cs="Arial"/>
          <w:sz w:val="20"/>
          <w:szCs w:val="20"/>
          <w:highlight w:val="white"/>
          <w:lang w:eastAsia="en-AU"/>
        </w:rPr>
        <w:t>portion of</w:t>
      </w:r>
      <w:r w:rsidR="00344D53" w:rsidRPr="001D46D2">
        <w:rPr>
          <w:rFonts w:ascii="Arial" w:hAnsi="Arial" w:cs="Arial"/>
          <w:sz w:val="20"/>
          <w:szCs w:val="20"/>
          <w:highlight w:val="white"/>
          <w:lang w:eastAsia="en-AU"/>
        </w:rPr>
        <w:t xml:space="preserve"> charges being collected through a use related mechanism</w:t>
      </w:r>
      <w:r w:rsidR="00A95D43" w:rsidRPr="001D46D2">
        <w:rPr>
          <w:rFonts w:ascii="Arial" w:hAnsi="Arial" w:cs="Arial"/>
          <w:sz w:val="20"/>
          <w:szCs w:val="20"/>
          <w:highlight w:val="white"/>
          <w:lang w:eastAsia="en-AU"/>
        </w:rPr>
        <w:t>.</w:t>
      </w:r>
    </w:p>
    <w:p w:rsidR="00884122" w:rsidRPr="001D46D2" w:rsidRDefault="00884122" w:rsidP="00CE77AE">
      <w:pPr>
        <w:autoSpaceDE w:val="0"/>
        <w:autoSpaceDN w:val="0"/>
        <w:adjustRightInd w:val="0"/>
        <w:spacing w:after="200" w:line="276" w:lineRule="auto"/>
        <w:rPr>
          <w:rFonts w:ascii="Arial" w:hAnsi="Arial" w:cs="Arial"/>
          <w:i/>
          <w:sz w:val="20"/>
          <w:szCs w:val="20"/>
          <w:highlight w:val="white"/>
          <w:lang w:eastAsia="en-AU"/>
        </w:rPr>
      </w:pPr>
      <w:r w:rsidRPr="001D46D2">
        <w:rPr>
          <w:rFonts w:ascii="Arial" w:hAnsi="Arial" w:cs="Arial"/>
          <w:i/>
          <w:sz w:val="20"/>
          <w:szCs w:val="20"/>
          <w:highlight w:val="white"/>
          <w:lang w:eastAsia="en-AU"/>
        </w:rPr>
        <w:t>Option B</w:t>
      </w:r>
    </w:p>
    <w:p w:rsidR="006B7FC7" w:rsidRPr="001D46D2" w:rsidRDefault="006B7FC7"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This option has a recalculation </w:t>
      </w:r>
      <w:r w:rsidR="007A69E2" w:rsidRPr="001D46D2">
        <w:rPr>
          <w:rFonts w:ascii="Arial" w:hAnsi="Arial" w:cs="Arial"/>
          <w:sz w:val="20"/>
          <w:szCs w:val="20"/>
          <w:highlight w:val="white"/>
          <w:lang w:eastAsia="en-AU"/>
        </w:rPr>
        <w:t xml:space="preserve">of </w:t>
      </w:r>
      <w:r w:rsidRPr="001D46D2">
        <w:rPr>
          <w:rFonts w:ascii="Arial" w:hAnsi="Arial" w:cs="Arial"/>
          <w:sz w:val="20"/>
          <w:szCs w:val="20"/>
          <w:highlight w:val="white"/>
          <w:lang w:eastAsia="en-AU"/>
        </w:rPr>
        <w:t xml:space="preserve">the RUC and </w:t>
      </w:r>
      <w:r w:rsidR="008B2BD8" w:rsidRPr="001D46D2">
        <w:rPr>
          <w:rFonts w:ascii="Arial" w:hAnsi="Arial" w:cs="Arial"/>
          <w:sz w:val="20"/>
          <w:szCs w:val="20"/>
          <w:highlight w:val="white"/>
          <w:lang w:eastAsia="en-AU"/>
        </w:rPr>
        <w:t>registration</w:t>
      </w:r>
      <w:r w:rsidRPr="001D46D2">
        <w:rPr>
          <w:rFonts w:ascii="Arial" w:hAnsi="Arial" w:cs="Arial"/>
          <w:sz w:val="20"/>
          <w:szCs w:val="20"/>
          <w:highlight w:val="white"/>
          <w:lang w:eastAsia="en-AU"/>
        </w:rPr>
        <w:t xml:space="preserve"> shares </w:t>
      </w:r>
      <w:r w:rsidR="007A69E2" w:rsidRPr="001D46D2">
        <w:rPr>
          <w:rFonts w:ascii="Arial" w:hAnsi="Arial" w:cs="Arial"/>
          <w:sz w:val="20"/>
          <w:szCs w:val="20"/>
          <w:highlight w:val="white"/>
          <w:lang w:eastAsia="en-AU"/>
        </w:rPr>
        <w:t xml:space="preserve">to </w:t>
      </w:r>
      <w:r w:rsidR="002374B4" w:rsidRPr="001D46D2">
        <w:rPr>
          <w:rFonts w:ascii="Arial" w:hAnsi="Arial" w:cs="Arial"/>
          <w:sz w:val="20"/>
          <w:szCs w:val="20"/>
          <w:highlight w:val="white"/>
          <w:lang w:eastAsia="en-AU"/>
        </w:rPr>
        <w:t xml:space="preserve">71.7% and 28.3%, which is a moderate shift away from the current shares. </w:t>
      </w:r>
      <w:r w:rsidR="000B6CAC" w:rsidRPr="001D46D2">
        <w:rPr>
          <w:rFonts w:ascii="Arial" w:hAnsi="Arial" w:cs="Arial"/>
          <w:sz w:val="20"/>
          <w:szCs w:val="20"/>
          <w:highlight w:val="white"/>
          <w:lang w:eastAsia="en-AU"/>
        </w:rPr>
        <w:t xml:space="preserve">The ATA supports a higher reliance on variable charges than a large fixed fee. </w:t>
      </w:r>
    </w:p>
    <w:p w:rsidR="00042462" w:rsidRPr="001D46D2" w:rsidRDefault="002374B4"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Viewing the case studies, registration charges will fall for the majority due to the higher RUC share</w:t>
      </w:r>
      <w:r w:rsidR="00042462" w:rsidRPr="001D46D2">
        <w:rPr>
          <w:rFonts w:ascii="Arial" w:hAnsi="Arial" w:cs="Arial"/>
          <w:sz w:val="20"/>
          <w:szCs w:val="20"/>
          <w:highlight w:val="white"/>
          <w:lang w:eastAsia="en-AU"/>
        </w:rPr>
        <w:t>,</w:t>
      </w:r>
      <w:r w:rsidR="00BF5081">
        <w:rPr>
          <w:rFonts w:ascii="Arial" w:hAnsi="Arial" w:cs="Arial"/>
          <w:sz w:val="20"/>
          <w:szCs w:val="20"/>
          <w:highlight w:val="white"/>
          <w:lang w:eastAsia="en-AU"/>
        </w:rPr>
        <w:t xml:space="preserve"> while</w:t>
      </w:r>
      <w:r w:rsidR="00042462" w:rsidRPr="001D46D2">
        <w:rPr>
          <w:rFonts w:ascii="Arial" w:hAnsi="Arial" w:cs="Arial"/>
          <w:sz w:val="20"/>
          <w:szCs w:val="20"/>
          <w:highlight w:val="white"/>
          <w:lang w:eastAsia="en-AU"/>
        </w:rPr>
        <w:t xml:space="preserve"> 11% see an increase.  The lower end of the fleet </w:t>
      </w:r>
      <w:r w:rsidRPr="001D46D2">
        <w:rPr>
          <w:rFonts w:ascii="Arial" w:hAnsi="Arial" w:cs="Arial"/>
          <w:sz w:val="20"/>
          <w:szCs w:val="20"/>
          <w:highlight w:val="white"/>
          <w:lang w:eastAsia="en-AU"/>
        </w:rPr>
        <w:t>sees a smaller reduction in registration charges</w:t>
      </w:r>
      <w:r w:rsidR="00042462" w:rsidRPr="001D46D2">
        <w:rPr>
          <w:rFonts w:ascii="Arial" w:hAnsi="Arial" w:cs="Arial"/>
          <w:sz w:val="20"/>
          <w:szCs w:val="20"/>
          <w:highlight w:val="white"/>
          <w:lang w:eastAsia="en-AU"/>
        </w:rPr>
        <w:t xml:space="preserve"> due to the need to not have </w:t>
      </w:r>
      <w:r w:rsidRPr="001D46D2">
        <w:rPr>
          <w:rFonts w:ascii="Arial" w:hAnsi="Arial" w:cs="Arial"/>
          <w:sz w:val="20"/>
          <w:szCs w:val="20"/>
          <w:highlight w:val="white"/>
          <w:lang w:eastAsia="en-AU"/>
        </w:rPr>
        <w:t xml:space="preserve">truck registration </w:t>
      </w:r>
      <w:r w:rsidR="00042462" w:rsidRPr="001D46D2">
        <w:rPr>
          <w:rFonts w:ascii="Arial" w:hAnsi="Arial" w:cs="Arial"/>
          <w:sz w:val="20"/>
          <w:szCs w:val="20"/>
          <w:highlight w:val="white"/>
          <w:lang w:eastAsia="en-AU"/>
        </w:rPr>
        <w:t xml:space="preserve">charges less than that of a light vehicle.  All </w:t>
      </w:r>
      <w:r w:rsidRPr="001D46D2">
        <w:rPr>
          <w:rFonts w:ascii="Arial" w:hAnsi="Arial" w:cs="Arial"/>
          <w:sz w:val="20"/>
          <w:szCs w:val="20"/>
          <w:highlight w:val="white"/>
          <w:lang w:eastAsia="en-AU"/>
        </w:rPr>
        <w:t>vehicles recover</w:t>
      </w:r>
      <w:r w:rsidR="00042462" w:rsidRPr="001D46D2">
        <w:rPr>
          <w:rFonts w:ascii="Arial" w:hAnsi="Arial" w:cs="Arial"/>
          <w:sz w:val="20"/>
          <w:szCs w:val="20"/>
          <w:highlight w:val="white"/>
          <w:lang w:eastAsia="en-AU"/>
        </w:rPr>
        <w:t xml:space="preserve"> on </w:t>
      </w:r>
      <w:r w:rsidRPr="001D46D2">
        <w:rPr>
          <w:rFonts w:ascii="Arial" w:hAnsi="Arial" w:cs="Arial"/>
          <w:sz w:val="20"/>
          <w:szCs w:val="20"/>
          <w:highlight w:val="white"/>
          <w:lang w:eastAsia="en-AU"/>
        </w:rPr>
        <w:t>average</w:t>
      </w:r>
      <w:r w:rsidR="00042462" w:rsidRPr="001D46D2">
        <w:rPr>
          <w:rFonts w:ascii="Arial" w:hAnsi="Arial" w:cs="Arial"/>
          <w:sz w:val="20"/>
          <w:szCs w:val="20"/>
          <w:highlight w:val="white"/>
          <w:lang w:eastAsia="en-AU"/>
        </w:rPr>
        <w:t xml:space="preserve"> their </w:t>
      </w:r>
      <w:proofErr w:type="gramStart"/>
      <w:r w:rsidR="00042462" w:rsidRPr="001D46D2">
        <w:rPr>
          <w:rFonts w:ascii="Arial" w:hAnsi="Arial" w:cs="Arial"/>
          <w:sz w:val="20"/>
          <w:szCs w:val="20"/>
          <w:highlight w:val="white"/>
          <w:lang w:eastAsia="en-AU"/>
        </w:rPr>
        <w:t>attributable</w:t>
      </w:r>
      <w:proofErr w:type="gramEnd"/>
      <w:r w:rsidR="00042462" w:rsidRPr="001D46D2">
        <w:rPr>
          <w:rFonts w:ascii="Arial" w:hAnsi="Arial" w:cs="Arial"/>
          <w:sz w:val="20"/>
          <w:szCs w:val="20"/>
          <w:highlight w:val="white"/>
          <w:lang w:eastAsia="en-AU"/>
        </w:rPr>
        <w:t xml:space="preserve"> costs, except heavy truck trailer</w:t>
      </w:r>
      <w:r w:rsidR="007A69E2" w:rsidRPr="001D46D2">
        <w:rPr>
          <w:rFonts w:ascii="Arial" w:hAnsi="Arial" w:cs="Arial"/>
          <w:sz w:val="20"/>
          <w:szCs w:val="20"/>
          <w:highlight w:val="white"/>
          <w:lang w:eastAsia="en-AU"/>
        </w:rPr>
        <w:t>s</w:t>
      </w:r>
      <w:r w:rsidR="00042462" w:rsidRPr="001D46D2">
        <w:rPr>
          <w:rFonts w:ascii="Arial" w:hAnsi="Arial" w:cs="Arial"/>
          <w:sz w:val="20"/>
          <w:szCs w:val="20"/>
          <w:highlight w:val="white"/>
          <w:lang w:eastAsia="en-AU"/>
        </w:rPr>
        <w:t xml:space="preserve"> above 45 tonnes and triple road trains. This means a small le</w:t>
      </w:r>
      <w:r w:rsidRPr="001D46D2">
        <w:rPr>
          <w:rFonts w:ascii="Arial" w:hAnsi="Arial" w:cs="Arial"/>
          <w:sz w:val="20"/>
          <w:szCs w:val="20"/>
          <w:highlight w:val="white"/>
          <w:lang w:eastAsia="en-AU"/>
        </w:rPr>
        <w:t>vel of cross subsidy may exist.</w:t>
      </w:r>
      <w:r w:rsidR="00A95D43" w:rsidRPr="001D46D2">
        <w:rPr>
          <w:rFonts w:ascii="Arial" w:hAnsi="Arial" w:cs="Arial"/>
          <w:sz w:val="20"/>
          <w:szCs w:val="20"/>
          <w:highlight w:val="white"/>
          <w:lang w:eastAsia="en-AU"/>
        </w:rPr>
        <w:t xml:space="preserve"> However, as cautioned earlier the case studies must be viewed with care and considered against the SMVU data that is modelled by the NTC.  </w:t>
      </w:r>
    </w:p>
    <w:p w:rsidR="007E7452" w:rsidRPr="001D46D2" w:rsidRDefault="007E7452"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When moving to option B or C equity concerns become more </w:t>
      </w:r>
      <w:r w:rsidR="00CA0643" w:rsidRPr="001D46D2">
        <w:rPr>
          <w:rFonts w:ascii="Arial" w:hAnsi="Arial" w:cs="Arial"/>
          <w:sz w:val="20"/>
          <w:szCs w:val="20"/>
          <w:highlight w:val="white"/>
          <w:lang w:eastAsia="en-AU"/>
        </w:rPr>
        <w:t>noticeable</w:t>
      </w:r>
      <w:r w:rsidRPr="001D46D2">
        <w:rPr>
          <w:rFonts w:ascii="Arial" w:hAnsi="Arial" w:cs="Arial"/>
          <w:sz w:val="20"/>
          <w:szCs w:val="20"/>
          <w:highlight w:val="white"/>
          <w:lang w:eastAsia="en-AU"/>
        </w:rPr>
        <w:t xml:space="preserve"> as those who travel further distances will face higher charges. However, the lower registration charge in these options removes the cash flow constraint that a large fixed registration presents to operators, especially smaller operators, who make up the majority of the trucking industry. </w:t>
      </w:r>
    </w:p>
    <w:p w:rsidR="007E7452" w:rsidRPr="001D46D2" w:rsidRDefault="007E7452"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examined the theoretical most efficient level is </w:t>
      </w:r>
      <w:r w:rsidR="00690B97">
        <w:rPr>
          <w:rFonts w:ascii="Arial" w:hAnsi="Arial" w:cs="Arial"/>
          <w:sz w:val="20"/>
          <w:szCs w:val="20"/>
          <w:highlight w:val="white"/>
          <w:lang w:eastAsia="en-AU"/>
        </w:rPr>
        <w:t xml:space="preserve">for </w:t>
      </w:r>
      <w:r w:rsidRPr="001D46D2">
        <w:rPr>
          <w:rFonts w:ascii="Arial" w:hAnsi="Arial" w:cs="Arial"/>
          <w:sz w:val="20"/>
          <w:szCs w:val="20"/>
          <w:highlight w:val="white"/>
          <w:lang w:eastAsia="en-AU"/>
        </w:rPr>
        <w:t>the RUC. Taking the governmental resources available to meet the deadlines of implementing revenue redistribution agreements</w:t>
      </w:r>
      <w:r w:rsidR="007A69E2" w:rsidRPr="001D46D2">
        <w:rPr>
          <w:rFonts w:ascii="Arial" w:hAnsi="Arial" w:cs="Arial"/>
          <w:sz w:val="20"/>
          <w:szCs w:val="20"/>
          <w:highlight w:val="white"/>
          <w:lang w:eastAsia="en-AU"/>
        </w:rPr>
        <w:t xml:space="preserve"> into account</w:t>
      </w:r>
      <w:r w:rsidRPr="001D46D2">
        <w:rPr>
          <w:rFonts w:ascii="Arial" w:hAnsi="Arial" w:cs="Arial"/>
          <w:sz w:val="20"/>
          <w:szCs w:val="20"/>
          <w:highlight w:val="white"/>
          <w:lang w:eastAsia="en-AU"/>
        </w:rPr>
        <w:t xml:space="preserve">, the NTC indicate that option B would be the most theoretically efficient level to set the RUC and registration split. </w:t>
      </w:r>
      <w:r w:rsidR="007A69E2" w:rsidRPr="001D46D2">
        <w:rPr>
          <w:rFonts w:ascii="Arial" w:hAnsi="Arial" w:cs="Arial"/>
          <w:sz w:val="20"/>
          <w:szCs w:val="20"/>
          <w:highlight w:val="white"/>
          <w:lang w:eastAsia="en-AU"/>
        </w:rPr>
        <w:t>The ATA concurs with this</w:t>
      </w:r>
      <w:r w:rsidR="00A95D43" w:rsidRPr="001D46D2">
        <w:rPr>
          <w:rFonts w:ascii="Arial" w:hAnsi="Arial" w:cs="Arial"/>
          <w:sz w:val="20"/>
          <w:szCs w:val="20"/>
          <w:highlight w:val="white"/>
          <w:lang w:eastAsia="en-AU"/>
        </w:rPr>
        <w:t xml:space="preserve"> assessment.</w:t>
      </w:r>
      <w:r w:rsidR="00344D53" w:rsidRPr="001D46D2">
        <w:rPr>
          <w:rFonts w:ascii="Arial" w:hAnsi="Arial" w:cs="Arial"/>
          <w:sz w:val="20"/>
          <w:szCs w:val="20"/>
          <w:highlight w:val="white"/>
          <w:lang w:eastAsia="en-AU"/>
        </w:rPr>
        <w:t xml:space="preserve"> However, being concerned about sharing revenue between governments </w:t>
      </w:r>
      <w:r w:rsidR="007A69E2" w:rsidRPr="001D46D2">
        <w:rPr>
          <w:rFonts w:ascii="Arial" w:hAnsi="Arial" w:cs="Arial"/>
          <w:sz w:val="20"/>
          <w:szCs w:val="20"/>
          <w:highlight w:val="white"/>
          <w:lang w:eastAsia="en-AU"/>
        </w:rPr>
        <w:t xml:space="preserve">is really </w:t>
      </w:r>
      <w:r w:rsidR="00344D53" w:rsidRPr="001D46D2">
        <w:rPr>
          <w:rFonts w:ascii="Arial" w:hAnsi="Arial" w:cs="Arial"/>
          <w:sz w:val="20"/>
          <w:szCs w:val="20"/>
          <w:highlight w:val="white"/>
          <w:lang w:eastAsia="en-AU"/>
        </w:rPr>
        <w:t xml:space="preserve">outside </w:t>
      </w:r>
      <w:r w:rsidR="007A69E2" w:rsidRPr="001D46D2">
        <w:rPr>
          <w:rFonts w:ascii="Arial" w:hAnsi="Arial" w:cs="Arial"/>
          <w:sz w:val="20"/>
          <w:szCs w:val="20"/>
          <w:highlight w:val="white"/>
          <w:lang w:eastAsia="en-AU"/>
        </w:rPr>
        <w:t xml:space="preserve">of </w:t>
      </w:r>
      <w:r w:rsidR="00344D53" w:rsidRPr="001D46D2">
        <w:rPr>
          <w:rFonts w:ascii="Arial" w:hAnsi="Arial" w:cs="Arial"/>
          <w:sz w:val="20"/>
          <w:szCs w:val="20"/>
          <w:highlight w:val="white"/>
          <w:lang w:eastAsia="en-AU"/>
        </w:rPr>
        <w:t xml:space="preserve">the true PayGo model’s parameters. That said, we do understand governments’ interest in this space and believe there should be a revenue distribution model that will support increased reliance on variable charges as the recovery mechanism and </w:t>
      </w:r>
      <w:r w:rsidR="007A69E2" w:rsidRPr="001D46D2">
        <w:rPr>
          <w:rFonts w:ascii="Arial" w:hAnsi="Arial" w:cs="Arial"/>
          <w:sz w:val="20"/>
          <w:szCs w:val="20"/>
          <w:highlight w:val="white"/>
          <w:lang w:eastAsia="en-AU"/>
        </w:rPr>
        <w:t xml:space="preserve">a </w:t>
      </w:r>
      <w:r w:rsidR="00344D53" w:rsidRPr="001D46D2">
        <w:rPr>
          <w:rFonts w:ascii="Arial" w:hAnsi="Arial" w:cs="Arial"/>
          <w:sz w:val="20"/>
          <w:szCs w:val="20"/>
          <w:highlight w:val="white"/>
          <w:lang w:eastAsia="en-AU"/>
        </w:rPr>
        <w:t>better position for the future.</w:t>
      </w:r>
    </w:p>
    <w:p w:rsidR="00884122" w:rsidRPr="001D46D2" w:rsidRDefault="00D4482D" w:rsidP="00CE77AE">
      <w:pPr>
        <w:autoSpaceDE w:val="0"/>
        <w:autoSpaceDN w:val="0"/>
        <w:adjustRightInd w:val="0"/>
        <w:spacing w:after="200" w:line="276" w:lineRule="auto"/>
        <w:rPr>
          <w:rFonts w:ascii="Arial" w:hAnsi="Arial" w:cs="Arial"/>
          <w:i/>
          <w:sz w:val="20"/>
          <w:szCs w:val="20"/>
          <w:highlight w:val="white"/>
          <w:lang w:eastAsia="en-AU"/>
        </w:rPr>
      </w:pPr>
      <w:r w:rsidRPr="001D46D2">
        <w:rPr>
          <w:rFonts w:ascii="Arial" w:hAnsi="Arial" w:cs="Arial"/>
          <w:i/>
          <w:sz w:val="20"/>
          <w:szCs w:val="20"/>
          <w:highlight w:val="white"/>
          <w:lang w:eastAsia="en-AU"/>
        </w:rPr>
        <w:t>Option C</w:t>
      </w:r>
    </w:p>
    <w:p w:rsidR="00D4482D" w:rsidRPr="001D46D2" w:rsidRDefault="00D4482D"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This option has the highest possible share of RUC to registration</w:t>
      </w:r>
      <w:r w:rsidR="002374B4" w:rsidRPr="001D46D2">
        <w:rPr>
          <w:rFonts w:ascii="Arial" w:hAnsi="Arial" w:cs="Arial"/>
          <w:sz w:val="20"/>
          <w:szCs w:val="20"/>
          <w:highlight w:val="white"/>
          <w:lang w:eastAsia="en-AU"/>
        </w:rPr>
        <w:t xml:space="preserve"> the NTC can reasonably be allowed</w:t>
      </w:r>
      <w:r w:rsidR="007A69E2" w:rsidRPr="001D46D2">
        <w:rPr>
          <w:rFonts w:ascii="Arial" w:hAnsi="Arial" w:cs="Arial"/>
          <w:sz w:val="20"/>
          <w:szCs w:val="20"/>
          <w:highlight w:val="white"/>
          <w:lang w:eastAsia="en-AU"/>
        </w:rPr>
        <w:t xml:space="preserve"> to recommend</w:t>
      </w:r>
      <w:r w:rsidR="002374B4" w:rsidRPr="001D46D2">
        <w:rPr>
          <w:rFonts w:ascii="Arial" w:hAnsi="Arial" w:cs="Arial"/>
          <w:sz w:val="20"/>
          <w:szCs w:val="20"/>
          <w:highlight w:val="white"/>
          <w:lang w:eastAsia="en-AU"/>
        </w:rPr>
        <w:t xml:space="preserve">, given future annual adjustments and the </w:t>
      </w:r>
      <w:r w:rsidR="00A95D43" w:rsidRPr="001D46D2">
        <w:rPr>
          <w:rFonts w:ascii="Arial" w:hAnsi="Arial" w:cs="Arial"/>
          <w:sz w:val="20"/>
          <w:szCs w:val="20"/>
          <w:highlight w:val="white"/>
          <w:lang w:eastAsia="en-AU"/>
        </w:rPr>
        <w:t xml:space="preserve">remote </w:t>
      </w:r>
      <w:r w:rsidR="002374B4" w:rsidRPr="001D46D2">
        <w:rPr>
          <w:rFonts w:ascii="Arial" w:hAnsi="Arial" w:cs="Arial"/>
          <w:sz w:val="20"/>
          <w:szCs w:val="20"/>
          <w:highlight w:val="white"/>
          <w:lang w:eastAsia="en-AU"/>
        </w:rPr>
        <w:t>possibility of a carbon tax</w:t>
      </w:r>
      <w:r w:rsidR="00A95D43" w:rsidRPr="001D46D2">
        <w:rPr>
          <w:rFonts w:ascii="Arial" w:hAnsi="Arial" w:cs="Arial"/>
          <w:sz w:val="20"/>
          <w:szCs w:val="20"/>
          <w:highlight w:val="white"/>
          <w:lang w:eastAsia="en-AU"/>
        </w:rPr>
        <w:t xml:space="preserve"> being imposed</w:t>
      </w:r>
      <w:r w:rsidR="002374B4" w:rsidRPr="001D46D2">
        <w:rPr>
          <w:rFonts w:ascii="Arial" w:hAnsi="Arial" w:cs="Arial"/>
          <w:sz w:val="20"/>
          <w:szCs w:val="20"/>
          <w:highlight w:val="white"/>
          <w:lang w:eastAsia="en-AU"/>
        </w:rPr>
        <w:t xml:space="preserve">.  Under this option 79.2% of revenue is recovered via the RUC while 20.8% is recovered through registration charges. </w:t>
      </w:r>
    </w:p>
    <w:p w:rsidR="00A21469" w:rsidRPr="00AB48CD" w:rsidRDefault="002374B4" w:rsidP="00AB48CD">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Under this option, more classes of particular vehicles do not on average recover their </w:t>
      </w:r>
      <w:proofErr w:type="gramStart"/>
      <w:r w:rsidRPr="001D46D2">
        <w:rPr>
          <w:rFonts w:ascii="Arial" w:hAnsi="Arial" w:cs="Arial"/>
          <w:sz w:val="20"/>
          <w:szCs w:val="20"/>
          <w:highlight w:val="white"/>
          <w:lang w:eastAsia="en-AU"/>
        </w:rPr>
        <w:t>attributable</w:t>
      </w:r>
      <w:proofErr w:type="gramEnd"/>
      <w:r w:rsidRPr="001D46D2">
        <w:rPr>
          <w:rFonts w:ascii="Arial" w:hAnsi="Arial" w:cs="Arial"/>
          <w:sz w:val="20"/>
          <w:szCs w:val="20"/>
          <w:highlight w:val="white"/>
          <w:lang w:eastAsia="en-AU"/>
        </w:rPr>
        <w:t xml:space="preserve"> costs to a more significant extent than under option B. </w:t>
      </w:r>
      <w:r w:rsidR="00A95D43" w:rsidRPr="001D46D2">
        <w:rPr>
          <w:rFonts w:ascii="Arial" w:hAnsi="Arial" w:cs="Arial"/>
          <w:sz w:val="20"/>
          <w:szCs w:val="20"/>
          <w:highlight w:val="white"/>
          <w:lang w:eastAsia="en-AU"/>
        </w:rPr>
        <w:t xml:space="preserve">However, the ATA fuel based model adopted two fuel tariffs to better model fuel usage by different vehicle types to improve the fit. The ATA asks NTC to consider this option in future determinations. </w:t>
      </w:r>
    </w:p>
    <w:p w:rsidR="000B6CAC" w:rsidRPr="001D46D2" w:rsidRDefault="00E2768A" w:rsidP="00E2768A">
      <w:pPr>
        <w:pStyle w:val="Heading1"/>
        <w:numPr>
          <w:ilvl w:val="1"/>
          <w:numId w:val="15"/>
        </w:numPr>
        <w:jc w:val="both"/>
        <w:rPr>
          <w:szCs w:val="20"/>
        </w:rPr>
      </w:pPr>
      <w:r w:rsidRPr="001D46D2">
        <w:rPr>
          <w:szCs w:val="20"/>
        </w:rPr>
        <w:t xml:space="preserve"> </w:t>
      </w:r>
      <w:bookmarkStart w:id="77" w:name="_Toc377542681"/>
      <w:r w:rsidR="00D4482D" w:rsidRPr="001D46D2">
        <w:rPr>
          <w:szCs w:val="20"/>
        </w:rPr>
        <w:t>Transitional arrangements</w:t>
      </w:r>
      <w:bookmarkEnd w:id="77"/>
    </w:p>
    <w:p w:rsidR="00042746" w:rsidRPr="001D46D2" w:rsidRDefault="00042746" w:rsidP="00042746">
      <w:pPr>
        <w:rPr>
          <w:rFonts w:ascii="Arial" w:hAnsi="Arial" w:cs="Arial"/>
        </w:rPr>
      </w:pPr>
    </w:p>
    <w:p w:rsidR="00042746" w:rsidRPr="001D46D2" w:rsidRDefault="00042746" w:rsidP="000B6CAC">
      <w:pPr>
        <w:autoSpaceDE w:val="0"/>
        <w:autoSpaceDN w:val="0"/>
        <w:adjustRightInd w:val="0"/>
        <w:spacing w:after="200" w:line="276" w:lineRule="auto"/>
        <w:rPr>
          <w:rFonts w:ascii="Arial" w:hAnsi="Arial" w:cs="Arial"/>
          <w:i/>
          <w:sz w:val="20"/>
          <w:szCs w:val="20"/>
          <w:highlight w:val="white"/>
          <w:lang w:eastAsia="en-AU"/>
        </w:rPr>
      </w:pPr>
      <w:r w:rsidRPr="001D46D2">
        <w:rPr>
          <w:rFonts w:ascii="Arial" w:hAnsi="Arial" w:cs="Arial"/>
          <w:i/>
          <w:sz w:val="20"/>
          <w:szCs w:val="20"/>
          <w:highlight w:val="white"/>
          <w:lang w:eastAsia="en-AU"/>
        </w:rPr>
        <w:t xml:space="preserve">RUC redistribution </w:t>
      </w:r>
    </w:p>
    <w:p w:rsidR="000B6CAC" w:rsidRPr="001D46D2" w:rsidRDefault="000B6CAC" w:rsidP="00CA0643">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Under options B and C money collected from the RUC will have to be redistributed to the states. The ATA supports the use of a formula, similar to Federal Interstate Registration scheme (FIRS), which is based on a freight task survey and works very effectively. Updating the freight task movements from the most recent SMVU, would reflect heavy vehicle movements accurately. Similarly, a revenue distribution based on a</w:t>
      </w:r>
      <w:r w:rsidR="00690B97">
        <w:rPr>
          <w:rFonts w:ascii="Arial" w:hAnsi="Arial" w:cs="Arial"/>
          <w:sz w:val="20"/>
          <w:szCs w:val="20"/>
          <w:highlight w:val="white"/>
          <w:lang w:eastAsia="en-AU"/>
        </w:rPr>
        <w:t xml:space="preserve"> network level of service, focu</w:t>
      </w:r>
      <w:r w:rsidRPr="001D46D2">
        <w:rPr>
          <w:rFonts w:ascii="Arial" w:hAnsi="Arial" w:cs="Arial"/>
          <w:sz w:val="20"/>
          <w:szCs w:val="20"/>
          <w:highlight w:val="white"/>
          <w:lang w:eastAsia="en-AU"/>
        </w:rPr>
        <w:t xml:space="preserve">sing on heavy vehicle access levels to concentrate investment and define the service standard of infrastructure for </w:t>
      </w:r>
      <w:r w:rsidR="00690B97" w:rsidRPr="001D46D2">
        <w:rPr>
          <w:rFonts w:ascii="Arial" w:hAnsi="Arial" w:cs="Arial"/>
          <w:sz w:val="20"/>
          <w:szCs w:val="20"/>
          <w:highlight w:val="white"/>
          <w:lang w:eastAsia="en-AU"/>
        </w:rPr>
        <w:t>users</w:t>
      </w:r>
      <w:r w:rsidR="00690B97">
        <w:rPr>
          <w:rFonts w:ascii="Arial" w:hAnsi="Arial" w:cs="Arial"/>
          <w:sz w:val="20"/>
          <w:szCs w:val="20"/>
          <w:highlight w:val="white"/>
          <w:lang w:eastAsia="en-AU"/>
        </w:rPr>
        <w:t>,</w:t>
      </w:r>
      <w:r w:rsidR="00690B97" w:rsidRPr="001D46D2">
        <w:rPr>
          <w:rFonts w:ascii="Arial" w:hAnsi="Arial" w:cs="Arial"/>
          <w:sz w:val="20"/>
          <w:szCs w:val="20"/>
          <w:highlight w:val="white"/>
          <w:lang w:eastAsia="en-AU"/>
        </w:rPr>
        <w:t xml:space="preserve"> would</w:t>
      </w:r>
      <w:r w:rsidRPr="001D46D2">
        <w:rPr>
          <w:rFonts w:ascii="Arial" w:hAnsi="Arial" w:cs="Arial"/>
          <w:sz w:val="20"/>
          <w:szCs w:val="20"/>
          <w:highlight w:val="white"/>
          <w:lang w:eastAsia="en-AU"/>
        </w:rPr>
        <w:t xml:space="preserve"> also be preferable. </w:t>
      </w:r>
    </w:p>
    <w:p w:rsidR="000B6CAC" w:rsidRDefault="000B6CAC" w:rsidP="00CA0643">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Under options that would require redistribution the NTC have suggested calculating the estimate rece</w:t>
      </w:r>
      <w:r w:rsidR="007A69E2" w:rsidRPr="001D46D2">
        <w:rPr>
          <w:rFonts w:ascii="Arial" w:hAnsi="Arial" w:cs="Arial"/>
          <w:sz w:val="20"/>
          <w:szCs w:val="20"/>
          <w:highlight w:val="white"/>
          <w:lang w:eastAsia="en-AU"/>
        </w:rPr>
        <w:t xml:space="preserve">ipts </w:t>
      </w:r>
      <w:r w:rsidRPr="001D46D2">
        <w:rPr>
          <w:rFonts w:ascii="Arial" w:hAnsi="Arial" w:cs="Arial"/>
          <w:sz w:val="20"/>
          <w:szCs w:val="20"/>
          <w:highlight w:val="white"/>
          <w:lang w:eastAsia="en-AU"/>
        </w:rPr>
        <w:t xml:space="preserve">states would have received under option A and redistributing the revenue in order to make sure that there is fiscal neutrality between the states.  </w:t>
      </w:r>
    </w:p>
    <w:p w:rsidR="00A7345B" w:rsidRPr="001D46D2" w:rsidRDefault="00A7345B" w:rsidP="00CA0643">
      <w:pPr>
        <w:autoSpaceDE w:val="0"/>
        <w:autoSpaceDN w:val="0"/>
        <w:adjustRightInd w:val="0"/>
        <w:spacing w:after="200" w:line="276" w:lineRule="auto"/>
        <w:rPr>
          <w:rFonts w:ascii="Arial" w:hAnsi="Arial" w:cs="Arial"/>
          <w:i/>
          <w:sz w:val="20"/>
          <w:szCs w:val="20"/>
          <w:highlight w:val="white"/>
          <w:lang w:eastAsia="en-AU"/>
        </w:rPr>
      </w:pPr>
      <w:r w:rsidRPr="001D46D2">
        <w:rPr>
          <w:rFonts w:ascii="Arial" w:hAnsi="Arial" w:cs="Arial"/>
          <w:i/>
          <w:sz w:val="20"/>
          <w:szCs w:val="20"/>
          <w:highlight w:val="white"/>
          <w:lang w:eastAsia="en-AU"/>
        </w:rPr>
        <w:lastRenderedPageBreak/>
        <w:t>Three year transition</w:t>
      </w:r>
    </w:p>
    <w:p w:rsidR="00336254" w:rsidRPr="001D46D2" w:rsidRDefault="00085055"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On 15 November the Standing Council on Transport and Infrastructure (</w:t>
      </w:r>
      <w:r w:rsidR="00336254" w:rsidRPr="001D46D2">
        <w:rPr>
          <w:rFonts w:ascii="Arial" w:hAnsi="Arial" w:cs="Arial"/>
          <w:sz w:val="20"/>
          <w:szCs w:val="20"/>
          <w:highlight w:val="white"/>
          <w:lang w:eastAsia="en-AU"/>
        </w:rPr>
        <w:t>SCOTI</w:t>
      </w:r>
      <w:r w:rsidRPr="001D46D2">
        <w:rPr>
          <w:rFonts w:ascii="Arial" w:hAnsi="Arial" w:cs="Arial"/>
          <w:sz w:val="20"/>
          <w:szCs w:val="20"/>
          <w:highlight w:val="white"/>
          <w:lang w:eastAsia="en-AU"/>
        </w:rPr>
        <w:t>)</w:t>
      </w:r>
      <w:r w:rsidR="00690B97">
        <w:rPr>
          <w:rFonts w:ascii="Arial" w:hAnsi="Arial" w:cs="Arial"/>
          <w:sz w:val="20"/>
          <w:szCs w:val="20"/>
          <w:highlight w:val="white"/>
          <w:lang w:eastAsia="en-AU"/>
        </w:rPr>
        <w:t xml:space="preserve"> requested the NTC </w:t>
      </w:r>
      <w:r w:rsidR="00336254" w:rsidRPr="001D46D2">
        <w:rPr>
          <w:rFonts w:ascii="Arial" w:hAnsi="Arial" w:cs="Arial"/>
          <w:sz w:val="20"/>
          <w:szCs w:val="20"/>
          <w:highlight w:val="white"/>
          <w:lang w:eastAsia="en-AU"/>
        </w:rPr>
        <w:t xml:space="preserve">investigate and provide advice on possible phased implementation arrangements as part of the determination. </w:t>
      </w:r>
    </w:p>
    <w:p w:rsidR="00085055" w:rsidRPr="001D46D2" w:rsidRDefault="00085055"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The NTC indicate that moving from the current charging system to option A will result in a total net decrease in registration revenue received by states and terri</w:t>
      </w:r>
      <w:r w:rsidR="00597798" w:rsidRPr="001D46D2">
        <w:rPr>
          <w:rFonts w:ascii="Arial" w:hAnsi="Arial" w:cs="Arial"/>
          <w:sz w:val="20"/>
          <w:szCs w:val="20"/>
          <w:highlight w:val="white"/>
          <w:lang w:eastAsia="en-AU"/>
        </w:rPr>
        <w:t>tories of $144.9</w:t>
      </w:r>
      <w:r w:rsidRPr="001D46D2">
        <w:rPr>
          <w:rFonts w:ascii="Arial" w:hAnsi="Arial" w:cs="Arial"/>
          <w:sz w:val="20"/>
          <w:szCs w:val="20"/>
          <w:highlight w:val="white"/>
          <w:lang w:eastAsia="en-AU"/>
        </w:rPr>
        <w:t xml:space="preserve"> million.  </w:t>
      </w:r>
    </w:p>
    <w:p w:rsidR="00B30061" w:rsidRPr="001D46D2" w:rsidRDefault="00B30061"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have provided advice on a 3 year transition to implementing option </w:t>
      </w:r>
      <w:proofErr w:type="gramStart"/>
      <w:r w:rsidRPr="001D46D2">
        <w:rPr>
          <w:rFonts w:ascii="Arial" w:hAnsi="Arial" w:cs="Arial"/>
          <w:sz w:val="20"/>
          <w:szCs w:val="20"/>
          <w:highlight w:val="white"/>
          <w:lang w:eastAsia="en-AU"/>
        </w:rPr>
        <w:t>A</w:t>
      </w:r>
      <w:proofErr w:type="gramEnd"/>
      <w:r w:rsidRPr="001D46D2">
        <w:rPr>
          <w:rFonts w:ascii="Arial" w:hAnsi="Arial" w:cs="Arial"/>
          <w:sz w:val="20"/>
          <w:szCs w:val="20"/>
          <w:highlight w:val="white"/>
          <w:lang w:eastAsia="en-AU"/>
        </w:rPr>
        <w:t xml:space="preserve"> using liner interpolation. The target charges to be implemented in year 3 are re-calculated throughout the process to ensure a smooth transition and avoid any over-or-under-recovery at the end of the transition process. </w:t>
      </w:r>
    </w:p>
    <w:p w:rsidR="00042746" w:rsidRPr="001D46D2" w:rsidRDefault="00042746"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 </w:t>
      </w:r>
      <w:r w:rsidR="00B30061" w:rsidRPr="001D46D2">
        <w:rPr>
          <w:rFonts w:ascii="Arial" w:hAnsi="Arial" w:cs="Arial"/>
          <w:sz w:val="20"/>
          <w:szCs w:val="20"/>
          <w:highlight w:val="white"/>
          <w:lang w:eastAsia="en-AU"/>
        </w:rPr>
        <w:t xml:space="preserve">While the NTC </w:t>
      </w:r>
      <w:r w:rsidRPr="001D46D2">
        <w:rPr>
          <w:rFonts w:ascii="Arial" w:hAnsi="Arial" w:cs="Arial"/>
          <w:sz w:val="20"/>
          <w:szCs w:val="20"/>
          <w:highlight w:val="white"/>
          <w:lang w:eastAsia="en-AU"/>
        </w:rPr>
        <w:t>methodology</w:t>
      </w:r>
      <w:r w:rsidR="00B30061" w:rsidRPr="001D46D2">
        <w:rPr>
          <w:rFonts w:ascii="Arial" w:hAnsi="Arial" w:cs="Arial"/>
          <w:sz w:val="20"/>
          <w:szCs w:val="20"/>
          <w:highlight w:val="white"/>
          <w:lang w:eastAsia="en-AU"/>
        </w:rPr>
        <w:t xml:space="preserve"> is sound</w:t>
      </w:r>
      <w:r w:rsidRPr="001D46D2">
        <w:rPr>
          <w:rFonts w:ascii="Arial" w:hAnsi="Arial" w:cs="Arial"/>
          <w:sz w:val="20"/>
          <w:szCs w:val="20"/>
          <w:highlight w:val="white"/>
          <w:lang w:eastAsia="en-AU"/>
        </w:rPr>
        <w:t>,</w:t>
      </w:r>
      <w:r w:rsidR="00B30061" w:rsidRPr="001D46D2">
        <w:rPr>
          <w:rFonts w:ascii="Arial" w:hAnsi="Arial" w:cs="Arial"/>
          <w:sz w:val="20"/>
          <w:szCs w:val="20"/>
          <w:highlight w:val="white"/>
          <w:lang w:eastAsia="en-AU"/>
        </w:rPr>
        <w:t xml:space="preserve"> the principle and impact of this slow transition</w:t>
      </w:r>
      <w:r w:rsidRPr="001D46D2">
        <w:rPr>
          <w:rFonts w:ascii="Arial" w:hAnsi="Arial" w:cs="Arial"/>
          <w:sz w:val="20"/>
          <w:szCs w:val="20"/>
          <w:highlight w:val="white"/>
          <w:lang w:eastAsia="en-AU"/>
        </w:rPr>
        <w:t>,</w:t>
      </w:r>
      <w:r w:rsidR="00690B97">
        <w:rPr>
          <w:rFonts w:ascii="Arial" w:hAnsi="Arial" w:cs="Arial"/>
          <w:sz w:val="20"/>
          <w:szCs w:val="20"/>
          <w:highlight w:val="white"/>
          <w:lang w:eastAsia="en-AU"/>
        </w:rPr>
        <w:t xml:space="preserve"> </w:t>
      </w:r>
      <w:r w:rsidR="00B30061" w:rsidRPr="001D46D2">
        <w:rPr>
          <w:rFonts w:ascii="Arial" w:hAnsi="Arial" w:cs="Arial"/>
          <w:sz w:val="20"/>
          <w:szCs w:val="20"/>
          <w:highlight w:val="white"/>
          <w:lang w:eastAsia="en-AU"/>
        </w:rPr>
        <w:t>even just correcting internal flaws in the PayGo model</w:t>
      </w:r>
      <w:r w:rsidRPr="001D46D2">
        <w:rPr>
          <w:rFonts w:ascii="Arial" w:hAnsi="Arial" w:cs="Arial"/>
          <w:sz w:val="20"/>
          <w:szCs w:val="20"/>
          <w:highlight w:val="white"/>
          <w:lang w:eastAsia="en-AU"/>
        </w:rPr>
        <w:t xml:space="preserve">, would be seen as states accepting the over-taxing of the heavy vehicle industry in order to please state Treasury’s forward projections of revenue. </w:t>
      </w:r>
    </w:p>
    <w:p w:rsidR="002A0424" w:rsidRPr="001D46D2" w:rsidRDefault="00042746"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States</w:t>
      </w:r>
      <w:r w:rsidR="00B30061" w:rsidRPr="001D46D2">
        <w:rPr>
          <w:rFonts w:ascii="Arial" w:hAnsi="Arial" w:cs="Arial"/>
          <w:sz w:val="20"/>
          <w:szCs w:val="20"/>
          <w:highlight w:val="white"/>
          <w:lang w:eastAsia="en-AU"/>
        </w:rPr>
        <w:t xml:space="preserve"> have been receiving excessive registration revenue since 2007 and have not been under the </w:t>
      </w:r>
      <w:r w:rsidR="00896DE6" w:rsidRPr="001D46D2">
        <w:rPr>
          <w:rFonts w:ascii="Arial" w:hAnsi="Arial" w:cs="Arial"/>
          <w:sz w:val="20"/>
          <w:szCs w:val="20"/>
          <w:highlight w:val="white"/>
          <w:lang w:eastAsia="en-AU"/>
        </w:rPr>
        <w:t xml:space="preserve">standard </w:t>
      </w:r>
      <w:r w:rsidR="007A69E2" w:rsidRPr="001D46D2">
        <w:rPr>
          <w:rFonts w:ascii="Arial" w:hAnsi="Arial" w:cs="Arial"/>
          <w:sz w:val="20"/>
          <w:szCs w:val="20"/>
          <w:highlight w:val="white"/>
          <w:lang w:eastAsia="en-AU"/>
        </w:rPr>
        <w:t xml:space="preserve">audit </w:t>
      </w:r>
      <w:r w:rsidR="00B30061" w:rsidRPr="001D46D2">
        <w:rPr>
          <w:rFonts w:ascii="Arial" w:hAnsi="Arial" w:cs="Arial"/>
          <w:sz w:val="20"/>
          <w:szCs w:val="20"/>
          <w:highlight w:val="white"/>
          <w:lang w:eastAsia="en-AU"/>
        </w:rPr>
        <w:t>appr</w:t>
      </w:r>
      <w:r w:rsidRPr="001D46D2">
        <w:rPr>
          <w:rFonts w:ascii="Arial" w:hAnsi="Arial" w:cs="Arial"/>
          <w:sz w:val="20"/>
          <w:szCs w:val="20"/>
          <w:highlight w:val="white"/>
          <w:lang w:eastAsia="en-AU"/>
        </w:rPr>
        <w:t xml:space="preserve">oaches of many other utilities.  The industry </w:t>
      </w:r>
      <w:r w:rsidR="00B30061" w:rsidRPr="001D46D2">
        <w:rPr>
          <w:rFonts w:ascii="Arial" w:hAnsi="Arial" w:cs="Arial"/>
          <w:sz w:val="20"/>
          <w:szCs w:val="20"/>
          <w:highlight w:val="white"/>
          <w:lang w:eastAsia="en-AU"/>
        </w:rPr>
        <w:t xml:space="preserve">have been wearing year on year increases in the registration and RUC charges with little confidence that </w:t>
      </w:r>
      <w:r w:rsidR="000630C3" w:rsidRPr="001D46D2">
        <w:rPr>
          <w:rFonts w:ascii="Arial" w:hAnsi="Arial" w:cs="Arial"/>
          <w:sz w:val="20"/>
          <w:szCs w:val="20"/>
          <w:highlight w:val="white"/>
          <w:lang w:eastAsia="en-AU"/>
        </w:rPr>
        <w:t xml:space="preserve">money is going to </w:t>
      </w:r>
      <w:r w:rsidR="00896DE6" w:rsidRPr="001D46D2">
        <w:rPr>
          <w:rFonts w:ascii="Arial" w:hAnsi="Arial" w:cs="Arial"/>
          <w:sz w:val="20"/>
          <w:szCs w:val="20"/>
          <w:highlight w:val="white"/>
          <w:lang w:eastAsia="en-AU"/>
        </w:rPr>
        <w:t xml:space="preserve">be </w:t>
      </w:r>
      <w:r w:rsidR="000630C3" w:rsidRPr="001D46D2">
        <w:rPr>
          <w:rFonts w:ascii="Arial" w:hAnsi="Arial" w:cs="Arial"/>
          <w:sz w:val="20"/>
          <w:szCs w:val="20"/>
          <w:highlight w:val="white"/>
          <w:lang w:eastAsia="en-AU"/>
        </w:rPr>
        <w:t xml:space="preserve">spent efficiently or on heavy vehicle related maintenance and provision. </w:t>
      </w:r>
    </w:p>
    <w:p w:rsidR="00B30061" w:rsidRDefault="00085055"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It should </w:t>
      </w:r>
      <w:r w:rsidR="000630C3" w:rsidRPr="001D46D2">
        <w:rPr>
          <w:rFonts w:ascii="Arial" w:hAnsi="Arial" w:cs="Arial"/>
          <w:sz w:val="20"/>
          <w:szCs w:val="20"/>
          <w:highlight w:val="white"/>
          <w:lang w:eastAsia="en-AU"/>
        </w:rPr>
        <w:t>be</w:t>
      </w:r>
      <w:r w:rsidRPr="001D46D2">
        <w:rPr>
          <w:rFonts w:ascii="Arial" w:hAnsi="Arial" w:cs="Arial"/>
          <w:sz w:val="20"/>
          <w:szCs w:val="20"/>
          <w:highlight w:val="white"/>
          <w:lang w:eastAsia="en-AU"/>
        </w:rPr>
        <w:t xml:space="preserve"> noted that last year the </w:t>
      </w:r>
      <w:r w:rsidR="000630C3" w:rsidRPr="001D46D2">
        <w:rPr>
          <w:rFonts w:ascii="Arial" w:hAnsi="Arial" w:cs="Arial"/>
          <w:sz w:val="20"/>
          <w:szCs w:val="20"/>
          <w:highlight w:val="white"/>
          <w:lang w:eastAsia="en-AU"/>
        </w:rPr>
        <w:t>industry</w:t>
      </w:r>
      <w:r w:rsidRPr="001D46D2">
        <w:rPr>
          <w:rFonts w:ascii="Arial" w:hAnsi="Arial" w:cs="Arial"/>
          <w:sz w:val="20"/>
          <w:szCs w:val="20"/>
          <w:highlight w:val="white"/>
          <w:lang w:eastAsia="en-AU"/>
        </w:rPr>
        <w:t xml:space="preserve"> was hit with an extra $144</w:t>
      </w:r>
      <w:r w:rsidR="00597798" w:rsidRPr="001D46D2">
        <w:rPr>
          <w:rFonts w:ascii="Arial" w:hAnsi="Arial" w:cs="Arial"/>
          <w:sz w:val="20"/>
          <w:szCs w:val="20"/>
          <w:highlight w:val="white"/>
          <w:lang w:eastAsia="en-AU"/>
        </w:rPr>
        <w:t xml:space="preserve"> million</w:t>
      </w:r>
      <w:r w:rsidRPr="001D46D2">
        <w:rPr>
          <w:rFonts w:ascii="Arial" w:hAnsi="Arial" w:cs="Arial"/>
          <w:sz w:val="20"/>
          <w:szCs w:val="20"/>
          <w:highlight w:val="white"/>
          <w:lang w:eastAsia="en-AU"/>
        </w:rPr>
        <w:t xml:space="preserve"> in reference to flood </w:t>
      </w:r>
      <w:r w:rsidR="000630C3" w:rsidRPr="001D46D2">
        <w:rPr>
          <w:rFonts w:ascii="Arial" w:hAnsi="Arial" w:cs="Arial"/>
          <w:sz w:val="20"/>
          <w:szCs w:val="20"/>
          <w:highlight w:val="white"/>
          <w:lang w:eastAsia="en-AU"/>
        </w:rPr>
        <w:t>monies</w:t>
      </w:r>
      <w:r w:rsidRPr="001D46D2">
        <w:rPr>
          <w:rFonts w:ascii="Arial" w:hAnsi="Arial" w:cs="Arial"/>
          <w:sz w:val="20"/>
          <w:szCs w:val="20"/>
          <w:highlight w:val="white"/>
          <w:lang w:eastAsia="en-AU"/>
        </w:rPr>
        <w:t xml:space="preserve"> that were put back into the </w:t>
      </w:r>
      <w:r w:rsidR="00042746" w:rsidRPr="001D46D2">
        <w:rPr>
          <w:rFonts w:ascii="Arial" w:hAnsi="Arial" w:cs="Arial"/>
          <w:sz w:val="20"/>
          <w:szCs w:val="20"/>
          <w:highlight w:val="white"/>
          <w:lang w:eastAsia="en-AU"/>
        </w:rPr>
        <w:t>PayGo</w:t>
      </w:r>
      <w:r w:rsidRPr="001D46D2">
        <w:rPr>
          <w:rFonts w:ascii="Arial" w:hAnsi="Arial" w:cs="Arial"/>
          <w:sz w:val="20"/>
          <w:szCs w:val="20"/>
          <w:highlight w:val="white"/>
          <w:lang w:eastAsia="en-AU"/>
        </w:rPr>
        <w:t xml:space="preserve"> model. </w:t>
      </w:r>
      <w:r w:rsidR="00042746" w:rsidRPr="001D46D2">
        <w:rPr>
          <w:rFonts w:ascii="Arial" w:hAnsi="Arial" w:cs="Arial"/>
          <w:sz w:val="20"/>
          <w:szCs w:val="20"/>
          <w:highlight w:val="white"/>
          <w:lang w:eastAsia="en-AU"/>
        </w:rPr>
        <w:t>Heavy vehicle charges on vehicle components increase</w:t>
      </w:r>
      <w:r w:rsidR="00690B97">
        <w:rPr>
          <w:rFonts w:ascii="Arial" w:hAnsi="Arial" w:cs="Arial"/>
          <w:sz w:val="20"/>
          <w:szCs w:val="20"/>
          <w:highlight w:val="white"/>
          <w:lang w:eastAsia="en-AU"/>
        </w:rPr>
        <w:t>d</w:t>
      </w:r>
      <w:r w:rsidR="00042746" w:rsidRPr="001D46D2">
        <w:rPr>
          <w:rFonts w:ascii="Arial" w:hAnsi="Arial" w:cs="Arial"/>
          <w:sz w:val="20"/>
          <w:szCs w:val="20"/>
          <w:highlight w:val="white"/>
          <w:lang w:eastAsia="en-AU"/>
        </w:rPr>
        <w:t xml:space="preserve"> between 6 and 32% in 2012-2013, and the RUC increased by 10%. </w:t>
      </w:r>
      <w:r w:rsidRPr="001D46D2">
        <w:rPr>
          <w:rFonts w:ascii="Arial" w:hAnsi="Arial" w:cs="Arial"/>
          <w:sz w:val="20"/>
          <w:szCs w:val="20"/>
          <w:highlight w:val="white"/>
          <w:lang w:eastAsia="en-AU"/>
        </w:rPr>
        <w:t xml:space="preserve">The industry did not have a transition in those costs being </w:t>
      </w:r>
      <w:r w:rsidR="00042746" w:rsidRPr="001D46D2">
        <w:rPr>
          <w:rFonts w:ascii="Arial" w:hAnsi="Arial" w:cs="Arial"/>
          <w:sz w:val="20"/>
          <w:szCs w:val="20"/>
          <w:highlight w:val="white"/>
          <w:lang w:eastAsia="en-AU"/>
        </w:rPr>
        <w:t>included;</w:t>
      </w:r>
      <w:r w:rsidR="00B30061" w:rsidRPr="001D46D2">
        <w:rPr>
          <w:rFonts w:ascii="Arial" w:hAnsi="Arial" w:cs="Arial"/>
          <w:sz w:val="20"/>
          <w:szCs w:val="20"/>
          <w:highlight w:val="white"/>
          <w:lang w:eastAsia="en-AU"/>
        </w:rPr>
        <w:t xml:space="preserve"> the </w:t>
      </w:r>
      <w:r w:rsidR="000630C3" w:rsidRPr="001D46D2">
        <w:rPr>
          <w:rFonts w:ascii="Arial" w:hAnsi="Arial" w:cs="Arial"/>
          <w:sz w:val="20"/>
          <w:szCs w:val="20"/>
          <w:highlight w:val="white"/>
          <w:lang w:eastAsia="en-AU"/>
        </w:rPr>
        <w:t>industry</w:t>
      </w:r>
      <w:r w:rsidR="00B30061" w:rsidRPr="001D46D2">
        <w:rPr>
          <w:rFonts w:ascii="Arial" w:hAnsi="Arial" w:cs="Arial"/>
          <w:sz w:val="20"/>
          <w:szCs w:val="20"/>
          <w:highlight w:val="white"/>
          <w:lang w:eastAsia="en-AU"/>
        </w:rPr>
        <w:t xml:space="preserve"> </w:t>
      </w:r>
      <w:r w:rsidR="00042746" w:rsidRPr="001D46D2">
        <w:rPr>
          <w:rFonts w:ascii="Arial" w:hAnsi="Arial" w:cs="Arial"/>
          <w:sz w:val="20"/>
          <w:szCs w:val="20"/>
          <w:highlight w:val="white"/>
          <w:lang w:eastAsia="en-AU"/>
        </w:rPr>
        <w:t>is paying and has</w:t>
      </w:r>
      <w:r w:rsidR="00690B97">
        <w:rPr>
          <w:rFonts w:ascii="Arial" w:hAnsi="Arial" w:cs="Arial"/>
          <w:sz w:val="20"/>
          <w:szCs w:val="20"/>
          <w:highlight w:val="white"/>
          <w:lang w:eastAsia="en-AU"/>
        </w:rPr>
        <w:t xml:space="preserve"> had</w:t>
      </w:r>
      <w:r w:rsidR="00042746" w:rsidRPr="001D46D2">
        <w:rPr>
          <w:rFonts w:ascii="Arial" w:hAnsi="Arial" w:cs="Arial"/>
          <w:sz w:val="20"/>
          <w:szCs w:val="20"/>
          <w:highlight w:val="white"/>
          <w:lang w:eastAsia="en-AU"/>
        </w:rPr>
        <w:t xml:space="preserve"> to wear that cost</w:t>
      </w:r>
      <w:r w:rsidR="00B30061" w:rsidRPr="001D46D2">
        <w:rPr>
          <w:rFonts w:ascii="Arial" w:hAnsi="Arial" w:cs="Arial"/>
          <w:sz w:val="20"/>
          <w:szCs w:val="20"/>
          <w:highlight w:val="white"/>
          <w:lang w:eastAsia="en-AU"/>
        </w:rPr>
        <w:t xml:space="preserve">. </w:t>
      </w:r>
    </w:p>
    <w:p w:rsidR="004347C9" w:rsidRPr="001D46D2" w:rsidRDefault="007F33DA"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NTC have provided estimates of the effect the three year transition would have on industry. Over the three years the industry would pay an additional $200 million tax that it should not be paying for. </w:t>
      </w:r>
      <w:r w:rsidR="004347C9">
        <w:rPr>
          <w:rFonts w:ascii="Arial" w:hAnsi="Arial" w:cs="Arial"/>
          <w:sz w:val="20"/>
          <w:szCs w:val="20"/>
          <w:highlight w:val="white"/>
          <w:lang w:eastAsia="en-AU"/>
        </w:rPr>
        <w:t>There has been historic over-recovery in the PayGo model, as noted above</w:t>
      </w:r>
      <w:r w:rsidR="005A6A2D">
        <w:rPr>
          <w:rFonts w:ascii="Arial" w:hAnsi="Arial" w:cs="Arial"/>
          <w:sz w:val="20"/>
          <w:szCs w:val="20"/>
          <w:highlight w:val="white"/>
          <w:lang w:eastAsia="en-AU"/>
        </w:rPr>
        <w:t>,</w:t>
      </w:r>
      <w:r w:rsidR="004347C9">
        <w:rPr>
          <w:rFonts w:ascii="Arial" w:hAnsi="Arial" w:cs="Arial"/>
          <w:sz w:val="20"/>
          <w:szCs w:val="20"/>
          <w:highlight w:val="white"/>
          <w:lang w:eastAsia="en-AU"/>
        </w:rPr>
        <w:t xml:space="preserve"> from 2013-2014 $800 million was over-recovered</w:t>
      </w:r>
      <w:r>
        <w:rPr>
          <w:rFonts w:ascii="Arial" w:hAnsi="Arial" w:cs="Arial"/>
          <w:sz w:val="20"/>
          <w:szCs w:val="20"/>
          <w:highlight w:val="white"/>
          <w:lang w:eastAsia="en-AU"/>
        </w:rPr>
        <w:t xml:space="preserve"> from industry</w:t>
      </w:r>
      <w:r w:rsidR="004347C9">
        <w:rPr>
          <w:rFonts w:ascii="Arial" w:hAnsi="Arial" w:cs="Arial"/>
          <w:sz w:val="20"/>
          <w:szCs w:val="20"/>
          <w:highlight w:val="white"/>
          <w:lang w:eastAsia="en-AU"/>
        </w:rPr>
        <w:t>.</w:t>
      </w:r>
      <w:r>
        <w:rPr>
          <w:rFonts w:ascii="Arial" w:hAnsi="Arial" w:cs="Arial"/>
          <w:sz w:val="20"/>
          <w:szCs w:val="20"/>
          <w:highlight w:val="white"/>
          <w:lang w:eastAsia="en-AU"/>
        </w:rPr>
        <w:t xml:space="preserve"> </w:t>
      </w:r>
      <w:r w:rsidR="005A6A2D">
        <w:rPr>
          <w:rFonts w:ascii="Arial" w:hAnsi="Arial" w:cs="Arial"/>
          <w:sz w:val="20"/>
          <w:szCs w:val="20"/>
          <w:highlight w:val="white"/>
          <w:lang w:eastAsia="en-AU"/>
        </w:rPr>
        <w:t>A</w:t>
      </w:r>
      <w:r w:rsidR="00AC3266">
        <w:rPr>
          <w:rFonts w:ascii="Arial" w:hAnsi="Arial" w:cs="Arial"/>
          <w:sz w:val="20"/>
          <w:szCs w:val="20"/>
          <w:highlight w:val="white"/>
          <w:lang w:eastAsia="en-AU"/>
        </w:rPr>
        <w:t xml:space="preserve">ny </w:t>
      </w:r>
      <w:r w:rsidR="00B634C6">
        <w:rPr>
          <w:rFonts w:ascii="Arial" w:hAnsi="Arial" w:cs="Arial"/>
          <w:sz w:val="20"/>
          <w:szCs w:val="20"/>
          <w:highlight w:val="white"/>
          <w:lang w:eastAsia="en-AU"/>
        </w:rPr>
        <w:t xml:space="preserve">short fall </w:t>
      </w:r>
      <w:r w:rsidR="005A6A2D">
        <w:rPr>
          <w:rFonts w:ascii="Arial" w:hAnsi="Arial" w:cs="Arial"/>
          <w:sz w:val="20"/>
          <w:szCs w:val="20"/>
          <w:highlight w:val="white"/>
          <w:lang w:eastAsia="en-AU"/>
        </w:rPr>
        <w:t xml:space="preserve">in projected revenue for governments </w:t>
      </w:r>
      <w:r w:rsidR="00AC3266">
        <w:rPr>
          <w:rFonts w:ascii="Arial" w:hAnsi="Arial" w:cs="Arial"/>
          <w:sz w:val="20"/>
          <w:szCs w:val="20"/>
          <w:highlight w:val="white"/>
          <w:lang w:eastAsia="en-AU"/>
        </w:rPr>
        <w:t xml:space="preserve">is </w:t>
      </w:r>
      <w:r>
        <w:rPr>
          <w:rFonts w:ascii="Arial" w:hAnsi="Arial" w:cs="Arial"/>
          <w:sz w:val="20"/>
          <w:szCs w:val="20"/>
          <w:highlight w:val="white"/>
          <w:lang w:eastAsia="en-AU"/>
        </w:rPr>
        <w:t xml:space="preserve">a relatively small dip in </w:t>
      </w:r>
      <w:r w:rsidR="005A6A2D">
        <w:rPr>
          <w:rFonts w:ascii="Arial" w:hAnsi="Arial" w:cs="Arial"/>
          <w:sz w:val="20"/>
          <w:szCs w:val="20"/>
          <w:highlight w:val="white"/>
          <w:lang w:eastAsia="en-AU"/>
        </w:rPr>
        <w:t xml:space="preserve">their </w:t>
      </w:r>
      <w:r w:rsidR="00DA1C78">
        <w:rPr>
          <w:rFonts w:ascii="Arial" w:hAnsi="Arial" w:cs="Arial"/>
          <w:sz w:val="20"/>
          <w:szCs w:val="20"/>
          <w:highlight w:val="white"/>
          <w:lang w:eastAsia="en-AU"/>
        </w:rPr>
        <w:t>revenues;</w:t>
      </w:r>
      <w:r w:rsidR="00B634C6">
        <w:rPr>
          <w:rFonts w:ascii="Arial" w:hAnsi="Arial" w:cs="Arial"/>
          <w:sz w:val="20"/>
          <w:szCs w:val="20"/>
          <w:highlight w:val="white"/>
          <w:lang w:eastAsia="en-AU"/>
        </w:rPr>
        <w:t xml:space="preserve"> </w:t>
      </w:r>
      <w:r w:rsidR="005A6A2D">
        <w:rPr>
          <w:rFonts w:ascii="Arial" w:hAnsi="Arial" w:cs="Arial"/>
          <w:sz w:val="20"/>
          <w:szCs w:val="20"/>
          <w:highlight w:val="white"/>
          <w:lang w:eastAsia="en-AU"/>
        </w:rPr>
        <w:t>h</w:t>
      </w:r>
      <w:r w:rsidR="00B634C6">
        <w:rPr>
          <w:rFonts w:ascii="Arial" w:hAnsi="Arial" w:cs="Arial"/>
          <w:sz w:val="20"/>
          <w:szCs w:val="20"/>
          <w:highlight w:val="white"/>
          <w:lang w:eastAsia="en-AU"/>
        </w:rPr>
        <w:t>owever, $200</w:t>
      </w:r>
      <w:r w:rsidR="002F1339">
        <w:rPr>
          <w:rFonts w:ascii="Arial" w:hAnsi="Arial" w:cs="Arial"/>
          <w:sz w:val="20"/>
          <w:szCs w:val="20"/>
          <w:highlight w:val="white"/>
          <w:lang w:eastAsia="en-AU"/>
        </w:rPr>
        <w:t xml:space="preserve"> </w:t>
      </w:r>
      <w:r w:rsidR="00B634C6">
        <w:rPr>
          <w:rFonts w:ascii="Arial" w:hAnsi="Arial" w:cs="Arial"/>
          <w:sz w:val="20"/>
          <w:szCs w:val="20"/>
          <w:highlight w:val="white"/>
          <w:lang w:eastAsia="en-AU"/>
        </w:rPr>
        <w:t>m</w:t>
      </w:r>
      <w:r w:rsidR="002F1339">
        <w:rPr>
          <w:rFonts w:ascii="Arial" w:hAnsi="Arial" w:cs="Arial"/>
          <w:sz w:val="20"/>
          <w:szCs w:val="20"/>
          <w:highlight w:val="white"/>
          <w:lang w:eastAsia="en-AU"/>
        </w:rPr>
        <w:t>illion</w:t>
      </w:r>
      <w:r w:rsidR="00B634C6">
        <w:rPr>
          <w:rFonts w:ascii="Arial" w:hAnsi="Arial" w:cs="Arial"/>
          <w:sz w:val="20"/>
          <w:szCs w:val="20"/>
          <w:highlight w:val="white"/>
          <w:lang w:eastAsia="en-AU"/>
        </w:rPr>
        <w:t xml:space="preserve"> </w:t>
      </w:r>
      <w:r>
        <w:rPr>
          <w:rFonts w:ascii="Arial" w:hAnsi="Arial" w:cs="Arial"/>
          <w:sz w:val="20"/>
          <w:szCs w:val="20"/>
          <w:highlight w:val="white"/>
          <w:lang w:eastAsia="en-AU"/>
        </w:rPr>
        <w:t xml:space="preserve">is a </w:t>
      </w:r>
      <w:r w:rsidR="00414BA7">
        <w:rPr>
          <w:rFonts w:ascii="Arial" w:hAnsi="Arial" w:cs="Arial"/>
          <w:sz w:val="20"/>
          <w:szCs w:val="20"/>
          <w:highlight w:val="white"/>
          <w:lang w:eastAsia="en-AU"/>
        </w:rPr>
        <w:t xml:space="preserve">punitive </w:t>
      </w:r>
      <w:r>
        <w:rPr>
          <w:rFonts w:ascii="Arial" w:hAnsi="Arial" w:cs="Arial"/>
          <w:sz w:val="20"/>
          <w:szCs w:val="20"/>
          <w:highlight w:val="white"/>
          <w:lang w:eastAsia="en-AU"/>
        </w:rPr>
        <w:t xml:space="preserve">amount </w:t>
      </w:r>
      <w:r w:rsidR="00B634C6">
        <w:rPr>
          <w:rFonts w:ascii="Arial" w:hAnsi="Arial" w:cs="Arial"/>
          <w:sz w:val="20"/>
          <w:szCs w:val="20"/>
          <w:highlight w:val="white"/>
          <w:lang w:eastAsia="en-AU"/>
        </w:rPr>
        <w:t>for</w:t>
      </w:r>
      <w:r>
        <w:rPr>
          <w:rFonts w:ascii="Arial" w:hAnsi="Arial" w:cs="Arial"/>
          <w:sz w:val="20"/>
          <w:szCs w:val="20"/>
          <w:highlight w:val="white"/>
          <w:lang w:eastAsia="en-AU"/>
        </w:rPr>
        <w:t xml:space="preserve"> the trucking industry</w:t>
      </w:r>
      <w:r w:rsidR="00B634C6">
        <w:rPr>
          <w:rFonts w:ascii="Arial" w:hAnsi="Arial" w:cs="Arial"/>
          <w:sz w:val="20"/>
          <w:szCs w:val="20"/>
          <w:highlight w:val="white"/>
          <w:lang w:eastAsia="en-AU"/>
        </w:rPr>
        <w:t xml:space="preserve"> to pay</w:t>
      </w:r>
      <w:r>
        <w:rPr>
          <w:rFonts w:ascii="Arial" w:hAnsi="Arial" w:cs="Arial"/>
          <w:sz w:val="20"/>
          <w:szCs w:val="20"/>
          <w:highlight w:val="white"/>
          <w:lang w:eastAsia="en-AU"/>
        </w:rPr>
        <w:t xml:space="preserve">. </w:t>
      </w:r>
    </w:p>
    <w:p w:rsidR="00597798" w:rsidRPr="001D46D2" w:rsidRDefault="00042746"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Arguably</w:t>
      </w:r>
      <w:r w:rsidR="00A7345B" w:rsidRPr="001D46D2">
        <w:rPr>
          <w:rFonts w:ascii="Arial" w:hAnsi="Arial" w:cs="Arial"/>
          <w:sz w:val="20"/>
          <w:szCs w:val="20"/>
          <w:highlight w:val="white"/>
          <w:lang w:eastAsia="en-AU"/>
        </w:rPr>
        <w:t>,</w:t>
      </w:r>
      <w:r w:rsidR="00597798" w:rsidRPr="001D46D2">
        <w:rPr>
          <w:rFonts w:ascii="Arial" w:hAnsi="Arial" w:cs="Arial"/>
          <w:sz w:val="20"/>
          <w:szCs w:val="20"/>
          <w:highlight w:val="white"/>
          <w:lang w:eastAsia="en-AU"/>
        </w:rPr>
        <w:t xml:space="preserve"> since 2007 the </w:t>
      </w:r>
      <w:r w:rsidRPr="001D46D2">
        <w:rPr>
          <w:rFonts w:ascii="Arial" w:hAnsi="Arial" w:cs="Arial"/>
          <w:sz w:val="20"/>
          <w:szCs w:val="20"/>
          <w:highlight w:val="white"/>
          <w:lang w:eastAsia="en-AU"/>
        </w:rPr>
        <w:t>industry</w:t>
      </w:r>
      <w:r w:rsidR="00597798" w:rsidRPr="001D46D2">
        <w:rPr>
          <w:rFonts w:ascii="Arial" w:hAnsi="Arial" w:cs="Arial"/>
          <w:sz w:val="20"/>
          <w:szCs w:val="20"/>
          <w:highlight w:val="white"/>
          <w:lang w:eastAsia="en-AU"/>
        </w:rPr>
        <w:t xml:space="preserve"> has been overcharged purely because of the model</w:t>
      </w:r>
      <w:r w:rsidR="00690B97">
        <w:rPr>
          <w:rFonts w:ascii="Arial" w:hAnsi="Arial" w:cs="Arial"/>
          <w:sz w:val="20"/>
          <w:szCs w:val="20"/>
          <w:highlight w:val="white"/>
          <w:lang w:eastAsia="en-AU"/>
        </w:rPr>
        <w:t>’</w:t>
      </w:r>
      <w:r w:rsidR="00597798" w:rsidRPr="001D46D2">
        <w:rPr>
          <w:rFonts w:ascii="Arial" w:hAnsi="Arial" w:cs="Arial"/>
          <w:sz w:val="20"/>
          <w:szCs w:val="20"/>
          <w:highlight w:val="white"/>
          <w:lang w:eastAsia="en-AU"/>
        </w:rPr>
        <w:t>s mid-point population. If states and the commonwealth agree to a three year transition it is</w:t>
      </w:r>
      <w:r w:rsidRPr="001D46D2">
        <w:rPr>
          <w:rFonts w:ascii="Arial" w:hAnsi="Arial" w:cs="Arial"/>
          <w:sz w:val="20"/>
          <w:szCs w:val="20"/>
          <w:highlight w:val="white"/>
          <w:lang w:eastAsia="en-AU"/>
        </w:rPr>
        <w:t xml:space="preserve"> </w:t>
      </w:r>
      <w:proofErr w:type="gramStart"/>
      <w:r w:rsidR="006754D2" w:rsidRPr="001D46D2">
        <w:rPr>
          <w:rFonts w:ascii="Arial" w:hAnsi="Arial" w:cs="Arial"/>
          <w:sz w:val="20"/>
          <w:szCs w:val="20"/>
          <w:highlight w:val="white"/>
          <w:lang w:eastAsia="en-AU"/>
        </w:rPr>
        <w:t xml:space="preserve">an </w:t>
      </w:r>
      <w:r w:rsidRPr="001D46D2">
        <w:rPr>
          <w:rFonts w:ascii="Arial" w:hAnsi="Arial" w:cs="Arial"/>
          <w:sz w:val="20"/>
          <w:szCs w:val="20"/>
          <w:highlight w:val="white"/>
          <w:lang w:eastAsia="en-AU"/>
        </w:rPr>
        <w:t>unashamed</w:t>
      </w:r>
      <w:proofErr w:type="gramEnd"/>
      <w:r w:rsidR="00597798" w:rsidRPr="001D46D2">
        <w:rPr>
          <w:rFonts w:ascii="Arial" w:hAnsi="Arial" w:cs="Arial"/>
          <w:sz w:val="20"/>
          <w:szCs w:val="20"/>
          <w:highlight w:val="white"/>
          <w:lang w:eastAsia="en-AU"/>
        </w:rPr>
        <w:t xml:space="preserve"> money grab from the </w:t>
      </w:r>
      <w:r w:rsidRPr="001D46D2">
        <w:rPr>
          <w:rFonts w:ascii="Arial" w:hAnsi="Arial" w:cs="Arial"/>
          <w:sz w:val="20"/>
          <w:szCs w:val="20"/>
          <w:highlight w:val="white"/>
          <w:lang w:eastAsia="en-AU"/>
        </w:rPr>
        <w:t xml:space="preserve">heavy vehicle industry in </w:t>
      </w:r>
      <w:r w:rsidR="00597798" w:rsidRPr="001D46D2">
        <w:rPr>
          <w:rFonts w:ascii="Arial" w:hAnsi="Arial" w:cs="Arial"/>
          <w:sz w:val="20"/>
          <w:szCs w:val="20"/>
          <w:highlight w:val="white"/>
          <w:lang w:eastAsia="en-AU"/>
        </w:rPr>
        <w:t>moving to a system that unfairly favour</w:t>
      </w:r>
      <w:r w:rsidRPr="001D46D2">
        <w:rPr>
          <w:rFonts w:ascii="Arial" w:hAnsi="Arial" w:cs="Arial"/>
          <w:sz w:val="20"/>
          <w:szCs w:val="20"/>
          <w:highlight w:val="white"/>
          <w:lang w:eastAsia="en-AU"/>
        </w:rPr>
        <w:t>s</w:t>
      </w:r>
      <w:r w:rsidR="00597798" w:rsidRPr="001D46D2">
        <w:rPr>
          <w:rFonts w:ascii="Arial" w:hAnsi="Arial" w:cs="Arial"/>
          <w:sz w:val="20"/>
          <w:szCs w:val="20"/>
          <w:highlight w:val="white"/>
          <w:lang w:eastAsia="en-AU"/>
        </w:rPr>
        <w:t xml:space="preserve"> state </w:t>
      </w:r>
      <w:r w:rsidRPr="001D46D2">
        <w:rPr>
          <w:rFonts w:ascii="Arial" w:hAnsi="Arial" w:cs="Arial"/>
          <w:sz w:val="20"/>
          <w:szCs w:val="20"/>
          <w:highlight w:val="white"/>
          <w:lang w:eastAsia="en-AU"/>
        </w:rPr>
        <w:t>treasuries</w:t>
      </w:r>
      <w:r w:rsidR="00597798" w:rsidRPr="001D46D2">
        <w:rPr>
          <w:rFonts w:ascii="Arial" w:hAnsi="Arial" w:cs="Arial"/>
          <w:sz w:val="20"/>
          <w:szCs w:val="20"/>
          <w:highlight w:val="white"/>
          <w:lang w:eastAsia="en-AU"/>
        </w:rPr>
        <w:t xml:space="preserve"> to a fair system of charges for industry to pay for its road impact costs. </w:t>
      </w:r>
    </w:p>
    <w:p w:rsidR="000630C3" w:rsidRPr="001D46D2" w:rsidRDefault="00A7345B"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It was discussed at length that moving to a higher RUC share component option would require an intergovernmental agreement (IGA) between the states and the Commonwealth. </w:t>
      </w:r>
      <w:r w:rsidR="00853B8B" w:rsidRPr="001D46D2">
        <w:rPr>
          <w:rFonts w:ascii="Arial" w:hAnsi="Arial" w:cs="Arial"/>
          <w:sz w:val="20"/>
          <w:szCs w:val="20"/>
          <w:highlight w:val="white"/>
          <w:lang w:eastAsia="en-AU"/>
        </w:rPr>
        <w:t>While</w:t>
      </w:r>
      <w:r w:rsidR="000630C3" w:rsidRPr="001D46D2">
        <w:rPr>
          <w:rFonts w:ascii="Arial" w:hAnsi="Arial" w:cs="Arial"/>
          <w:sz w:val="20"/>
          <w:szCs w:val="20"/>
          <w:highlight w:val="white"/>
          <w:lang w:eastAsia="en-AU"/>
        </w:rPr>
        <w:t xml:space="preserve"> the states have provided indicative timeframes for when a</w:t>
      </w:r>
      <w:r w:rsidR="00853B8B" w:rsidRPr="001D46D2">
        <w:rPr>
          <w:rFonts w:ascii="Arial" w:hAnsi="Arial" w:cs="Arial"/>
          <w:sz w:val="20"/>
          <w:szCs w:val="20"/>
          <w:highlight w:val="white"/>
          <w:lang w:eastAsia="en-AU"/>
        </w:rPr>
        <w:t>n</w:t>
      </w:r>
      <w:r w:rsidR="000630C3" w:rsidRPr="001D46D2">
        <w:rPr>
          <w:rFonts w:ascii="Arial" w:hAnsi="Arial" w:cs="Arial"/>
          <w:sz w:val="20"/>
          <w:szCs w:val="20"/>
          <w:highlight w:val="white"/>
          <w:lang w:eastAsia="en-AU"/>
        </w:rPr>
        <w:t xml:space="preserve"> IGA would be settled</w:t>
      </w:r>
      <w:r w:rsidR="00690B97">
        <w:rPr>
          <w:rFonts w:ascii="Arial" w:hAnsi="Arial" w:cs="Arial"/>
          <w:sz w:val="20"/>
          <w:szCs w:val="20"/>
          <w:highlight w:val="white"/>
          <w:lang w:eastAsia="en-AU"/>
        </w:rPr>
        <w:t>,</w:t>
      </w:r>
      <w:r w:rsidR="000630C3" w:rsidRPr="001D46D2">
        <w:rPr>
          <w:rFonts w:ascii="Arial" w:hAnsi="Arial" w:cs="Arial"/>
          <w:sz w:val="20"/>
          <w:szCs w:val="20"/>
          <w:highlight w:val="white"/>
          <w:lang w:eastAsia="en-AU"/>
        </w:rPr>
        <w:t xml:space="preserve"> </w:t>
      </w:r>
      <w:r w:rsidR="00853B8B" w:rsidRPr="001D46D2">
        <w:rPr>
          <w:rFonts w:ascii="Arial" w:hAnsi="Arial" w:cs="Arial"/>
          <w:sz w:val="20"/>
          <w:szCs w:val="20"/>
          <w:highlight w:val="white"/>
          <w:lang w:eastAsia="en-AU"/>
        </w:rPr>
        <w:t>the timeframes are simply too long</w:t>
      </w:r>
      <w:r w:rsidR="000630C3" w:rsidRPr="001D46D2">
        <w:rPr>
          <w:rFonts w:ascii="Arial" w:hAnsi="Arial" w:cs="Arial"/>
          <w:sz w:val="20"/>
          <w:szCs w:val="20"/>
          <w:highlight w:val="white"/>
          <w:lang w:eastAsia="en-AU"/>
        </w:rPr>
        <w:t xml:space="preserve">. </w:t>
      </w:r>
    </w:p>
    <w:p w:rsidR="00DA62A2" w:rsidRPr="001D46D2" w:rsidRDefault="00DA62A2" w:rsidP="00DA62A2">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We must remember this is a 7 year averaging model, where total expenditure will be recovered in the 7 years. Any hysteria that appears from the government about cuts in revenue, which they should not have automatically expected</w:t>
      </w:r>
      <w:r w:rsidR="006754D2" w:rsidRPr="001D46D2">
        <w:rPr>
          <w:rFonts w:ascii="Arial" w:hAnsi="Arial" w:cs="Arial"/>
          <w:sz w:val="20"/>
          <w:szCs w:val="20"/>
          <w:highlight w:val="white"/>
          <w:lang w:eastAsia="en-AU"/>
        </w:rPr>
        <w:t xml:space="preserve"> would be disappointing</w:t>
      </w:r>
      <w:r w:rsidRPr="001D46D2">
        <w:rPr>
          <w:rFonts w:ascii="Arial" w:hAnsi="Arial" w:cs="Arial"/>
          <w:sz w:val="20"/>
          <w:szCs w:val="20"/>
          <w:highlight w:val="white"/>
          <w:lang w:eastAsia="en-AU"/>
        </w:rPr>
        <w:t xml:space="preserve">. </w:t>
      </w:r>
      <w:r w:rsidR="00D55E90" w:rsidRPr="001D46D2">
        <w:rPr>
          <w:rFonts w:ascii="Arial" w:hAnsi="Arial" w:cs="Arial"/>
          <w:sz w:val="20"/>
          <w:szCs w:val="20"/>
          <w:highlight w:val="white"/>
          <w:lang w:eastAsia="en-AU"/>
        </w:rPr>
        <w:t xml:space="preserve">We also note </w:t>
      </w:r>
      <w:r w:rsidR="006754D2" w:rsidRPr="001D46D2">
        <w:rPr>
          <w:rFonts w:ascii="Arial" w:hAnsi="Arial" w:cs="Arial"/>
          <w:sz w:val="20"/>
          <w:szCs w:val="20"/>
          <w:highlight w:val="white"/>
          <w:lang w:eastAsia="en-AU"/>
        </w:rPr>
        <w:t>a road has</w:t>
      </w:r>
      <w:r w:rsidR="00D55E90" w:rsidRPr="001D46D2">
        <w:rPr>
          <w:rFonts w:ascii="Arial" w:hAnsi="Arial" w:cs="Arial"/>
          <w:sz w:val="20"/>
          <w:szCs w:val="20"/>
          <w:highlight w:val="white"/>
          <w:lang w:eastAsia="en-AU"/>
        </w:rPr>
        <w:t xml:space="preserve"> </w:t>
      </w:r>
      <w:r w:rsidR="006754D2" w:rsidRPr="001D46D2">
        <w:rPr>
          <w:rFonts w:ascii="Arial" w:hAnsi="Arial" w:cs="Arial"/>
          <w:sz w:val="20"/>
          <w:szCs w:val="20"/>
          <w:highlight w:val="white"/>
          <w:lang w:eastAsia="en-AU"/>
        </w:rPr>
        <w:t xml:space="preserve">a </w:t>
      </w:r>
      <w:r w:rsidR="00D55E90" w:rsidRPr="001D46D2">
        <w:rPr>
          <w:rFonts w:ascii="Arial" w:hAnsi="Arial" w:cs="Arial"/>
          <w:sz w:val="20"/>
          <w:szCs w:val="20"/>
          <w:highlight w:val="white"/>
          <w:lang w:eastAsia="en-AU"/>
        </w:rPr>
        <w:t>d</w:t>
      </w:r>
      <w:r w:rsidR="006754D2" w:rsidRPr="001D46D2">
        <w:rPr>
          <w:rFonts w:ascii="Arial" w:hAnsi="Arial" w:cs="Arial"/>
          <w:sz w:val="20"/>
          <w:szCs w:val="20"/>
          <w:highlight w:val="white"/>
          <w:lang w:eastAsia="en-AU"/>
        </w:rPr>
        <w:t>esign life that is</w:t>
      </w:r>
      <w:r w:rsidR="00D55E90" w:rsidRPr="001D46D2">
        <w:rPr>
          <w:rFonts w:ascii="Arial" w:hAnsi="Arial" w:cs="Arial"/>
          <w:sz w:val="20"/>
          <w:szCs w:val="20"/>
          <w:highlight w:val="white"/>
          <w:lang w:eastAsia="en-AU"/>
        </w:rPr>
        <w:t xml:space="preserve"> a multiple of the 7 year pay-back period current</w:t>
      </w:r>
      <w:r w:rsidR="006754D2" w:rsidRPr="001D46D2">
        <w:rPr>
          <w:rFonts w:ascii="Arial" w:hAnsi="Arial" w:cs="Arial"/>
          <w:sz w:val="20"/>
          <w:szCs w:val="20"/>
          <w:highlight w:val="white"/>
          <w:lang w:eastAsia="en-AU"/>
        </w:rPr>
        <w:t>ly</w:t>
      </w:r>
      <w:r w:rsidR="00D55E90" w:rsidRPr="001D46D2">
        <w:rPr>
          <w:rFonts w:ascii="Arial" w:hAnsi="Arial" w:cs="Arial"/>
          <w:sz w:val="20"/>
          <w:szCs w:val="20"/>
          <w:highlight w:val="white"/>
          <w:lang w:eastAsia="en-AU"/>
        </w:rPr>
        <w:t xml:space="preserve"> achieved</w:t>
      </w:r>
      <w:r w:rsidR="006754D2" w:rsidRPr="001D46D2">
        <w:rPr>
          <w:rFonts w:ascii="Arial" w:hAnsi="Arial" w:cs="Arial"/>
          <w:sz w:val="20"/>
          <w:szCs w:val="20"/>
          <w:highlight w:val="white"/>
          <w:lang w:eastAsia="en-AU"/>
        </w:rPr>
        <w:t xml:space="preserve"> in PayGo. In</w:t>
      </w:r>
      <w:r w:rsidR="00D55E90" w:rsidRPr="001D46D2">
        <w:rPr>
          <w:rFonts w:ascii="Arial" w:hAnsi="Arial" w:cs="Arial"/>
          <w:sz w:val="20"/>
          <w:szCs w:val="20"/>
          <w:highlight w:val="white"/>
          <w:lang w:eastAsia="en-AU"/>
        </w:rPr>
        <w:t xml:space="preserve"> more traditional economic models</w:t>
      </w:r>
      <w:r w:rsidR="00690B97">
        <w:rPr>
          <w:rFonts w:ascii="Arial" w:hAnsi="Arial" w:cs="Arial"/>
          <w:sz w:val="20"/>
          <w:szCs w:val="20"/>
          <w:highlight w:val="white"/>
          <w:lang w:eastAsia="en-AU"/>
        </w:rPr>
        <w:t>,</w:t>
      </w:r>
      <w:r w:rsidR="00D55E90" w:rsidRPr="001D46D2">
        <w:rPr>
          <w:rFonts w:ascii="Arial" w:hAnsi="Arial" w:cs="Arial"/>
          <w:sz w:val="20"/>
          <w:szCs w:val="20"/>
          <w:highlight w:val="white"/>
          <w:lang w:eastAsia="en-AU"/>
        </w:rPr>
        <w:t xml:space="preserve"> capital would either be excluded or recovered over the whole</w:t>
      </w:r>
      <w:r w:rsidR="006754D2" w:rsidRPr="001D46D2">
        <w:rPr>
          <w:rFonts w:ascii="Arial" w:hAnsi="Arial" w:cs="Arial"/>
          <w:sz w:val="20"/>
          <w:szCs w:val="20"/>
          <w:highlight w:val="white"/>
          <w:lang w:eastAsia="en-AU"/>
        </w:rPr>
        <w:t xml:space="preserve"> life of the asset</w:t>
      </w:r>
      <w:r w:rsidR="00D55E90" w:rsidRPr="001D46D2">
        <w:rPr>
          <w:rFonts w:ascii="Arial" w:hAnsi="Arial" w:cs="Arial"/>
          <w:sz w:val="20"/>
          <w:szCs w:val="20"/>
          <w:highlight w:val="white"/>
          <w:lang w:eastAsia="en-AU"/>
        </w:rPr>
        <w:t xml:space="preserve">. </w:t>
      </w:r>
    </w:p>
    <w:p w:rsidR="000630C3" w:rsidRPr="001D46D2" w:rsidRDefault="0023296D" w:rsidP="0023296D">
      <w:pPr>
        <w:pStyle w:val="Heading1"/>
        <w:numPr>
          <w:ilvl w:val="1"/>
          <w:numId w:val="15"/>
        </w:numPr>
        <w:jc w:val="both"/>
        <w:rPr>
          <w:szCs w:val="20"/>
        </w:rPr>
      </w:pPr>
      <w:r w:rsidRPr="001D46D2">
        <w:rPr>
          <w:szCs w:val="20"/>
        </w:rPr>
        <w:t xml:space="preserve"> </w:t>
      </w:r>
      <w:bookmarkStart w:id="78" w:name="_Toc377542682"/>
      <w:r w:rsidR="00597798" w:rsidRPr="001D46D2">
        <w:rPr>
          <w:szCs w:val="20"/>
        </w:rPr>
        <w:t>ATA proposed transition</w:t>
      </w:r>
      <w:bookmarkEnd w:id="78"/>
    </w:p>
    <w:p w:rsidR="0023296D" w:rsidRPr="001D46D2" w:rsidRDefault="0023296D" w:rsidP="0023296D">
      <w:pPr>
        <w:rPr>
          <w:rFonts w:ascii="Arial" w:hAnsi="Arial" w:cs="Arial"/>
        </w:rPr>
      </w:pPr>
    </w:p>
    <w:p w:rsidR="006F6450" w:rsidRPr="001D46D2" w:rsidRDefault="00597798"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The ATA strongly believes the technical changes to the PayGo model</w:t>
      </w:r>
      <w:r w:rsidR="00690B97">
        <w:rPr>
          <w:rFonts w:ascii="Arial" w:hAnsi="Arial" w:cs="Arial"/>
          <w:sz w:val="20"/>
          <w:szCs w:val="20"/>
          <w:highlight w:val="white"/>
          <w:lang w:eastAsia="en-AU"/>
        </w:rPr>
        <w:t xml:space="preserve"> should</w:t>
      </w:r>
      <w:r w:rsidRPr="001D46D2">
        <w:rPr>
          <w:rFonts w:ascii="Arial" w:hAnsi="Arial" w:cs="Arial"/>
          <w:sz w:val="20"/>
          <w:szCs w:val="20"/>
          <w:highlight w:val="white"/>
          <w:lang w:eastAsia="en-AU"/>
        </w:rPr>
        <w:t xml:space="preserve"> be implemented in 1 July 2014. Option A does not require the states and territories to </w:t>
      </w:r>
      <w:r w:rsidR="00440E22" w:rsidRPr="001D46D2">
        <w:rPr>
          <w:rFonts w:ascii="Arial" w:hAnsi="Arial" w:cs="Arial"/>
          <w:sz w:val="20"/>
          <w:szCs w:val="20"/>
          <w:highlight w:val="white"/>
          <w:lang w:eastAsia="en-AU"/>
        </w:rPr>
        <w:t>negotiate</w:t>
      </w:r>
      <w:r w:rsidRPr="001D46D2">
        <w:rPr>
          <w:rFonts w:ascii="Arial" w:hAnsi="Arial" w:cs="Arial"/>
          <w:sz w:val="20"/>
          <w:szCs w:val="20"/>
          <w:highlight w:val="white"/>
          <w:lang w:eastAsia="en-AU"/>
        </w:rPr>
        <w:t xml:space="preserve"> any changes in their relationship and only requires a rescaling of the predicted revenue. </w:t>
      </w:r>
    </w:p>
    <w:p w:rsidR="007D1EFA" w:rsidRPr="001D46D2" w:rsidRDefault="006F6450"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While the ATA does support a higher </w:t>
      </w:r>
      <w:r w:rsidR="00440E22" w:rsidRPr="001D46D2">
        <w:rPr>
          <w:rFonts w:ascii="Arial" w:hAnsi="Arial" w:cs="Arial"/>
          <w:sz w:val="20"/>
          <w:szCs w:val="20"/>
          <w:highlight w:val="white"/>
          <w:lang w:eastAsia="en-AU"/>
        </w:rPr>
        <w:t>reliance</w:t>
      </w:r>
      <w:r w:rsidRPr="001D46D2">
        <w:rPr>
          <w:rFonts w:ascii="Arial" w:hAnsi="Arial" w:cs="Arial"/>
          <w:sz w:val="20"/>
          <w:szCs w:val="20"/>
          <w:highlight w:val="white"/>
          <w:lang w:eastAsia="en-AU"/>
        </w:rPr>
        <w:t xml:space="preserve"> on the </w:t>
      </w:r>
      <w:r w:rsidR="00440E22" w:rsidRPr="001D46D2">
        <w:rPr>
          <w:rFonts w:ascii="Arial" w:hAnsi="Arial" w:cs="Arial"/>
          <w:sz w:val="20"/>
          <w:szCs w:val="20"/>
          <w:highlight w:val="white"/>
          <w:lang w:eastAsia="en-AU"/>
        </w:rPr>
        <w:t>variable</w:t>
      </w:r>
      <w:r w:rsidRPr="001D46D2">
        <w:rPr>
          <w:rFonts w:ascii="Arial" w:hAnsi="Arial" w:cs="Arial"/>
          <w:sz w:val="20"/>
          <w:szCs w:val="20"/>
          <w:highlight w:val="white"/>
          <w:lang w:eastAsia="en-AU"/>
        </w:rPr>
        <w:t xml:space="preserve"> charge component of the PayGo model, we understand that there are communications that need to take place between the commonwe</w:t>
      </w:r>
      <w:r w:rsidR="00440E22" w:rsidRPr="001D46D2">
        <w:rPr>
          <w:rFonts w:ascii="Arial" w:hAnsi="Arial" w:cs="Arial"/>
          <w:sz w:val="20"/>
          <w:szCs w:val="20"/>
          <w:highlight w:val="white"/>
          <w:lang w:eastAsia="en-AU"/>
        </w:rPr>
        <w:t xml:space="preserve">alth and the states to arrange </w:t>
      </w:r>
      <w:r w:rsidRPr="001D46D2">
        <w:rPr>
          <w:rFonts w:ascii="Arial" w:hAnsi="Arial" w:cs="Arial"/>
          <w:sz w:val="20"/>
          <w:szCs w:val="20"/>
          <w:highlight w:val="white"/>
          <w:lang w:eastAsia="en-AU"/>
        </w:rPr>
        <w:t xml:space="preserve">redistribution of funds. </w:t>
      </w:r>
    </w:p>
    <w:p w:rsidR="006F6450" w:rsidRPr="001D46D2" w:rsidRDefault="00690B97" w:rsidP="00CE77AE">
      <w:pPr>
        <w:autoSpaceDE w:val="0"/>
        <w:autoSpaceDN w:val="0"/>
        <w:adjustRightInd w:val="0"/>
        <w:spacing w:after="200" w:line="276" w:lineRule="auto"/>
        <w:rPr>
          <w:rFonts w:ascii="Arial" w:hAnsi="Arial" w:cs="Arial"/>
          <w:sz w:val="20"/>
          <w:szCs w:val="20"/>
          <w:highlight w:val="white"/>
          <w:lang w:eastAsia="en-AU"/>
        </w:rPr>
      </w:pPr>
      <w:r>
        <w:rPr>
          <w:rFonts w:ascii="Arial" w:hAnsi="Arial" w:cs="Arial"/>
          <w:sz w:val="20"/>
          <w:szCs w:val="20"/>
          <w:highlight w:val="white"/>
          <w:lang w:eastAsia="en-AU"/>
        </w:rPr>
        <w:lastRenderedPageBreak/>
        <w:t>O</w:t>
      </w:r>
      <w:r w:rsidR="006F6450" w:rsidRPr="001D46D2">
        <w:rPr>
          <w:rFonts w:ascii="Arial" w:hAnsi="Arial" w:cs="Arial"/>
          <w:sz w:val="20"/>
          <w:szCs w:val="20"/>
          <w:highlight w:val="white"/>
          <w:lang w:eastAsia="en-AU"/>
        </w:rPr>
        <w:t>ptions A,</w:t>
      </w:r>
      <w:r w:rsidR="00440E22" w:rsidRPr="001D46D2">
        <w:rPr>
          <w:rFonts w:ascii="Arial" w:hAnsi="Arial" w:cs="Arial"/>
          <w:sz w:val="20"/>
          <w:szCs w:val="20"/>
          <w:highlight w:val="white"/>
          <w:lang w:eastAsia="en-AU"/>
        </w:rPr>
        <w:t xml:space="preserve"> </w:t>
      </w:r>
      <w:r w:rsidR="006F6450" w:rsidRPr="001D46D2">
        <w:rPr>
          <w:rFonts w:ascii="Arial" w:hAnsi="Arial" w:cs="Arial"/>
          <w:sz w:val="20"/>
          <w:szCs w:val="20"/>
          <w:highlight w:val="white"/>
          <w:lang w:eastAsia="en-AU"/>
        </w:rPr>
        <w:t xml:space="preserve">B and C still have the same estimated costs base to be recovered from industry and the correction of the vehicle population figures has the largest effects on the proposed charges. </w:t>
      </w:r>
    </w:p>
    <w:p w:rsidR="00DA62A2" w:rsidRPr="001D46D2" w:rsidRDefault="00DA62A2" w:rsidP="00CE77AE">
      <w:pPr>
        <w:autoSpaceDE w:val="0"/>
        <w:autoSpaceDN w:val="0"/>
        <w:adjustRightInd w:val="0"/>
        <w:spacing w:after="200" w:line="276" w:lineRule="auto"/>
        <w:rPr>
          <w:rFonts w:ascii="Arial" w:hAnsi="Arial" w:cs="Arial"/>
          <w:sz w:val="20"/>
          <w:szCs w:val="20"/>
          <w:highlight w:val="white"/>
          <w:lang w:eastAsia="en-AU"/>
        </w:rPr>
      </w:pPr>
      <w:r w:rsidRPr="001D46D2">
        <w:rPr>
          <w:rFonts w:ascii="Arial" w:hAnsi="Arial" w:cs="Arial"/>
          <w:sz w:val="20"/>
          <w:szCs w:val="20"/>
          <w:highlight w:val="white"/>
          <w:lang w:eastAsia="en-AU"/>
        </w:rPr>
        <w:t xml:space="preserve">The Marsden Jacob and Associated work on indicative timelines indicate that there is no reasonable defence to not implement option </w:t>
      </w:r>
      <w:proofErr w:type="gramStart"/>
      <w:r w:rsidRPr="001D46D2">
        <w:rPr>
          <w:rFonts w:ascii="Arial" w:hAnsi="Arial" w:cs="Arial"/>
          <w:sz w:val="20"/>
          <w:szCs w:val="20"/>
          <w:highlight w:val="white"/>
          <w:lang w:eastAsia="en-AU"/>
        </w:rPr>
        <w:t>A</w:t>
      </w:r>
      <w:proofErr w:type="gramEnd"/>
      <w:r w:rsidRPr="001D46D2">
        <w:rPr>
          <w:rFonts w:ascii="Arial" w:hAnsi="Arial" w:cs="Arial"/>
          <w:sz w:val="20"/>
          <w:szCs w:val="20"/>
          <w:highlight w:val="white"/>
          <w:lang w:eastAsia="en-AU"/>
        </w:rPr>
        <w:t xml:space="preserve"> in </w:t>
      </w:r>
      <w:r w:rsidR="00D55E90" w:rsidRPr="001D46D2">
        <w:rPr>
          <w:rFonts w:ascii="Arial" w:hAnsi="Arial" w:cs="Arial"/>
          <w:sz w:val="20"/>
          <w:szCs w:val="20"/>
          <w:highlight w:val="white"/>
          <w:lang w:eastAsia="en-AU"/>
        </w:rPr>
        <w:t xml:space="preserve">July </w:t>
      </w:r>
      <w:r w:rsidRPr="001D46D2">
        <w:rPr>
          <w:rFonts w:ascii="Arial" w:hAnsi="Arial" w:cs="Arial"/>
          <w:sz w:val="20"/>
          <w:szCs w:val="20"/>
          <w:highlight w:val="white"/>
          <w:lang w:eastAsia="en-AU"/>
        </w:rPr>
        <w:t>2014</w:t>
      </w:r>
      <w:r w:rsidR="00D55E90" w:rsidRPr="001D46D2">
        <w:rPr>
          <w:rFonts w:ascii="Arial" w:hAnsi="Arial" w:cs="Arial"/>
          <w:sz w:val="20"/>
          <w:szCs w:val="20"/>
          <w:highlight w:val="white"/>
          <w:lang w:eastAsia="en-AU"/>
        </w:rPr>
        <w:t xml:space="preserve">, </w:t>
      </w:r>
      <w:r w:rsidR="00690B97">
        <w:rPr>
          <w:rFonts w:ascii="Arial" w:hAnsi="Arial" w:cs="Arial"/>
          <w:sz w:val="20"/>
          <w:szCs w:val="20"/>
          <w:highlight w:val="white"/>
          <w:lang w:eastAsia="en-AU"/>
        </w:rPr>
        <w:t>with the</w:t>
      </w:r>
      <w:r w:rsidR="00D55E90" w:rsidRPr="001D46D2">
        <w:rPr>
          <w:rFonts w:ascii="Arial" w:hAnsi="Arial" w:cs="Arial"/>
          <w:sz w:val="20"/>
          <w:szCs w:val="20"/>
          <w:highlight w:val="white"/>
          <w:lang w:eastAsia="en-AU"/>
        </w:rPr>
        <w:t xml:space="preserve"> adoption of option B in July 2015</w:t>
      </w:r>
      <w:r w:rsidRPr="001D46D2">
        <w:rPr>
          <w:rFonts w:ascii="Arial" w:hAnsi="Arial" w:cs="Arial"/>
          <w:sz w:val="20"/>
          <w:szCs w:val="20"/>
          <w:highlight w:val="white"/>
          <w:lang w:eastAsia="en-AU"/>
        </w:rPr>
        <w:t xml:space="preserve">. </w:t>
      </w:r>
      <w:r w:rsidR="00D55E90" w:rsidRPr="001D46D2">
        <w:rPr>
          <w:rFonts w:ascii="Arial" w:hAnsi="Arial" w:cs="Arial"/>
          <w:sz w:val="20"/>
          <w:szCs w:val="20"/>
          <w:highlight w:val="white"/>
          <w:lang w:eastAsia="en-AU"/>
        </w:rPr>
        <w:t>By 2015 the new freight survey would be available to inform the redistribution agreement. Absen</w:t>
      </w:r>
      <w:r w:rsidR="00690B97">
        <w:rPr>
          <w:rFonts w:ascii="Arial" w:hAnsi="Arial" w:cs="Arial"/>
          <w:sz w:val="20"/>
          <w:szCs w:val="20"/>
          <w:highlight w:val="white"/>
          <w:lang w:eastAsia="en-AU"/>
        </w:rPr>
        <w:t>ce</w:t>
      </w:r>
      <w:r w:rsidR="00D55E90" w:rsidRPr="001D46D2">
        <w:rPr>
          <w:rFonts w:ascii="Arial" w:hAnsi="Arial" w:cs="Arial"/>
          <w:sz w:val="20"/>
          <w:szCs w:val="20"/>
          <w:highlight w:val="white"/>
          <w:lang w:eastAsia="en-AU"/>
        </w:rPr>
        <w:t xml:space="preserve"> of a revenue distribution agreement should not prevent the adoption of option B in 2015. </w:t>
      </w:r>
    </w:p>
    <w:p w:rsidR="0023296D" w:rsidRPr="006F73DA" w:rsidRDefault="0023296D" w:rsidP="0023296D">
      <w:pPr>
        <w:autoSpaceDE w:val="0"/>
        <w:autoSpaceDN w:val="0"/>
        <w:adjustRightInd w:val="0"/>
        <w:rPr>
          <w:rFonts w:ascii="Arial" w:hAnsi="Arial" w:cs="Arial"/>
          <w:b/>
          <w:sz w:val="20"/>
          <w:szCs w:val="20"/>
          <w:highlight w:val="white"/>
          <w:lang w:eastAsia="en-AU"/>
        </w:rPr>
      </w:pPr>
      <w:r w:rsidRPr="001D46D2">
        <w:rPr>
          <w:rFonts w:ascii="Arial" w:hAnsi="Arial" w:cs="Arial"/>
          <w:b/>
          <w:sz w:val="20"/>
          <w:szCs w:val="20"/>
          <w:highlight w:val="white"/>
          <w:lang w:eastAsia="en-AU"/>
        </w:rPr>
        <w:t>ATA Recommendation 2</w:t>
      </w:r>
    </w:p>
    <w:p w:rsidR="006F73DA" w:rsidRPr="006F73DA" w:rsidRDefault="006F73DA" w:rsidP="006F73DA">
      <w:pPr>
        <w:autoSpaceDE w:val="0"/>
        <w:autoSpaceDN w:val="0"/>
        <w:adjustRightInd w:val="0"/>
        <w:rPr>
          <w:rFonts w:ascii="Arial" w:hAnsi="Arial" w:cs="Arial"/>
          <w:sz w:val="20"/>
          <w:szCs w:val="20"/>
          <w:highlight w:val="white"/>
          <w:lang w:eastAsia="en-AU"/>
        </w:rPr>
      </w:pPr>
    </w:p>
    <w:p w:rsidR="006F73DA" w:rsidRPr="006F73DA" w:rsidRDefault="006F73DA" w:rsidP="006F73DA">
      <w:pPr>
        <w:autoSpaceDE w:val="0"/>
        <w:autoSpaceDN w:val="0"/>
        <w:adjustRightInd w:val="0"/>
        <w:rPr>
          <w:rFonts w:ascii="Arial" w:hAnsi="Arial" w:cs="Arial"/>
          <w:sz w:val="20"/>
          <w:szCs w:val="20"/>
          <w:highlight w:val="white"/>
          <w:lang w:eastAsia="en-AU"/>
        </w:rPr>
      </w:pPr>
      <w:r w:rsidRPr="006F73DA">
        <w:rPr>
          <w:rFonts w:ascii="Arial" w:hAnsi="Arial" w:cs="Arial"/>
          <w:sz w:val="20"/>
          <w:szCs w:val="20"/>
          <w:highlight w:val="white"/>
          <w:lang w:eastAsia="en-AU"/>
        </w:rPr>
        <w:t xml:space="preserve">The ATA rejects the NTC proposal for a three year staged implementation to option A, given the $200 million over-recovery it will cause. </w:t>
      </w:r>
    </w:p>
    <w:p w:rsidR="0023296D" w:rsidRPr="001D46D2" w:rsidRDefault="0023296D" w:rsidP="0023296D">
      <w:pPr>
        <w:autoSpaceDE w:val="0"/>
        <w:autoSpaceDN w:val="0"/>
        <w:adjustRightInd w:val="0"/>
        <w:rPr>
          <w:rFonts w:ascii="Arial" w:hAnsi="Arial" w:cs="Arial"/>
          <w:b/>
          <w:sz w:val="20"/>
          <w:szCs w:val="20"/>
          <w:highlight w:val="white"/>
          <w:lang w:eastAsia="en-AU"/>
        </w:rPr>
      </w:pPr>
    </w:p>
    <w:p w:rsidR="0023296D" w:rsidRPr="001D46D2" w:rsidRDefault="0023296D" w:rsidP="0023296D">
      <w:pPr>
        <w:autoSpaceDE w:val="0"/>
        <w:autoSpaceDN w:val="0"/>
        <w:adjustRightInd w:val="0"/>
        <w:rPr>
          <w:rFonts w:ascii="Arial" w:hAnsi="Arial" w:cs="Arial"/>
          <w:b/>
          <w:sz w:val="20"/>
          <w:szCs w:val="20"/>
          <w:highlight w:val="white"/>
          <w:lang w:eastAsia="en-AU"/>
        </w:rPr>
      </w:pPr>
      <w:r w:rsidRPr="001D46D2">
        <w:rPr>
          <w:rFonts w:ascii="Arial" w:hAnsi="Arial" w:cs="Arial"/>
          <w:b/>
          <w:sz w:val="20"/>
          <w:szCs w:val="20"/>
          <w:highlight w:val="white"/>
          <w:lang w:eastAsia="en-AU"/>
        </w:rPr>
        <w:t>ATA recommendation 3</w:t>
      </w:r>
    </w:p>
    <w:p w:rsidR="0023296D" w:rsidRPr="001D46D2" w:rsidRDefault="0023296D" w:rsidP="0023296D">
      <w:pPr>
        <w:autoSpaceDE w:val="0"/>
        <w:autoSpaceDN w:val="0"/>
        <w:adjustRightInd w:val="0"/>
        <w:rPr>
          <w:rFonts w:ascii="Arial" w:hAnsi="Arial" w:cs="Arial"/>
          <w:sz w:val="20"/>
          <w:szCs w:val="20"/>
          <w:highlight w:val="white"/>
          <w:lang w:eastAsia="en-AU"/>
        </w:rPr>
      </w:pPr>
    </w:p>
    <w:p w:rsidR="0023296D" w:rsidRPr="001D46D2" w:rsidRDefault="0023296D" w:rsidP="0023296D">
      <w:pPr>
        <w:autoSpaceDE w:val="0"/>
        <w:autoSpaceDN w:val="0"/>
        <w:adjustRightInd w:val="0"/>
        <w:rPr>
          <w:rFonts w:ascii="Arial" w:hAnsi="Arial" w:cs="Arial"/>
          <w:sz w:val="20"/>
          <w:szCs w:val="20"/>
          <w:highlight w:val="white"/>
          <w:lang w:eastAsia="en-AU"/>
        </w:rPr>
      </w:pPr>
      <w:r w:rsidRPr="001D46D2">
        <w:rPr>
          <w:rFonts w:ascii="Arial" w:hAnsi="Arial" w:cs="Arial"/>
          <w:sz w:val="20"/>
          <w:szCs w:val="20"/>
          <w:highlight w:val="white"/>
          <w:lang w:eastAsia="en-AU"/>
        </w:rPr>
        <w:t>The ATA recommends option A be implemented</w:t>
      </w:r>
      <w:r w:rsidR="006F73DA">
        <w:rPr>
          <w:rFonts w:ascii="Arial" w:hAnsi="Arial" w:cs="Arial"/>
          <w:sz w:val="20"/>
          <w:szCs w:val="20"/>
          <w:highlight w:val="white"/>
          <w:lang w:eastAsia="en-AU"/>
        </w:rPr>
        <w:t xml:space="preserve">  by</w:t>
      </w:r>
      <w:r w:rsidRPr="001D46D2">
        <w:rPr>
          <w:rFonts w:ascii="Arial" w:hAnsi="Arial" w:cs="Arial"/>
          <w:sz w:val="20"/>
          <w:szCs w:val="20"/>
          <w:highlight w:val="white"/>
          <w:lang w:eastAsia="en-AU"/>
        </w:rPr>
        <w:t xml:space="preserve"> 1 </w:t>
      </w:r>
      <w:r w:rsidR="006F73DA">
        <w:rPr>
          <w:rFonts w:ascii="Arial" w:hAnsi="Arial" w:cs="Arial"/>
          <w:sz w:val="20"/>
          <w:szCs w:val="20"/>
          <w:highlight w:val="white"/>
          <w:lang w:eastAsia="en-AU"/>
        </w:rPr>
        <w:t xml:space="preserve">July 2014, moving to Option B on 1 July 2015 </w:t>
      </w:r>
      <w:r w:rsidRPr="001D46D2">
        <w:rPr>
          <w:rFonts w:ascii="Arial" w:hAnsi="Arial" w:cs="Arial"/>
          <w:sz w:val="20"/>
          <w:szCs w:val="20"/>
          <w:highlight w:val="white"/>
          <w:lang w:eastAsia="en-AU"/>
        </w:rPr>
        <w:t>given governme</w:t>
      </w:r>
      <w:r w:rsidR="006F73DA">
        <w:rPr>
          <w:rFonts w:ascii="Arial" w:hAnsi="Arial" w:cs="Arial"/>
          <w:sz w:val="20"/>
          <w:szCs w:val="20"/>
          <w:highlight w:val="white"/>
          <w:lang w:eastAsia="en-AU"/>
        </w:rPr>
        <w:t>nt timeframes for implementing the</w:t>
      </w:r>
      <w:r w:rsidRPr="001D46D2">
        <w:rPr>
          <w:rFonts w:ascii="Arial" w:hAnsi="Arial" w:cs="Arial"/>
          <w:sz w:val="20"/>
          <w:szCs w:val="20"/>
          <w:highlight w:val="white"/>
          <w:lang w:eastAsia="en-AU"/>
        </w:rPr>
        <w:t xml:space="preserve"> road user charge revenue redistribution necessary with option B.   </w:t>
      </w:r>
    </w:p>
    <w:p w:rsidR="001023CB" w:rsidRPr="001D46D2" w:rsidRDefault="001023CB" w:rsidP="0023296D">
      <w:pPr>
        <w:autoSpaceDE w:val="0"/>
        <w:autoSpaceDN w:val="0"/>
        <w:adjustRightInd w:val="0"/>
        <w:spacing w:after="200" w:line="276" w:lineRule="auto"/>
        <w:rPr>
          <w:rFonts w:ascii="Arial" w:hAnsi="Arial" w:cs="Arial"/>
          <w:sz w:val="20"/>
          <w:szCs w:val="20"/>
          <w:lang w:eastAsia="en-AU"/>
        </w:rPr>
      </w:pPr>
    </w:p>
    <w:sectPr w:rsidR="001023CB" w:rsidRPr="001D46D2" w:rsidSect="00CE77AE">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C78" w:rsidRDefault="00DA1C78" w:rsidP="000F3D9F">
      <w:r>
        <w:separator/>
      </w:r>
    </w:p>
  </w:endnote>
  <w:endnote w:type="continuationSeparator" w:id="0">
    <w:p w:rsidR="00DA1C78" w:rsidRDefault="00DA1C78"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8" w:rsidRPr="0062031D" w:rsidRDefault="00DA1C78"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DA1C78" w:rsidRPr="0062031D" w:rsidRDefault="00DA1C78"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DA1C78" w:rsidRPr="0062031D" w:rsidRDefault="00DA1C78"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DA1C78" w:rsidRPr="00E8056B" w:rsidRDefault="00DA1C78" w:rsidP="0062031D">
    <w:pPr>
      <w:ind w:right="-426"/>
      <w:jc w:val="right"/>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8" w:rsidRDefault="0004142E">
    <w:pPr>
      <w:pStyle w:val="Footer"/>
      <w:jc w:val="right"/>
    </w:pPr>
    <w:fldSimple w:instr=" PAGE   \* MERGEFORMAT ">
      <w:r w:rsidR="00DA1C78">
        <w:rPr>
          <w:noProof/>
        </w:rPr>
        <w:t>7</w:t>
      </w:r>
    </w:fldSimple>
  </w:p>
  <w:p w:rsidR="00DA1C78" w:rsidRDefault="00DA1C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8" w:rsidRDefault="00DA1C7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DA1C78" w:rsidRPr="00A91411" w:rsidTr="00D735FF">
      <w:trPr>
        <w:trHeight w:val="278"/>
      </w:trPr>
      <w:tc>
        <w:tcPr>
          <w:tcW w:w="4927" w:type="dxa"/>
          <w:vAlign w:val="center"/>
        </w:tcPr>
        <w:p w:rsidR="00DA1C78" w:rsidRPr="00A91411" w:rsidRDefault="00DA1C78" w:rsidP="008C2AA4">
          <w:pPr>
            <w:pStyle w:val="Footer"/>
            <w:rPr>
              <w:rFonts w:ascii="Arial" w:hAnsi="Arial" w:cs="Arial"/>
              <w:sz w:val="14"/>
              <w:szCs w:val="14"/>
            </w:rPr>
          </w:pPr>
          <w:r>
            <w:rPr>
              <w:rFonts w:ascii="Arial" w:hAnsi="Arial" w:cs="Arial"/>
              <w:sz w:val="14"/>
              <w:szCs w:val="14"/>
            </w:rPr>
            <w:t xml:space="preserve">ATA </w:t>
          </w:r>
          <w:r w:rsidRPr="00A91411">
            <w:rPr>
              <w:rFonts w:ascii="Arial" w:hAnsi="Arial" w:cs="Arial"/>
              <w:sz w:val="14"/>
              <w:szCs w:val="14"/>
            </w:rPr>
            <w:t xml:space="preserve">Submission </w:t>
          </w:r>
          <w:r>
            <w:rPr>
              <w:rFonts w:ascii="Arial" w:hAnsi="Arial" w:cs="Arial"/>
              <w:sz w:val="14"/>
              <w:szCs w:val="14"/>
            </w:rPr>
            <w:t>:</w:t>
          </w:r>
          <w:r w:rsidR="00365CB8">
            <w:rPr>
              <w:rFonts w:ascii="Arial" w:hAnsi="Arial" w:cs="Arial"/>
              <w:sz w:val="14"/>
              <w:szCs w:val="14"/>
            </w:rPr>
            <w:t xml:space="preserve"> </w:t>
          </w:r>
          <w:r w:rsidR="00FE2695" w:rsidRPr="00FE2695">
            <w:rPr>
              <w:rFonts w:ascii="Arial" w:hAnsi="Arial" w:cs="Arial"/>
              <w:sz w:val="14"/>
              <w:szCs w:val="14"/>
            </w:rPr>
            <w:t>2014 Heavy Vehicle Charges Determination Draft RIS</w:t>
          </w:r>
        </w:p>
      </w:tc>
      <w:tc>
        <w:tcPr>
          <w:tcW w:w="4927" w:type="dxa"/>
          <w:vAlign w:val="center"/>
        </w:tcPr>
        <w:p w:rsidR="00DA1C78" w:rsidRPr="00A91411" w:rsidRDefault="00DA1C78" w:rsidP="00D735FF">
          <w:pPr>
            <w:pStyle w:val="Footer"/>
            <w:jc w:val="right"/>
            <w:rPr>
              <w:rFonts w:ascii="Arial" w:hAnsi="Arial" w:cs="Arial"/>
              <w:sz w:val="14"/>
              <w:szCs w:val="14"/>
            </w:rPr>
          </w:pPr>
          <w:r w:rsidRPr="00A91411">
            <w:rPr>
              <w:rFonts w:ascii="Arial" w:hAnsi="Arial" w:cs="Arial"/>
              <w:sz w:val="14"/>
              <w:szCs w:val="14"/>
            </w:rPr>
            <w:t xml:space="preserve">Page </w:t>
          </w:r>
          <w:r w:rsidR="0004142E"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04142E" w:rsidRPr="00A91411">
            <w:rPr>
              <w:rFonts w:ascii="Arial" w:hAnsi="Arial" w:cs="Arial"/>
              <w:sz w:val="14"/>
              <w:szCs w:val="14"/>
            </w:rPr>
            <w:fldChar w:fldCharType="separate"/>
          </w:r>
          <w:r w:rsidR="00FE2695">
            <w:rPr>
              <w:rFonts w:ascii="Arial" w:hAnsi="Arial" w:cs="Arial"/>
              <w:noProof/>
              <w:sz w:val="14"/>
              <w:szCs w:val="14"/>
            </w:rPr>
            <w:t>3</w:t>
          </w:r>
          <w:r w:rsidR="0004142E" w:rsidRPr="00A91411">
            <w:rPr>
              <w:rFonts w:ascii="Arial" w:hAnsi="Arial" w:cs="Arial"/>
              <w:sz w:val="14"/>
              <w:szCs w:val="14"/>
            </w:rPr>
            <w:fldChar w:fldCharType="end"/>
          </w:r>
        </w:p>
      </w:tc>
    </w:tr>
  </w:tbl>
  <w:p w:rsidR="00DA1C78" w:rsidRPr="00A91411" w:rsidRDefault="00DA1C78">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8" w:rsidRDefault="00DA1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C78" w:rsidRDefault="00DA1C78" w:rsidP="000F3D9F">
      <w:r>
        <w:separator/>
      </w:r>
    </w:p>
  </w:footnote>
  <w:footnote w:type="continuationSeparator" w:id="0">
    <w:p w:rsidR="00DA1C78" w:rsidRDefault="00DA1C78" w:rsidP="000F3D9F">
      <w:r>
        <w:continuationSeparator/>
      </w:r>
    </w:p>
  </w:footnote>
  <w:footnote w:id="1">
    <w:p w:rsidR="00DA1C78" w:rsidRPr="00BF5081" w:rsidRDefault="00DA1C78" w:rsidP="00B81F04">
      <w:pPr>
        <w:pStyle w:val="Heading1"/>
        <w:numPr>
          <w:ilvl w:val="0"/>
          <w:numId w:val="0"/>
        </w:numPr>
        <w:pBdr>
          <w:bottom w:val="single" w:sz="4" w:space="0" w:color="CCCCCC"/>
        </w:pBdr>
        <w:shd w:val="clear" w:color="auto" w:fill="FFFFFF"/>
        <w:spacing w:before="240" w:line="263" w:lineRule="atLeast"/>
        <w:ind w:right="160"/>
        <w:rPr>
          <w:b w:val="0"/>
          <w:color w:val="auto"/>
          <w:sz w:val="16"/>
          <w:szCs w:val="16"/>
          <w:highlight w:val="white"/>
          <w:lang w:eastAsia="en-AU"/>
        </w:rPr>
      </w:pPr>
      <w:r w:rsidRPr="00BF5081">
        <w:rPr>
          <w:b w:val="0"/>
          <w:color w:val="auto"/>
          <w:sz w:val="16"/>
          <w:szCs w:val="16"/>
          <w:highlight w:val="white"/>
          <w:lang w:eastAsia="en-AU"/>
        </w:rPr>
        <w:footnoteRef/>
      </w:r>
      <w:r w:rsidRPr="00BF5081">
        <w:rPr>
          <w:b w:val="0"/>
          <w:color w:val="auto"/>
          <w:sz w:val="16"/>
          <w:szCs w:val="16"/>
          <w:highlight w:val="white"/>
          <w:lang w:eastAsia="en-AU"/>
        </w:rPr>
        <w:t xml:space="preserve"> See ATA submission: Assessment of Actual Heavy Vehicle Registration Population Data against the NTC PayGo Model, 2011, for further details</w:t>
      </w:r>
    </w:p>
    <w:p w:rsidR="00DA1C78" w:rsidRPr="00BF5081" w:rsidRDefault="00DA1C78" w:rsidP="00B81F04">
      <w:pPr>
        <w:pStyle w:val="FootnoteText"/>
        <w:rPr>
          <w:rFonts w:ascii="Arial" w:hAnsi="Arial" w:cs="Arial"/>
          <w:sz w:val="16"/>
          <w:szCs w:val="16"/>
        </w:rPr>
      </w:pPr>
    </w:p>
  </w:footnote>
  <w:footnote w:id="2">
    <w:p w:rsidR="00DA1C78" w:rsidRPr="00BF5081" w:rsidRDefault="00DA1C78" w:rsidP="000F0116">
      <w:pPr>
        <w:pStyle w:val="FootnoteText"/>
        <w:rPr>
          <w:rFonts w:ascii="Arial" w:hAnsi="Arial" w:cs="Arial"/>
          <w:sz w:val="16"/>
          <w:szCs w:val="16"/>
        </w:rPr>
      </w:pPr>
      <w:r w:rsidRPr="00BF5081">
        <w:rPr>
          <w:rStyle w:val="FootnoteReference"/>
          <w:rFonts w:ascii="Arial" w:hAnsi="Arial" w:cs="Arial"/>
          <w:sz w:val="16"/>
          <w:szCs w:val="16"/>
        </w:rPr>
        <w:footnoteRef/>
      </w:r>
      <w:r w:rsidRPr="00BF5081">
        <w:rPr>
          <w:rFonts w:ascii="Arial" w:hAnsi="Arial" w:cs="Arial"/>
          <w:sz w:val="16"/>
          <w:szCs w:val="16"/>
        </w:rPr>
        <w:t xml:space="preserve"> Page 32 – PricewaterhouseCoopers: A future strategy for road supply and charging in Australia 2013 </w:t>
      </w:r>
    </w:p>
  </w:footnote>
  <w:footnote w:id="3">
    <w:p w:rsidR="00DA1C78" w:rsidRDefault="00DA1C78">
      <w:pPr>
        <w:pStyle w:val="FootnoteText"/>
      </w:pPr>
      <w:r>
        <w:rPr>
          <w:rStyle w:val="FootnoteReference"/>
        </w:rPr>
        <w:footnoteRef/>
      </w:r>
      <w:r>
        <w:t xml:space="preserve"> The views expressed by the ALRTA in this section do not represent the general views of the ATA membership. </w:t>
      </w:r>
    </w:p>
  </w:footnote>
  <w:footnote w:id="4">
    <w:p w:rsidR="00DA1C78" w:rsidRPr="00BF5081" w:rsidRDefault="00DA1C78">
      <w:pPr>
        <w:pStyle w:val="FootnoteText"/>
        <w:rPr>
          <w:rFonts w:ascii="Arial" w:hAnsi="Arial" w:cs="Arial"/>
          <w:sz w:val="16"/>
          <w:szCs w:val="16"/>
        </w:rPr>
      </w:pPr>
      <w:r w:rsidRPr="00BF5081">
        <w:rPr>
          <w:rStyle w:val="FootnoteReference"/>
          <w:rFonts w:ascii="Arial" w:hAnsi="Arial" w:cs="Arial"/>
          <w:sz w:val="16"/>
          <w:szCs w:val="16"/>
        </w:rPr>
        <w:footnoteRef/>
      </w:r>
      <w:r w:rsidRPr="00BF5081">
        <w:rPr>
          <w:rFonts w:ascii="Arial" w:hAnsi="Arial" w:cs="Arial"/>
          <w:sz w:val="16"/>
          <w:szCs w:val="16"/>
        </w:rPr>
        <w:t xml:space="preserve"> Page 85 </w:t>
      </w:r>
      <w:r w:rsidR="00365CB8">
        <w:rPr>
          <w:rFonts w:ascii="Arial" w:hAnsi="Arial" w:cs="Arial"/>
          <w:sz w:val="16"/>
          <w:szCs w:val="16"/>
        </w:rPr>
        <w:t>– NTC</w:t>
      </w:r>
      <w:r w:rsidRPr="00BF5081">
        <w:rPr>
          <w:rFonts w:ascii="Arial" w:hAnsi="Arial" w:cs="Arial"/>
          <w:sz w:val="16"/>
          <w:szCs w:val="16"/>
        </w:rPr>
        <w:t xml:space="preserve"> Heavy vehicle charges determination – Draft RIS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8" w:rsidRPr="00E8056B" w:rsidRDefault="00DA1C78"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DA1C78" w:rsidRDefault="00DA1C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8" w:rsidRDefault="00DA1C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8" w:rsidRPr="0062031D" w:rsidRDefault="00DA1C78"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DA1C78" w:rsidRPr="0062031D" w:rsidRDefault="00DA1C78" w:rsidP="0062031D">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78" w:rsidRDefault="00DA1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5889"/>
    <w:multiLevelType w:val="hybridMultilevel"/>
    <w:tmpl w:val="8D66E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7C775E"/>
    <w:multiLevelType w:val="multilevel"/>
    <w:tmpl w:val="5D00416A"/>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4F331B98"/>
    <w:multiLevelType w:val="hybridMultilevel"/>
    <w:tmpl w:val="4752A186"/>
    <w:lvl w:ilvl="0" w:tplc="D0ACF64C">
      <w:start w:val="2"/>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D554ED9"/>
    <w:multiLevelType w:val="multilevel"/>
    <w:tmpl w:val="652E1C90"/>
    <w:lvl w:ilvl="0">
      <w:start w:val="1"/>
      <w:numFmt w:val="decimal"/>
      <w:pStyle w:val="Heading1"/>
      <w:lvlText w:val="%1."/>
      <w:lvlJc w:val="left"/>
      <w:pPr>
        <w:ind w:left="502"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6AB91A83"/>
    <w:multiLevelType w:val="multilevel"/>
    <w:tmpl w:val="6FFA4322"/>
    <w:lvl w:ilvl="0">
      <w:start w:val="4"/>
      <w:numFmt w:val="decimal"/>
      <w:lvlText w:val="%1"/>
      <w:lvlJc w:val="left"/>
      <w:pPr>
        <w:ind w:left="547"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num w:numId="1">
    <w:abstractNumId w:val="4"/>
  </w:num>
  <w:num w:numId="2">
    <w:abstractNumId w:val="2"/>
  </w:num>
  <w:num w:numId="3">
    <w:abstractNumId w:val="5"/>
  </w:num>
  <w:num w:numId="4">
    <w:abstractNumId w:val="3"/>
  </w:num>
  <w:num w:numId="5">
    <w:abstractNumId w:val="4"/>
  </w:num>
  <w:num w:numId="6">
    <w:abstractNumId w:val="4"/>
  </w:num>
  <w:num w:numId="7">
    <w:abstractNumId w:val="4"/>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1"/>
  </w:num>
  <w:num w:numId="16">
    <w:abstractNumId w:val="4"/>
  </w:num>
  <w:num w:numId="1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C1627A"/>
    <w:rsid w:val="0000159D"/>
    <w:rsid w:val="00004DB4"/>
    <w:rsid w:val="00005E0D"/>
    <w:rsid w:val="000118F7"/>
    <w:rsid w:val="00011D52"/>
    <w:rsid w:val="00014B23"/>
    <w:rsid w:val="000156D1"/>
    <w:rsid w:val="000223CC"/>
    <w:rsid w:val="00023B28"/>
    <w:rsid w:val="00025C3E"/>
    <w:rsid w:val="00035CFC"/>
    <w:rsid w:val="0004076B"/>
    <w:rsid w:val="00040876"/>
    <w:rsid w:val="00040D17"/>
    <w:rsid w:val="00040D26"/>
    <w:rsid w:val="0004142E"/>
    <w:rsid w:val="0004192B"/>
    <w:rsid w:val="00042462"/>
    <w:rsid w:val="00042746"/>
    <w:rsid w:val="00043430"/>
    <w:rsid w:val="00043AF0"/>
    <w:rsid w:val="00044533"/>
    <w:rsid w:val="00046042"/>
    <w:rsid w:val="00050881"/>
    <w:rsid w:val="00052E9C"/>
    <w:rsid w:val="00056848"/>
    <w:rsid w:val="000614BF"/>
    <w:rsid w:val="0006283B"/>
    <w:rsid w:val="000630C3"/>
    <w:rsid w:val="0007542B"/>
    <w:rsid w:val="00075E7B"/>
    <w:rsid w:val="00076C90"/>
    <w:rsid w:val="00080037"/>
    <w:rsid w:val="00083C15"/>
    <w:rsid w:val="000848A1"/>
    <w:rsid w:val="00085055"/>
    <w:rsid w:val="000868C6"/>
    <w:rsid w:val="000875E7"/>
    <w:rsid w:val="00095C3B"/>
    <w:rsid w:val="000963BE"/>
    <w:rsid w:val="000A102A"/>
    <w:rsid w:val="000A151F"/>
    <w:rsid w:val="000A2BCF"/>
    <w:rsid w:val="000A3F4E"/>
    <w:rsid w:val="000A4E76"/>
    <w:rsid w:val="000A4EB0"/>
    <w:rsid w:val="000A62F7"/>
    <w:rsid w:val="000B069A"/>
    <w:rsid w:val="000B351D"/>
    <w:rsid w:val="000B4161"/>
    <w:rsid w:val="000B4942"/>
    <w:rsid w:val="000B6CAC"/>
    <w:rsid w:val="000B6D2A"/>
    <w:rsid w:val="000B773A"/>
    <w:rsid w:val="000B7D23"/>
    <w:rsid w:val="000C01AC"/>
    <w:rsid w:val="000C0C35"/>
    <w:rsid w:val="000C15B7"/>
    <w:rsid w:val="000C19AA"/>
    <w:rsid w:val="000C30F1"/>
    <w:rsid w:val="000C310A"/>
    <w:rsid w:val="000C58B5"/>
    <w:rsid w:val="000C594D"/>
    <w:rsid w:val="000D0FE5"/>
    <w:rsid w:val="000D274C"/>
    <w:rsid w:val="000D528B"/>
    <w:rsid w:val="000D6381"/>
    <w:rsid w:val="000D6454"/>
    <w:rsid w:val="000E408F"/>
    <w:rsid w:val="000E67CA"/>
    <w:rsid w:val="000E7B14"/>
    <w:rsid w:val="000F0116"/>
    <w:rsid w:val="000F080E"/>
    <w:rsid w:val="000F0F7B"/>
    <w:rsid w:val="000F30FF"/>
    <w:rsid w:val="000F349D"/>
    <w:rsid w:val="000F3D9F"/>
    <w:rsid w:val="000F4057"/>
    <w:rsid w:val="000F53C2"/>
    <w:rsid w:val="000F566E"/>
    <w:rsid w:val="000F7F6F"/>
    <w:rsid w:val="00100ED4"/>
    <w:rsid w:val="001016E8"/>
    <w:rsid w:val="001019C0"/>
    <w:rsid w:val="00101EAF"/>
    <w:rsid w:val="001023CB"/>
    <w:rsid w:val="001025C9"/>
    <w:rsid w:val="001071A4"/>
    <w:rsid w:val="00110610"/>
    <w:rsid w:val="001202C1"/>
    <w:rsid w:val="00121418"/>
    <w:rsid w:val="00121A53"/>
    <w:rsid w:val="00121A86"/>
    <w:rsid w:val="00121E1A"/>
    <w:rsid w:val="00122558"/>
    <w:rsid w:val="00125795"/>
    <w:rsid w:val="00127712"/>
    <w:rsid w:val="0013041A"/>
    <w:rsid w:val="001332F2"/>
    <w:rsid w:val="00134A9F"/>
    <w:rsid w:val="001368EB"/>
    <w:rsid w:val="0013765E"/>
    <w:rsid w:val="00137794"/>
    <w:rsid w:val="00141274"/>
    <w:rsid w:val="0014437E"/>
    <w:rsid w:val="00145022"/>
    <w:rsid w:val="001463C2"/>
    <w:rsid w:val="0014683D"/>
    <w:rsid w:val="001475F7"/>
    <w:rsid w:val="00150065"/>
    <w:rsid w:val="0015168F"/>
    <w:rsid w:val="00151950"/>
    <w:rsid w:val="00151F88"/>
    <w:rsid w:val="00152A71"/>
    <w:rsid w:val="001533EC"/>
    <w:rsid w:val="00153D10"/>
    <w:rsid w:val="001555C9"/>
    <w:rsid w:val="00155B97"/>
    <w:rsid w:val="00156060"/>
    <w:rsid w:val="00160FE3"/>
    <w:rsid w:val="001611AB"/>
    <w:rsid w:val="0016265F"/>
    <w:rsid w:val="00164A4D"/>
    <w:rsid w:val="00165C3E"/>
    <w:rsid w:val="00170107"/>
    <w:rsid w:val="00170FC2"/>
    <w:rsid w:val="001727E8"/>
    <w:rsid w:val="00172D5B"/>
    <w:rsid w:val="001811B8"/>
    <w:rsid w:val="0018136A"/>
    <w:rsid w:val="001817F5"/>
    <w:rsid w:val="00182648"/>
    <w:rsid w:val="00183923"/>
    <w:rsid w:val="00184A28"/>
    <w:rsid w:val="001922E5"/>
    <w:rsid w:val="001943BE"/>
    <w:rsid w:val="0019542E"/>
    <w:rsid w:val="001A024F"/>
    <w:rsid w:val="001A0DC3"/>
    <w:rsid w:val="001A2840"/>
    <w:rsid w:val="001A33CC"/>
    <w:rsid w:val="001A5FE2"/>
    <w:rsid w:val="001A6510"/>
    <w:rsid w:val="001A66A5"/>
    <w:rsid w:val="001A7BF4"/>
    <w:rsid w:val="001B3E52"/>
    <w:rsid w:val="001B46F6"/>
    <w:rsid w:val="001B5564"/>
    <w:rsid w:val="001B6B29"/>
    <w:rsid w:val="001B7B44"/>
    <w:rsid w:val="001C121B"/>
    <w:rsid w:val="001C125D"/>
    <w:rsid w:val="001C13A5"/>
    <w:rsid w:val="001C150C"/>
    <w:rsid w:val="001C3659"/>
    <w:rsid w:val="001C52FE"/>
    <w:rsid w:val="001D038B"/>
    <w:rsid w:val="001D15A1"/>
    <w:rsid w:val="001D1836"/>
    <w:rsid w:val="001D46D2"/>
    <w:rsid w:val="001D50C7"/>
    <w:rsid w:val="001D5BA0"/>
    <w:rsid w:val="001D77A8"/>
    <w:rsid w:val="001D7817"/>
    <w:rsid w:val="001E0A75"/>
    <w:rsid w:val="001E1665"/>
    <w:rsid w:val="001E232E"/>
    <w:rsid w:val="001E3126"/>
    <w:rsid w:val="001F024C"/>
    <w:rsid w:val="001F187C"/>
    <w:rsid w:val="001F2FD4"/>
    <w:rsid w:val="001F32AB"/>
    <w:rsid w:val="001F5A9B"/>
    <w:rsid w:val="001F5BCB"/>
    <w:rsid w:val="001F5CDF"/>
    <w:rsid w:val="00201A96"/>
    <w:rsid w:val="00202A6B"/>
    <w:rsid w:val="002041FF"/>
    <w:rsid w:val="00205D00"/>
    <w:rsid w:val="0020791B"/>
    <w:rsid w:val="0020796A"/>
    <w:rsid w:val="0021180A"/>
    <w:rsid w:val="00212465"/>
    <w:rsid w:val="00212936"/>
    <w:rsid w:val="00213C59"/>
    <w:rsid w:val="002158C8"/>
    <w:rsid w:val="00216CE6"/>
    <w:rsid w:val="002208FB"/>
    <w:rsid w:val="00225056"/>
    <w:rsid w:val="00225F89"/>
    <w:rsid w:val="00230598"/>
    <w:rsid w:val="00230DFC"/>
    <w:rsid w:val="002317DA"/>
    <w:rsid w:val="002327F8"/>
    <w:rsid w:val="0023296D"/>
    <w:rsid w:val="002374B4"/>
    <w:rsid w:val="00240467"/>
    <w:rsid w:val="00241C15"/>
    <w:rsid w:val="00243126"/>
    <w:rsid w:val="00244543"/>
    <w:rsid w:val="00245CE4"/>
    <w:rsid w:val="002502E0"/>
    <w:rsid w:val="002502EF"/>
    <w:rsid w:val="00250E06"/>
    <w:rsid w:val="00252BD7"/>
    <w:rsid w:val="0025356A"/>
    <w:rsid w:val="00253E0B"/>
    <w:rsid w:val="002543DF"/>
    <w:rsid w:val="002550E9"/>
    <w:rsid w:val="00262C0A"/>
    <w:rsid w:val="0026620C"/>
    <w:rsid w:val="00266915"/>
    <w:rsid w:val="00267830"/>
    <w:rsid w:val="00273325"/>
    <w:rsid w:val="002742EF"/>
    <w:rsid w:val="00274BA8"/>
    <w:rsid w:val="00277F32"/>
    <w:rsid w:val="002819AA"/>
    <w:rsid w:val="00281EFE"/>
    <w:rsid w:val="00286DB5"/>
    <w:rsid w:val="002875B7"/>
    <w:rsid w:val="0029330A"/>
    <w:rsid w:val="00294E3C"/>
    <w:rsid w:val="00296633"/>
    <w:rsid w:val="002A00F5"/>
    <w:rsid w:val="002A010F"/>
    <w:rsid w:val="002A0424"/>
    <w:rsid w:val="002A237B"/>
    <w:rsid w:val="002A43F0"/>
    <w:rsid w:val="002A455A"/>
    <w:rsid w:val="002A4859"/>
    <w:rsid w:val="002A4ACA"/>
    <w:rsid w:val="002A5A99"/>
    <w:rsid w:val="002B1F61"/>
    <w:rsid w:val="002B2136"/>
    <w:rsid w:val="002B381D"/>
    <w:rsid w:val="002B3AEF"/>
    <w:rsid w:val="002B5D65"/>
    <w:rsid w:val="002B618E"/>
    <w:rsid w:val="002B6CC2"/>
    <w:rsid w:val="002C0C38"/>
    <w:rsid w:val="002C1799"/>
    <w:rsid w:val="002C6E2E"/>
    <w:rsid w:val="002C6F4E"/>
    <w:rsid w:val="002C7AB9"/>
    <w:rsid w:val="002C7D3E"/>
    <w:rsid w:val="002C7FF6"/>
    <w:rsid w:val="002D592D"/>
    <w:rsid w:val="002D5D45"/>
    <w:rsid w:val="002D7FDB"/>
    <w:rsid w:val="002E06E3"/>
    <w:rsid w:val="002E06EB"/>
    <w:rsid w:val="002E453E"/>
    <w:rsid w:val="002E4E20"/>
    <w:rsid w:val="002E5D82"/>
    <w:rsid w:val="002E782F"/>
    <w:rsid w:val="002E7897"/>
    <w:rsid w:val="002E7F28"/>
    <w:rsid w:val="002F00C9"/>
    <w:rsid w:val="002F0EBE"/>
    <w:rsid w:val="002F1339"/>
    <w:rsid w:val="002F2F65"/>
    <w:rsid w:val="002F42BE"/>
    <w:rsid w:val="002F6212"/>
    <w:rsid w:val="002F632C"/>
    <w:rsid w:val="002F6D63"/>
    <w:rsid w:val="003016C4"/>
    <w:rsid w:val="00303296"/>
    <w:rsid w:val="00306FBF"/>
    <w:rsid w:val="00307AF8"/>
    <w:rsid w:val="0031301A"/>
    <w:rsid w:val="003168CE"/>
    <w:rsid w:val="00320AFE"/>
    <w:rsid w:val="00320F07"/>
    <w:rsid w:val="00321554"/>
    <w:rsid w:val="003215A3"/>
    <w:rsid w:val="00321A43"/>
    <w:rsid w:val="0032308F"/>
    <w:rsid w:val="00324459"/>
    <w:rsid w:val="00325A6C"/>
    <w:rsid w:val="00333BA6"/>
    <w:rsid w:val="003340FB"/>
    <w:rsid w:val="00334926"/>
    <w:rsid w:val="00336254"/>
    <w:rsid w:val="00336760"/>
    <w:rsid w:val="00341AE8"/>
    <w:rsid w:val="00341FEC"/>
    <w:rsid w:val="00342826"/>
    <w:rsid w:val="0034321B"/>
    <w:rsid w:val="00344D53"/>
    <w:rsid w:val="00352490"/>
    <w:rsid w:val="003533CA"/>
    <w:rsid w:val="00354394"/>
    <w:rsid w:val="0035493A"/>
    <w:rsid w:val="00360759"/>
    <w:rsid w:val="00365CB8"/>
    <w:rsid w:val="003669CC"/>
    <w:rsid w:val="00372153"/>
    <w:rsid w:val="00374216"/>
    <w:rsid w:val="00380E64"/>
    <w:rsid w:val="00384772"/>
    <w:rsid w:val="00387729"/>
    <w:rsid w:val="0039063B"/>
    <w:rsid w:val="003911E4"/>
    <w:rsid w:val="00391557"/>
    <w:rsid w:val="003958D9"/>
    <w:rsid w:val="003A19A5"/>
    <w:rsid w:val="003A2034"/>
    <w:rsid w:val="003A269C"/>
    <w:rsid w:val="003A447E"/>
    <w:rsid w:val="003A6A3B"/>
    <w:rsid w:val="003B0AAE"/>
    <w:rsid w:val="003B0E35"/>
    <w:rsid w:val="003B1682"/>
    <w:rsid w:val="003B1937"/>
    <w:rsid w:val="003B6150"/>
    <w:rsid w:val="003B660D"/>
    <w:rsid w:val="003B74E4"/>
    <w:rsid w:val="003C03EB"/>
    <w:rsid w:val="003C0A77"/>
    <w:rsid w:val="003C142B"/>
    <w:rsid w:val="003C1F90"/>
    <w:rsid w:val="003C2311"/>
    <w:rsid w:val="003D0D26"/>
    <w:rsid w:val="003D4283"/>
    <w:rsid w:val="003D6219"/>
    <w:rsid w:val="003D6FA8"/>
    <w:rsid w:val="003E022B"/>
    <w:rsid w:val="003E1F3D"/>
    <w:rsid w:val="003E269D"/>
    <w:rsid w:val="003E2B20"/>
    <w:rsid w:val="003F1027"/>
    <w:rsid w:val="003F6CA9"/>
    <w:rsid w:val="004008C7"/>
    <w:rsid w:val="004011BA"/>
    <w:rsid w:val="00403823"/>
    <w:rsid w:val="00403AB5"/>
    <w:rsid w:val="00404731"/>
    <w:rsid w:val="004053D4"/>
    <w:rsid w:val="004115B6"/>
    <w:rsid w:val="00413868"/>
    <w:rsid w:val="00413F6B"/>
    <w:rsid w:val="00414BA7"/>
    <w:rsid w:val="00415126"/>
    <w:rsid w:val="004152D6"/>
    <w:rsid w:val="004164B0"/>
    <w:rsid w:val="00417A6F"/>
    <w:rsid w:val="0042014B"/>
    <w:rsid w:val="004205EF"/>
    <w:rsid w:val="00421306"/>
    <w:rsid w:val="00422328"/>
    <w:rsid w:val="00422BB7"/>
    <w:rsid w:val="00423CCC"/>
    <w:rsid w:val="00424D3E"/>
    <w:rsid w:val="0042557B"/>
    <w:rsid w:val="004318DC"/>
    <w:rsid w:val="004347C9"/>
    <w:rsid w:val="004353C2"/>
    <w:rsid w:val="00436DF5"/>
    <w:rsid w:val="00440231"/>
    <w:rsid w:val="00440E22"/>
    <w:rsid w:val="00440F44"/>
    <w:rsid w:val="004456CC"/>
    <w:rsid w:val="00445CDC"/>
    <w:rsid w:val="00450702"/>
    <w:rsid w:val="00450FF8"/>
    <w:rsid w:val="004533ED"/>
    <w:rsid w:val="004552A2"/>
    <w:rsid w:val="00456D91"/>
    <w:rsid w:val="00461C8E"/>
    <w:rsid w:val="004640D1"/>
    <w:rsid w:val="0046717F"/>
    <w:rsid w:val="0047036B"/>
    <w:rsid w:val="00470721"/>
    <w:rsid w:val="00470B99"/>
    <w:rsid w:val="00472115"/>
    <w:rsid w:val="00475C39"/>
    <w:rsid w:val="004803E5"/>
    <w:rsid w:val="00482A22"/>
    <w:rsid w:val="00484068"/>
    <w:rsid w:val="00486626"/>
    <w:rsid w:val="00487F0F"/>
    <w:rsid w:val="0049414B"/>
    <w:rsid w:val="004977DE"/>
    <w:rsid w:val="004A1760"/>
    <w:rsid w:val="004A2115"/>
    <w:rsid w:val="004A2F6F"/>
    <w:rsid w:val="004B10F5"/>
    <w:rsid w:val="004B26EB"/>
    <w:rsid w:val="004B48AF"/>
    <w:rsid w:val="004B50BC"/>
    <w:rsid w:val="004B6187"/>
    <w:rsid w:val="004B7FFA"/>
    <w:rsid w:val="004C0182"/>
    <w:rsid w:val="004C03D5"/>
    <w:rsid w:val="004C21BB"/>
    <w:rsid w:val="004C2EB3"/>
    <w:rsid w:val="004C3CC3"/>
    <w:rsid w:val="004C4418"/>
    <w:rsid w:val="004C5006"/>
    <w:rsid w:val="004C625A"/>
    <w:rsid w:val="004C64D9"/>
    <w:rsid w:val="004C697F"/>
    <w:rsid w:val="004D43D2"/>
    <w:rsid w:val="004D652E"/>
    <w:rsid w:val="004E0529"/>
    <w:rsid w:val="004E0CAD"/>
    <w:rsid w:val="004E1EBB"/>
    <w:rsid w:val="004E3959"/>
    <w:rsid w:val="004E5EA3"/>
    <w:rsid w:val="004E7F7D"/>
    <w:rsid w:val="004F0DFD"/>
    <w:rsid w:val="004F112A"/>
    <w:rsid w:val="004F1B89"/>
    <w:rsid w:val="004F3B07"/>
    <w:rsid w:val="004F42DC"/>
    <w:rsid w:val="004F6CE4"/>
    <w:rsid w:val="0050428E"/>
    <w:rsid w:val="00510952"/>
    <w:rsid w:val="00512224"/>
    <w:rsid w:val="005223FD"/>
    <w:rsid w:val="00525303"/>
    <w:rsid w:val="00527304"/>
    <w:rsid w:val="0053137B"/>
    <w:rsid w:val="00532423"/>
    <w:rsid w:val="00532BFB"/>
    <w:rsid w:val="00533E29"/>
    <w:rsid w:val="00535B95"/>
    <w:rsid w:val="005365E0"/>
    <w:rsid w:val="00542479"/>
    <w:rsid w:val="00543AEF"/>
    <w:rsid w:val="00544362"/>
    <w:rsid w:val="00547CA9"/>
    <w:rsid w:val="00550256"/>
    <w:rsid w:val="0055055C"/>
    <w:rsid w:val="0055577C"/>
    <w:rsid w:val="00557D15"/>
    <w:rsid w:val="00560034"/>
    <w:rsid w:val="00560171"/>
    <w:rsid w:val="00560BE3"/>
    <w:rsid w:val="0056179B"/>
    <w:rsid w:val="0056448B"/>
    <w:rsid w:val="00565F92"/>
    <w:rsid w:val="00571E75"/>
    <w:rsid w:val="00573408"/>
    <w:rsid w:val="00573E0F"/>
    <w:rsid w:val="00576ED0"/>
    <w:rsid w:val="00576F0D"/>
    <w:rsid w:val="00580BDF"/>
    <w:rsid w:val="00583EC7"/>
    <w:rsid w:val="00586C72"/>
    <w:rsid w:val="00587C8F"/>
    <w:rsid w:val="00593217"/>
    <w:rsid w:val="0059367E"/>
    <w:rsid w:val="005959F9"/>
    <w:rsid w:val="00596AD2"/>
    <w:rsid w:val="00597798"/>
    <w:rsid w:val="005A0D15"/>
    <w:rsid w:val="005A18D7"/>
    <w:rsid w:val="005A2A86"/>
    <w:rsid w:val="005A4466"/>
    <w:rsid w:val="005A5392"/>
    <w:rsid w:val="005A540F"/>
    <w:rsid w:val="005A6891"/>
    <w:rsid w:val="005A6A2D"/>
    <w:rsid w:val="005B3729"/>
    <w:rsid w:val="005B5ADE"/>
    <w:rsid w:val="005C154E"/>
    <w:rsid w:val="005C31A0"/>
    <w:rsid w:val="005C35BE"/>
    <w:rsid w:val="005C4952"/>
    <w:rsid w:val="005C63F7"/>
    <w:rsid w:val="005C74C9"/>
    <w:rsid w:val="005D0EE2"/>
    <w:rsid w:val="005D2355"/>
    <w:rsid w:val="005D2565"/>
    <w:rsid w:val="005D6CD2"/>
    <w:rsid w:val="005D6E23"/>
    <w:rsid w:val="005E11FC"/>
    <w:rsid w:val="005E16F9"/>
    <w:rsid w:val="005E28FB"/>
    <w:rsid w:val="005E5130"/>
    <w:rsid w:val="005E6294"/>
    <w:rsid w:val="005E6A30"/>
    <w:rsid w:val="005E6D8B"/>
    <w:rsid w:val="005E7C51"/>
    <w:rsid w:val="005E7C87"/>
    <w:rsid w:val="005F1009"/>
    <w:rsid w:val="005F1298"/>
    <w:rsid w:val="005F21D1"/>
    <w:rsid w:val="005F5ACC"/>
    <w:rsid w:val="005F6288"/>
    <w:rsid w:val="005F69CC"/>
    <w:rsid w:val="005F76B2"/>
    <w:rsid w:val="00603FF6"/>
    <w:rsid w:val="00605DDD"/>
    <w:rsid w:val="00605E06"/>
    <w:rsid w:val="00607663"/>
    <w:rsid w:val="006104D6"/>
    <w:rsid w:val="006109E9"/>
    <w:rsid w:val="00610CFE"/>
    <w:rsid w:val="00611D83"/>
    <w:rsid w:val="00611ED6"/>
    <w:rsid w:val="00613278"/>
    <w:rsid w:val="0061556B"/>
    <w:rsid w:val="00617B32"/>
    <w:rsid w:val="0062031D"/>
    <w:rsid w:val="006231E7"/>
    <w:rsid w:val="0062389F"/>
    <w:rsid w:val="006244DA"/>
    <w:rsid w:val="0062473C"/>
    <w:rsid w:val="00634850"/>
    <w:rsid w:val="00635D66"/>
    <w:rsid w:val="00640940"/>
    <w:rsid w:val="00640AF8"/>
    <w:rsid w:val="00640DAD"/>
    <w:rsid w:val="00640F10"/>
    <w:rsid w:val="0064190A"/>
    <w:rsid w:val="00642DBA"/>
    <w:rsid w:val="00646310"/>
    <w:rsid w:val="00650891"/>
    <w:rsid w:val="00655B53"/>
    <w:rsid w:val="00662536"/>
    <w:rsid w:val="006663BD"/>
    <w:rsid w:val="00670210"/>
    <w:rsid w:val="006724CC"/>
    <w:rsid w:val="00674463"/>
    <w:rsid w:val="006754D2"/>
    <w:rsid w:val="00683D7C"/>
    <w:rsid w:val="006859F7"/>
    <w:rsid w:val="0069019B"/>
    <w:rsid w:val="00690B97"/>
    <w:rsid w:val="00693363"/>
    <w:rsid w:val="00693D92"/>
    <w:rsid w:val="0069518F"/>
    <w:rsid w:val="00696A94"/>
    <w:rsid w:val="00697A4F"/>
    <w:rsid w:val="006A386A"/>
    <w:rsid w:val="006A41AF"/>
    <w:rsid w:val="006A5E3E"/>
    <w:rsid w:val="006A797E"/>
    <w:rsid w:val="006B0C72"/>
    <w:rsid w:val="006B4380"/>
    <w:rsid w:val="006B7D84"/>
    <w:rsid w:val="006B7FC7"/>
    <w:rsid w:val="006C1B88"/>
    <w:rsid w:val="006C38AD"/>
    <w:rsid w:val="006C6B74"/>
    <w:rsid w:val="006D09EF"/>
    <w:rsid w:val="006D4B39"/>
    <w:rsid w:val="006D4D41"/>
    <w:rsid w:val="006E35F7"/>
    <w:rsid w:val="006E6527"/>
    <w:rsid w:val="006F050F"/>
    <w:rsid w:val="006F2940"/>
    <w:rsid w:val="006F2CC8"/>
    <w:rsid w:val="006F3537"/>
    <w:rsid w:val="006F3F1B"/>
    <w:rsid w:val="006F513F"/>
    <w:rsid w:val="006F6450"/>
    <w:rsid w:val="006F73DA"/>
    <w:rsid w:val="007005CD"/>
    <w:rsid w:val="00703EBF"/>
    <w:rsid w:val="007055B2"/>
    <w:rsid w:val="007069EB"/>
    <w:rsid w:val="00712ED5"/>
    <w:rsid w:val="007162A5"/>
    <w:rsid w:val="0071762D"/>
    <w:rsid w:val="007231E9"/>
    <w:rsid w:val="00725BC0"/>
    <w:rsid w:val="00726797"/>
    <w:rsid w:val="00726CB4"/>
    <w:rsid w:val="007320EE"/>
    <w:rsid w:val="00733700"/>
    <w:rsid w:val="007360B9"/>
    <w:rsid w:val="00740005"/>
    <w:rsid w:val="0074020C"/>
    <w:rsid w:val="00740DF8"/>
    <w:rsid w:val="00744A2C"/>
    <w:rsid w:val="007471C7"/>
    <w:rsid w:val="00750F7C"/>
    <w:rsid w:val="00751B9F"/>
    <w:rsid w:val="00753381"/>
    <w:rsid w:val="0075427A"/>
    <w:rsid w:val="00756AB3"/>
    <w:rsid w:val="0076304F"/>
    <w:rsid w:val="00764BCB"/>
    <w:rsid w:val="00773899"/>
    <w:rsid w:val="00780473"/>
    <w:rsid w:val="00784200"/>
    <w:rsid w:val="00784B86"/>
    <w:rsid w:val="00786AF7"/>
    <w:rsid w:val="007907E5"/>
    <w:rsid w:val="00791216"/>
    <w:rsid w:val="00792CEB"/>
    <w:rsid w:val="00795D7B"/>
    <w:rsid w:val="00797654"/>
    <w:rsid w:val="007A0AE5"/>
    <w:rsid w:val="007A3E56"/>
    <w:rsid w:val="007A5771"/>
    <w:rsid w:val="007A69C1"/>
    <w:rsid w:val="007A69E2"/>
    <w:rsid w:val="007B0238"/>
    <w:rsid w:val="007B1879"/>
    <w:rsid w:val="007B2559"/>
    <w:rsid w:val="007B3B54"/>
    <w:rsid w:val="007B3BE2"/>
    <w:rsid w:val="007B5566"/>
    <w:rsid w:val="007B6A76"/>
    <w:rsid w:val="007B711A"/>
    <w:rsid w:val="007C3F49"/>
    <w:rsid w:val="007C434F"/>
    <w:rsid w:val="007C5B64"/>
    <w:rsid w:val="007C65D4"/>
    <w:rsid w:val="007C6F7F"/>
    <w:rsid w:val="007D0647"/>
    <w:rsid w:val="007D0E21"/>
    <w:rsid w:val="007D1EFA"/>
    <w:rsid w:val="007D532E"/>
    <w:rsid w:val="007D608A"/>
    <w:rsid w:val="007D7069"/>
    <w:rsid w:val="007E242D"/>
    <w:rsid w:val="007E257F"/>
    <w:rsid w:val="007E68E9"/>
    <w:rsid w:val="007E7452"/>
    <w:rsid w:val="007F0BC0"/>
    <w:rsid w:val="007F33DA"/>
    <w:rsid w:val="007F4404"/>
    <w:rsid w:val="007F44BE"/>
    <w:rsid w:val="007F46BC"/>
    <w:rsid w:val="007F4C48"/>
    <w:rsid w:val="00802108"/>
    <w:rsid w:val="008021B1"/>
    <w:rsid w:val="00802A51"/>
    <w:rsid w:val="00802CA7"/>
    <w:rsid w:val="00804BE3"/>
    <w:rsid w:val="00806377"/>
    <w:rsid w:val="00806EFF"/>
    <w:rsid w:val="00812636"/>
    <w:rsid w:val="0082056F"/>
    <w:rsid w:val="00821537"/>
    <w:rsid w:val="008258CA"/>
    <w:rsid w:val="00825C08"/>
    <w:rsid w:val="00826A1C"/>
    <w:rsid w:val="0083058C"/>
    <w:rsid w:val="0083363C"/>
    <w:rsid w:val="008344FF"/>
    <w:rsid w:val="00834ACA"/>
    <w:rsid w:val="00834B1C"/>
    <w:rsid w:val="008354D5"/>
    <w:rsid w:val="00835DE7"/>
    <w:rsid w:val="00836304"/>
    <w:rsid w:val="0083631A"/>
    <w:rsid w:val="00840E08"/>
    <w:rsid w:val="0084540A"/>
    <w:rsid w:val="00846097"/>
    <w:rsid w:val="008474A2"/>
    <w:rsid w:val="00850F11"/>
    <w:rsid w:val="00852A83"/>
    <w:rsid w:val="00852CAE"/>
    <w:rsid w:val="00853473"/>
    <w:rsid w:val="00853B8B"/>
    <w:rsid w:val="00853E1F"/>
    <w:rsid w:val="00854D3E"/>
    <w:rsid w:val="00854F65"/>
    <w:rsid w:val="00861D20"/>
    <w:rsid w:val="008622E4"/>
    <w:rsid w:val="00865F30"/>
    <w:rsid w:val="00867A12"/>
    <w:rsid w:val="00871BB7"/>
    <w:rsid w:val="00872E19"/>
    <w:rsid w:val="00874AAE"/>
    <w:rsid w:val="00875708"/>
    <w:rsid w:val="00875BF1"/>
    <w:rsid w:val="00875E89"/>
    <w:rsid w:val="00877FD8"/>
    <w:rsid w:val="00881557"/>
    <w:rsid w:val="00881A97"/>
    <w:rsid w:val="00884122"/>
    <w:rsid w:val="00884504"/>
    <w:rsid w:val="00885F8A"/>
    <w:rsid w:val="00890346"/>
    <w:rsid w:val="00891979"/>
    <w:rsid w:val="0089433D"/>
    <w:rsid w:val="008952ED"/>
    <w:rsid w:val="00896DE6"/>
    <w:rsid w:val="008A2027"/>
    <w:rsid w:val="008A2CD6"/>
    <w:rsid w:val="008A343E"/>
    <w:rsid w:val="008A5088"/>
    <w:rsid w:val="008A5590"/>
    <w:rsid w:val="008A58A6"/>
    <w:rsid w:val="008A61F2"/>
    <w:rsid w:val="008A7C6F"/>
    <w:rsid w:val="008B0D6E"/>
    <w:rsid w:val="008B0EEF"/>
    <w:rsid w:val="008B20CD"/>
    <w:rsid w:val="008B2BD8"/>
    <w:rsid w:val="008B4328"/>
    <w:rsid w:val="008B4B63"/>
    <w:rsid w:val="008B64B9"/>
    <w:rsid w:val="008B72CA"/>
    <w:rsid w:val="008B7312"/>
    <w:rsid w:val="008B7F9F"/>
    <w:rsid w:val="008C1818"/>
    <w:rsid w:val="008C1A63"/>
    <w:rsid w:val="008C2AA4"/>
    <w:rsid w:val="008C3057"/>
    <w:rsid w:val="008C38B7"/>
    <w:rsid w:val="008C3EF1"/>
    <w:rsid w:val="008D3CDC"/>
    <w:rsid w:val="008D5426"/>
    <w:rsid w:val="008D5815"/>
    <w:rsid w:val="008E1721"/>
    <w:rsid w:val="008E3865"/>
    <w:rsid w:val="008E3CD2"/>
    <w:rsid w:val="008E3D9E"/>
    <w:rsid w:val="008E4E38"/>
    <w:rsid w:val="008E55FF"/>
    <w:rsid w:val="008F11A3"/>
    <w:rsid w:val="008F3744"/>
    <w:rsid w:val="008F7F78"/>
    <w:rsid w:val="0090183B"/>
    <w:rsid w:val="00902544"/>
    <w:rsid w:val="00905A43"/>
    <w:rsid w:val="00905C0A"/>
    <w:rsid w:val="00907060"/>
    <w:rsid w:val="00907274"/>
    <w:rsid w:val="00907971"/>
    <w:rsid w:val="00910C5A"/>
    <w:rsid w:val="009132E3"/>
    <w:rsid w:val="009148AC"/>
    <w:rsid w:val="00914C1D"/>
    <w:rsid w:val="00914E57"/>
    <w:rsid w:val="00927553"/>
    <w:rsid w:val="0093297A"/>
    <w:rsid w:val="009333F1"/>
    <w:rsid w:val="00934CC8"/>
    <w:rsid w:val="0093720E"/>
    <w:rsid w:val="00937832"/>
    <w:rsid w:val="00940D05"/>
    <w:rsid w:val="0094128A"/>
    <w:rsid w:val="00941339"/>
    <w:rsid w:val="00941F1D"/>
    <w:rsid w:val="00943829"/>
    <w:rsid w:val="009441ED"/>
    <w:rsid w:val="00944508"/>
    <w:rsid w:val="00945910"/>
    <w:rsid w:val="0094622B"/>
    <w:rsid w:val="00946E17"/>
    <w:rsid w:val="00955AD3"/>
    <w:rsid w:val="00960FE0"/>
    <w:rsid w:val="00964194"/>
    <w:rsid w:val="00964D25"/>
    <w:rsid w:val="00966A2E"/>
    <w:rsid w:val="00966E35"/>
    <w:rsid w:val="00970BBB"/>
    <w:rsid w:val="00973AF4"/>
    <w:rsid w:val="009828B2"/>
    <w:rsid w:val="0098465E"/>
    <w:rsid w:val="00986804"/>
    <w:rsid w:val="00990F9E"/>
    <w:rsid w:val="00992BD3"/>
    <w:rsid w:val="00993BAE"/>
    <w:rsid w:val="0099546D"/>
    <w:rsid w:val="009960F9"/>
    <w:rsid w:val="0099770C"/>
    <w:rsid w:val="00997A56"/>
    <w:rsid w:val="009A0227"/>
    <w:rsid w:val="009A3853"/>
    <w:rsid w:val="009A58E6"/>
    <w:rsid w:val="009A690F"/>
    <w:rsid w:val="009A6EB9"/>
    <w:rsid w:val="009B029F"/>
    <w:rsid w:val="009B0520"/>
    <w:rsid w:val="009B19FF"/>
    <w:rsid w:val="009B4220"/>
    <w:rsid w:val="009B785D"/>
    <w:rsid w:val="009C2A3C"/>
    <w:rsid w:val="009C3D48"/>
    <w:rsid w:val="009C4CAC"/>
    <w:rsid w:val="009C5B73"/>
    <w:rsid w:val="009C5B87"/>
    <w:rsid w:val="009C5CA8"/>
    <w:rsid w:val="009D07EF"/>
    <w:rsid w:val="009D23E9"/>
    <w:rsid w:val="009D2BC0"/>
    <w:rsid w:val="009D2F28"/>
    <w:rsid w:val="009D327F"/>
    <w:rsid w:val="009D3731"/>
    <w:rsid w:val="009D4E07"/>
    <w:rsid w:val="009D56D7"/>
    <w:rsid w:val="009D7F5D"/>
    <w:rsid w:val="009E41D3"/>
    <w:rsid w:val="009E5E25"/>
    <w:rsid w:val="009E77F2"/>
    <w:rsid w:val="009F2FF9"/>
    <w:rsid w:val="009F3DF5"/>
    <w:rsid w:val="00A0156A"/>
    <w:rsid w:val="00A02972"/>
    <w:rsid w:val="00A0493F"/>
    <w:rsid w:val="00A05C28"/>
    <w:rsid w:val="00A06C96"/>
    <w:rsid w:val="00A072AE"/>
    <w:rsid w:val="00A10889"/>
    <w:rsid w:val="00A109D4"/>
    <w:rsid w:val="00A12126"/>
    <w:rsid w:val="00A12A25"/>
    <w:rsid w:val="00A12D57"/>
    <w:rsid w:val="00A12D70"/>
    <w:rsid w:val="00A1430A"/>
    <w:rsid w:val="00A14A82"/>
    <w:rsid w:val="00A1518E"/>
    <w:rsid w:val="00A17C7A"/>
    <w:rsid w:val="00A21469"/>
    <w:rsid w:val="00A21B50"/>
    <w:rsid w:val="00A2215A"/>
    <w:rsid w:val="00A2275D"/>
    <w:rsid w:val="00A22F48"/>
    <w:rsid w:val="00A256C3"/>
    <w:rsid w:val="00A25AFB"/>
    <w:rsid w:val="00A300E2"/>
    <w:rsid w:val="00A31C8A"/>
    <w:rsid w:val="00A36B6F"/>
    <w:rsid w:val="00A36C35"/>
    <w:rsid w:val="00A37A93"/>
    <w:rsid w:val="00A438B7"/>
    <w:rsid w:val="00A44995"/>
    <w:rsid w:val="00A44D65"/>
    <w:rsid w:val="00A45F83"/>
    <w:rsid w:val="00A463BE"/>
    <w:rsid w:val="00A51C30"/>
    <w:rsid w:val="00A5226D"/>
    <w:rsid w:val="00A5361C"/>
    <w:rsid w:val="00A53730"/>
    <w:rsid w:val="00A54248"/>
    <w:rsid w:val="00A5704A"/>
    <w:rsid w:val="00A57687"/>
    <w:rsid w:val="00A57D2F"/>
    <w:rsid w:val="00A61231"/>
    <w:rsid w:val="00A6297F"/>
    <w:rsid w:val="00A65515"/>
    <w:rsid w:val="00A71876"/>
    <w:rsid w:val="00A7345B"/>
    <w:rsid w:val="00A76D9B"/>
    <w:rsid w:val="00A832A0"/>
    <w:rsid w:val="00A83CCD"/>
    <w:rsid w:val="00A87317"/>
    <w:rsid w:val="00A873DD"/>
    <w:rsid w:val="00A91411"/>
    <w:rsid w:val="00A94647"/>
    <w:rsid w:val="00A95D43"/>
    <w:rsid w:val="00A95F6F"/>
    <w:rsid w:val="00A960F1"/>
    <w:rsid w:val="00AA0612"/>
    <w:rsid w:val="00AA2D57"/>
    <w:rsid w:val="00AA3F14"/>
    <w:rsid w:val="00AA3F39"/>
    <w:rsid w:val="00AA6325"/>
    <w:rsid w:val="00AB0EDB"/>
    <w:rsid w:val="00AB29C7"/>
    <w:rsid w:val="00AB2BF1"/>
    <w:rsid w:val="00AB48CD"/>
    <w:rsid w:val="00AB538B"/>
    <w:rsid w:val="00AB6D11"/>
    <w:rsid w:val="00AB75B8"/>
    <w:rsid w:val="00AC1142"/>
    <w:rsid w:val="00AC2FD9"/>
    <w:rsid w:val="00AC3266"/>
    <w:rsid w:val="00AC72F0"/>
    <w:rsid w:val="00AD0E7C"/>
    <w:rsid w:val="00AD29E4"/>
    <w:rsid w:val="00AD32D0"/>
    <w:rsid w:val="00AD3A50"/>
    <w:rsid w:val="00AD51CE"/>
    <w:rsid w:val="00AD735D"/>
    <w:rsid w:val="00AD7650"/>
    <w:rsid w:val="00AE061A"/>
    <w:rsid w:val="00AE4FFB"/>
    <w:rsid w:val="00AE51CF"/>
    <w:rsid w:val="00AE565F"/>
    <w:rsid w:val="00AE7959"/>
    <w:rsid w:val="00AF327F"/>
    <w:rsid w:val="00AF3626"/>
    <w:rsid w:val="00AF76B9"/>
    <w:rsid w:val="00B005E5"/>
    <w:rsid w:val="00B01724"/>
    <w:rsid w:val="00B04623"/>
    <w:rsid w:val="00B05F83"/>
    <w:rsid w:val="00B07BC7"/>
    <w:rsid w:val="00B107DE"/>
    <w:rsid w:val="00B11307"/>
    <w:rsid w:val="00B1368B"/>
    <w:rsid w:val="00B13B6B"/>
    <w:rsid w:val="00B14E27"/>
    <w:rsid w:val="00B15CA5"/>
    <w:rsid w:val="00B221AD"/>
    <w:rsid w:val="00B27371"/>
    <w:rsid w:val="00B30061"/>
    <w:rsid w:val="00B30162"/>
    <w:rsid w:val="00B31461"/>
    <w:rsid w:val="00B31649"/>
    <w:rsid w:val="00B37596"/>
    <w:rsid w:val="00B37B7F"/>
    <w:rsid w:val="00B42ECE"/>
    <w:rsid w:val="00B43E2A"/>
    <w:rsid w:val="00B44D4B"/>
    <w:rsid w:val="00B4550A"/>
    <w:rsid w:val="00B50C38"/>
    <w:rsid w:val="00B51BDB"/>
    <w:rsid w:val="00B53589"/>
    <w:rsid w:val="00B55023"/>
    <w:rsid w:val="00B55488"/>
    <w:rsid w:val="00B556AC"/>
    <w:rsid w:val="00B56443"/>
    <w:rsid w:val="00B615F9"/>
    <w:rsid w:val="00B63232"/>
    <w:rsid w:val="00B632B4"/>
    <w:rsid w:val="00B634C6"/>
    <w:rsid w:val="00B636DC"/>
    <w:rsid w:val="00B64B1F"/>
    <w:rsid w:val="00B64C58"/>
    <w:rsid w:val="00B668E7"/>
    <w:rsid w:val="00B70A6F"/>
    <w:rsid w:val="00B72075"/>
    <w:rsid w:val="00B72F22"/>
    <w:rsid w:val="00B73CD8"/>
    <w:rsid w:val="00B749C9"/>
    <w:rsid w:val="00B751A7"/>
    <w:rsid w:val="00B75AB6"/>
    <w:rsid w:val="00B8083A"/>
    <w:rsid w:val="00B81F04"/>
    <w:rsid w:val="00B81FCB"/>
    <w:rsid w:val="00B867DD"/>
    <w:rsid w:val="00B90EA0"/>
    <w:rsid w:val="00B914D3"/>
    <w:rsid w:val="00B9375A"/>
    <w:rsid w:val="00B96747"/>
    <w:rsid w:val="00B97112"/>
    <w:rsid w:val="00BA0CE8"/>
    <w:rsid w:val="00BA19BE"/>
    <w:rsid w:val="00BA4B0C"/>
    <w:rsid w:val="00BB1D59"/>
    <w:rsid w:val="00BB4E99"/>
    <w:rsid w:val="00BB5EA5"/>
    <w:rsid w:val="00BB5FBA"/>
    <w:rsid w:val="00BC0B49"/>
    <w:rsid w:val="00BC63F3"/>
    <w:rsid w:val="00BD1864"/>
    <w:rsid w:val="00BD2E15"/>
    <w:rsid w:val="00BD751C"/>
    <w:rsid w:val="00BE46AC"/>
    <w:rsid w:val="00BE639D"/>
    <w:rsid w:val="00BF44C4"/>
    <w:rsid w:val="00BF5081"/>
    <w:rsid w:val="00BF5C66"/>
    <w:rsid w:val="00BF6BE2"/>
    <w:rsid w:val="00C01C01"/>
    <w:rsid w:val="00C02F16"/>
    <w:rsid w:val="00C04619"/>
    <w:rsid w:val="00C05A4F"/>
    <w:rsid w:val="00C05E5B"/>
    <w:rsid w:val="00C061E3"/>
    <w:rsid w:val="00C119C2"/>
    <w:rsid w:val="00C122D5"/>
    <w:rsid w:val="00C12B1C"/>
    <w:rsid w:val="00C14967"/>
    <w:rsid w:val="00C1627A"/>
    <w:rsid w:val="00C22F4C"/>
    <w:rsid w:val="00C23789"/>
    <w:rsid w:val="00C23DBC"/>
    <w:rsid w:val="00C26866"/>
    <w:rsid w:val="00C26E47"/>
    <w:rsid w:val="00C2750C"/>
    <w:rsid w:val="00C30253"/>
    <w:rsid w:val="00C3083F"/>
    <w:rsid w:val="00C33404"/>
    <w:rsid w:val="00C34A8C"/>
    <w:rsid w:val="00C41927"/>
    <w:rsid w:val="00C42CE4"/>
    <w:rsid w:val="00C43BDE"/>
    <w:rsid w:val="00C446BD"/>
    <w:rsid w:val="00C502B8"/>
    <w:rsid w:val="00C53EDB"/>
    <w:rsid w:val="00C62334"/>
    <w:rsid w:val="00C652AA"/>
    <w:rsid w:val="00C676E5"/>
    <w:rsid w:val="00C7079D"/>
    <w:rsid w:val="00C71638"/>
    <w:rsid w:val="00C71A96"/>
    <w:rsid w:val="00C7374A"/>
    <w:rsid w:val="00C81D29"/>
    <w:rsid w:val="00C86566"/>
    <w:rsid w:val="00C90DDF"/>
    <w:rsid w:val="00C917EB"/>
    <w:rsid w:val="00C926AD"/>
    <w:rsid w:val="00C92CFB"/>
    <w:rsid w:val="00C93193"/>
    <w:rsid w:val="00C97FF4"/>
    <w:rsid w:val="00CA0643"/>
    <w:rsid w:val="00CA0ADF"/>
    <w:rsid w:val="00CA3A14"/>
    <w:rsid w:val="00CA5938"/>
    <w:rsid w:val="00CA5EBF"/>
    <w:rsid w:val="00CA6C07"/>
    <w:rsid w:val="00CB027B"/>
    <w:rsid w:val="00CB04F8"/>
    <w:rsid w:val="00CB642F"/>
    <w:rsid w:val="00CB7F0D"/>
    <w:rsid w:val="00CC1DF7"/>
    <w:rsid w:val="00CC28C6"/>
    <w:rsid w:val="00CC4808"/>
    <w:rsid w:val="00CC4C0C"/>
    <w:rsid w:val="00CD1B6F"/>
    <w:rsid w:val="00CD30AA"/>
    <w:rsid w:val="00CD3D90"/>
    <w:rsid w:val="00CD3F5B"/>
    <w:rsid w:val="00CD4A55"/>
    <w:rsid w:val="00CD56F8"/>
    <w:rsid w:val="00CD5923"/>
    <w:rsid w:val="00CD67E1"/>
    <w:rsid w:val="00CE0D2C"/>
    <w:rsid w:val="00CE0EFD"/>
    <w:rsid w:val="00CE1B8A"/>
    <w:rsid w:val="00CE4936"/>
    <w:rsid w:val="00CE5A65"/>
    <w:rsid w:val="00CE5BE1"/>
    <w:rsid w:val="00CE77AE"/>
    <w:rsid w:val="00CF0867"/>
    <w:rsid w:val="00CF17E9"/>
    <w:rsid w:val="00CF2D63"/>
    <w:rsid w:val="00CF32F4"/>
    <w:rsid w:val="00CF34A0"/>
    <w:rsid w:val="00CF3600"/>
    <w:rsid w:val="00CF5206"/>
    <w:rsid w:val="00CF65B7"/>
    <w:rsid w:val="00CF70FA"/>
    <w:rsid w:val="00D003B0"/>
    <w:rsid w:val="00D03610"/>
    <w:rsid w:val="00D06F27"/>
    <w:rsid w:val="00D07271"/>
    <w:rsid w:val="00D104D6"/>
    <w:rsid w:val="00D14EC0"/>
    <w:rsid w:val="00D15807"/>
    <w:rsid w:val="00D17563"/>
    <w:rsid w:val="00D2234D"/>
    <w:rsid w:val="00D24520"/>
    <w:rsid w:val="00D262EA"/>
    <w:rsid w:val="00D31595"/>
    <w:rsid w:val="00D31DFE"/>
    <w:rsid w:val="00D34A5C"/>
    <w:rsid w:val="00D378A3"/>
    <w:rsid w:val="00D404A8"/>
    <w:rsid w:val="00D40AAD"/>
    <w:rsid w:val="00D40DEC"/>
    <w:rsid w:val="00D4403D"/>
    <w:rsid w:val="00D4482D"/>
    <w:rsid w:val="00D4526A"/>
    <w:rsid w:val="00D454E8"/>
    <w:rsid w:val="00D47ACC"/>
    <w:rsid w:val="00D51066"/>
    <w:rsid w:val="00D51FE7"/>
    <w:rsid w:val="00D52F32"/>
    <w:rsid w:val="00D53831"/>
    <w:rsid w:val="00D55E90"/>
    <w:rsid w:val="00D55FAC"/>
    <w:rsid w:val="00D60807"/>
    <w:rsid w:val="00D61332"/>
    <w:rsid w:val="00D62292"/>
    <w:rsid w:val="00D64D1F"/>
    <w:rsid w:val="00D66519"/>
    <w:rsid w:val="00D7160E"/>
    <w:rsid w:val="00D72CE4"/>
    <w:rsid w:val="00D73280"/>
    <w:rsid w:val="00D735FF"/>
    <w:rsid w:val="00D73A3C"/>
    <w:rsid w:val="00D74FF1"/>
    <w:rsid w:val="00D82E72"/>
    <w:rsid w:val="00D903A6"/>
    <w:rsid w:val="00D9098B"/>
    <w:rsid w:val="00D91BC7"/>
    <w:rsid w:val="00D9288B"/>
    <w:rsid w:val="00D938F7"/>
    <w:rsid w:val="00D93A62"/>
    <w:rsid w:val="00D953AA"/>
    <w:rsid w:val="00D961B4"/>
    <w:rsid w:val="00DA0765"/>
    <w:rsid w:val="00DA1C78"/>
    <w:rsid w:val="00DA3060"/>
    <w:rsid w:val="00DA62A2"/>
    <w:rsid w:val="00DA6F20"/>
    <w:rsid w:val="00DB17ED"/>
    <w:rsid w:val="00DB33D5"/>
    <w:rsid w:val="00DB5B5B"/>
    <w:rsid w:val="00DC2D7A"/>
    <w:rsid w:val="00DD14E1"/>
    <w:rsid w:val="00DE0959"/>
    <w:rsid w:val="00DE1245"/>
    <w:rsid w:val="00DE3A75"/>
    <w:rsid w:val="00DF08B1"/>
    <w:rsid w:val="00DF0E82"/>
    <w:rsid w:val="00DF53D7"/>
    <w:rsid w:val="00DF54C2"/>
    <w:rsid w:val="00DF5787"/>
    <w:rsid w:val="00E019D5"/>
    <w:rsid w:val="00E02771"/>
    <w:rsid w:val="00E02DF9"/>
    <w:rsid w:val="00E03E14"/>
    <w:rsid w:val="00E06474"/>
    <w:rsid w:val="00E06511"/>
    <w:rsid w:val="00E10948"/>
    <w:rsid w:val="00E1193F"/>
    <w:rsid w:val="00E138B2"/>
    <w:rsid w:val="00E13A95"/>
    <w:rsid w:val="00E1446D"/>
    <w:rsid w:val="00E146ED"/>
    <w:rsid w:val="00E14F64"/>
    <w:rsid w:val="00E15FD6"/>
    <w:rsid w:val="00E1630A"/>
    <w:rsid w:val="00E16787"/>
    <w:rsid w:val="00E16AED"/>
    <w:rsid w:val="00E205B3"/>
    <w:rsid w:val="00E22DA3"/>
    <w:rsid w:val="00E23208"/>
    <w:rsid w:val="00E24A15"/>
    <w:rsid w:val="00E24F4E"/>
    <w:rsid w:val="00E275CC"/>
    <w:rsid w:val="00E2768A"/>
    <w:rsid w:val="00E3023E"/>
    <w:rsid w:val="00E338FA"/>
    <w:rsid w:val="00E33CB2"/>
    <w:rsid w:val="00E34B78"/>
    <w:rsid w:val="00E42723"/>
    <w:rsid w:val="00E46F71"/>
    <w:rsid w:val="00E47019"/>
    <w:rsid w:val="00E50A44"/>
    <w:rsid w:val="00E51E6B"/>
    <w:rsid w:val="00E51FE7"/>
    <w:rsid w:val="00E52C7E"/>
    <w:rsid w:val="00E53AD3"/>
    <w:rsid w:val="00E56A2C"/>
    <w:rsid w:val="00E62220"/>
    <w:rsid w:val="00E6281F"/>
    <w:rsid w:val="00E67F9B"/>
    <w:rsid w:val="00E710BE"/>
    <w:rsid w:val="00E7585E"/>
    <w:rsid w:val="00E760B6"/>
    <w:rsid w:val="00E7692F"/>
    <w:rsid w:val="00E8056B"/>
    <w:rsid w:val="00E80A1A"/>
    <w:rsid w:val="00E8228A"/>
    <w:rsid w:val="00E85C83"/>
    <w:rsid w:val="00E8626D"/>
    <w:rsid w:val="00E95091"/>
    <w:rsid w:val="00E96A18"/>
    <w:rsid w:val="00E96AA4"/>
    <w:rsid w:val="00EA1831"/>
    <w:rsid w:val="00EA2204"/>
    <w:rsid w:val="00EA2746"/>
    <w:rsid w:val="00EA3251"/>
    <w:rsid w:val="00EA76CC"/>
    <w:rsid w:val="00EB0C47"/>
    <w:rsid w:val="00EB0E80"/>
    <w:rsid w:val="00EB1FE0"/>
    <w:rsid w:val="00EB39FF"/>
    <w:rsid w:val="00EB52D8"/>
    <w:rsid w:val="00EC3571"/>
    <w:rsid w:val="00EC6498"/>
    <w:rsid w:val="00EC7FDA"/>
    <w:rsid w:val="00ED06E4"/>
    <w:rsid w:val="00ED0B80"/>
    <w:rsid w:val="00ED1DB0"/>
    <w:rsid w:val="00ED2995"/>
    <w:rsid w:val="00ED41E0"/>
    <w:rsid w:val="00ED4667"/>
    <w:rsid w:val="00ED582F"/>
    <w:rsid w:val="00ED6831"/>
    <w:rsid w:val="00EE07EE"/>
    <w:rsid w:val="00EE1242"/>
    <w:rsid w:val="00EE275D"/>
    <w:rsid w:val="00EE3F5C"/>
    <w:rsid w:val="00EE4129"/>
    <w:rsid w:val="00EE4228"/>
    <w:rsid w:val="00EF014A"/>
    <w:rsid w:val="00EF0EA3"/>
    <w:rsid w:val="00EF6EED"/>
    <w:rsid w:val="00F00BBD"/>
    <w:rsid w:val="00F00C11"/>
    <w:rsid w:val="00F019AA"/>
    <w:rsid w:val="00F042CA"/>
    <w:rsid w:val="00F050A9"/>
    <w:rsid w:val="00F0610C"/>
    <w:rsid w:val="00F06E9C"/>
    <w:rsid w:val="00F105BF"/>
    <w:rsid w:val="00F12173"/>
    <w:rsid w:val="00F1550C"/>
    <w:rsid w:val="00F16C2D"/>
    <w:rsid w:val="00F17E6F"/>
    <w:rsid w:val="00F17EC7"/>
    <w:rsid w:val="00F20633"/>
    <w:rsid w:val="00F21CE8"/>
    <w:rsid w:val="00F23F7C"/>
    <w:rsid w:val="00F24101"/>
    <w:rsid w:val="00F24AA1"/>
    <w:rsid w:val="00F26132"/>
    <w:rsid w:val="00F26CFA"/>
    <w:rsid w:val="00F26D5F"/>
    <w:rsid w:val="00F31C8B"/>
    <w:rsid w:val="00F322F1"/>
    <w:rsid w:val="00F32BD9"/>
    <w:rsid w:val="00F33008"/>
    <w:rsid w:val="00F37828"/>
    <w:rsid w:val="00F448EA"/>
    <w:rsid w:val="00F475EC"/>
    <w:rsid w:val="00F506FD"/>
    <w:rsid w:val="00F51B8C"/>
    <w:rsid w:val="00F51D63"/>
    <w:rsid w:val="00F52310"/>
    <w:rsid w:val="00F56935"/>
    <w:rsid w:val="00F637DB"/>
    <w:rsid w:val="00F662E2"/>
    <w:rsid w:val="00F66A3C"/>
    <w:rsid w:val="00F67C91"/>
    <w:rsid w:val="00F70859"/>
    <w:rsid w:val="00F729E0"/>
    <w:rsid w:val="00F748B9"/>
    <w:rsid w:val="00F74A6D"/>
    <w:rsid w:val="00F769BB"/>
    <w:rsid w:val="00F80E00"/>
    <w:rsid w:val="00F839CF"/>
    <w:rsid w:val="00F83C66"/>
    <w:rsid w:val="00F83E5B"/>
    <w:rsid w:val="00F85530"/>
    <w:rsid w:val="00F91F03"/>
    <w:rsid w:val="00F9546E"/>
    <w:rsid w:val="00F971D6"/>
    <w:rsid w:val="00F97363"/>
    <w:rsid w:val="00F973F0"/>
    <w:rsid w:val="00FA1E1F"/>
    <w:rsid w:val="00FA26A5"/>
    <w:rsid w:val="00FA4249"/>
    <w:rsid w:val="00FA4F10"/>
    <w:rsid w:val="00FB2CC5"/>
    <w:rsid w:val="00FB3029"/>
    <w:rsid w:val="00FB3E18"/>
    <w:rsid w:val="00FB5163"/>
    <w:rsid w:val="00FC1688"/>
    <w:rsid w:val="00FC3859"/>
    <w:rsid w:val="00FC561A"/>
    <w:rsid w:val="00FC69C6"/>
    <w:rsid w:val="00FD1B33"/>
    <w:rsid w:val="00FD2E25"/>
    <w:rsid w:val="00FD4C85"/>
    <w:rsid w:val="00FD681D"/>
    <w:rsid w:val="00FE1834"/>
    <w:rsid w:val="00FE2695"/>
    <w:rsid w:val="00FF114D"/>
    <w:rsid w:val="00FF3F1D"/>
    <w:rsid w:val="00FF4F15"/>
    <w:rsid w:val="00FF5EBB"/>
    <w:rsid w:val="00FF6962"/>
    <w:rsid w:val="00FF6A2B"/>
    <w:rsid w:val="00FF71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986519132">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A527-A19A-49F0-8CD1-24D7136F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7209</Words>
  <Characters>39347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46464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harbers</cp:lastModifiedBy>
  <cp:revision>9</cp:revision>
  <cp:lastPrinted>2014-01-14T23:38:00Z</cp:lastPrinted>
  <dcterms:created xsi:type="dcterms:W3CDTF">2014-01-14T22:50:00Z</dcterms:created>
  <dcterms:modified xsi:type="dcterms:W3CDTF">2014-01-14T23:42:00Z</dcterms:modified>
</cp:coreProperties>
</file>