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60"/>
        <w:gridCol w:w="6379"/>
      </w:tblGrid>
      <w:tr w:rsidR="00D735FF" w:rsidRPr="00720389" w14:paraId="117497CA" w14:textId="77777777" w:rsidTr="000156D1">
        <w:trPr>
          <w:trHeight w:val="756"/>
        </w:trPr>
        <w:tc>
          <w:tcPr>
            <w:tcW w:w="2660" w:type="dxa"/>
            <w:vAlign w:val="center"/>
          </w:tcPr>
          <w:p w14:paraId="3D5DA202" w14:textId="77777777" w:rsidR="00D735FF" w:rsidRPr="00720389" w:rsidRDefault="00D735FF" w:rsidP="0094663E">
            <w:pPr>
              <w:pStyle w:val="Header"/>
              <w:rPr>
                <w:rFonts w:ascii="Arial" w:hAnsi="Arial" w:cs="Arial"/>
                <w:b/>
                <w:sz w:val="32"/>
              </w:rPr>
            </w:pPr>
            <w:bookmarkStart w:id="0" w:name="_GoBack"/>
            <w:bookmarkEnd w:id="0"/>
            <w:r w:rsidRPr="00720389">
              <w:rPr>
                <w:rFonts w:ascii="Arial" w:hAnsi="Arial" w:cs="Arial"/>
                <w:b/>
                <w:sz w:val="32"/>
              </w:rPr>
              <w:t>Submission to:</w:t>
            </w:r>
          </w:p>
        </w:tc>
        <w:tc>
          <w:tcPr>
            <w:tcW w:w="6379" w:type="dxa"/>
            <w:vAlign w:val="center"/>
          </w:tcPr>
          <w:p w14:paraId="4C1D0C7B" w14:textId="77777777" w:rsidR="00D735FF" w:rsidRPr="00720389" w:rsidRDefault="00623887" w:rsidP="0094663E">
            <w:pPr>
              <w:pStyle w:val="Header"/>
              <w:rPr>
                <w:rFonts w:ascii="Arial" w:hAnsi="Arial" w:cs="Arial"/>
                <w:sz w:val="32"/>
              </w:rPr>
            </w:pPr>
            <w:r w:rsidRPr="00720389">
              <w:rPr>
                <w:rFonts w:ascii="Arial" w:hAnsi="Arial" w:cs="Arial"/>
                <w:sz w:val="32"/>
              </w:rPr>
              <w:t>Australian Government</w:t>
            </w:r>
            <w:r w:rsidR="00F3294F" w:rsidRPr="00720389">
              <w:rPr>
                <w:rFonts w:ascii="Arial" w:hAnsi="Arial" w:cs="Arial"/>
                <w:sz w:val="32"/>
              </w:rPr>
              <w:t xml:space="preserve"> </w:t>
            </w:r>
            <w:r w:rsidR="00EA3322" w:rsidRPr="00720389">
              <w:rPr>
                <w:rFonts w:ascii="Arial" w:hAnsi="Arial" w:cs="Arial"/>
                <w:sz w:val="32"/>
              </w:rPr>
              <w:t xml:space="preserve"> </w:t>
            </w:r>
          </w:p>
        </w:tc>
      </w:tr>
      <w:tr w:rsidR="00D735FF" w:rsidRPr="00720389" w14:paraId="7FC1DFBE" w14:textId="77777777" w:rsidTr="000156D1">
        <w:trPr>
          <w:trHeight w:val="756"/>
        </w:trPr>
        <w:tc>
          <w:tcPr>
            <w:tcW w:w="2660" w:type="dxa"/>
            <w:vAlign w:val="center"/>
          </w:tcPr>
          <w:p w14:paraId="40EFD056" w14:textId="77777777" w:rsidR="00D735FF" w:rsidRPr="00720389" w:rsidRDefault="00D735FF" w:rsidP="0094663E">
            <w:pPr>
              <w:pStyle w:val="Header"/>
              <w:rPr>
                <w:rFonts w:ascii="Arial" w:hAnsi="Arial" w:cs="Arial"/>
                <w:b/>
                <w:sz w:val="32"/>
              </w:rPr>
            </w:pPr>
            <w:r w:rsidRPr="00720389">
              <w:rPr>
                <w:rFonts w:ascii="Arial" w:hAnsi="Arial" w:cs="Arial"/>
                <w:b/>
                <w:sz w:val="32"/>
              </w:rPr>
              <w:t>Title:</w:t>
            </w:r>
          </w:p>
        </w:tc>
        <w:tc>
          <w:tcPr>
            <w:tcW w:w="6379" w:type="dxa"/>
            <w:vAlign w:val="center"/>
          </w:tcPr>
          <w:p w14:paraId="4B1856AC" w14:textId="77777777" w:rsidR="00D735FF" w:rsidRPr="00720389" w:rsidRDefault="00623887" w:rsidP="0094663E">
            <w:pPr>
              <w:pStyle w:val="Header"/>
              <w:rPr>
                <w:rFonts w:ascii="Arial" w:hAnsi="Arial" w:cs="Arial"/>
                <w:sz w:val="32"/>
              </w:rPr>
            </w:pPr>
            <w:proofErr w:type="spellStart"/>
            <w:r w:rsidRPr="00720389">
              <w:rPr>
                <w:rFonts w:ascii="Arial" w:hAnsi="Arial" w:cs="Arial"/>
                <w:sz w:val="32"/>
              </w:rPr>
              <w:t>Re:think</w:t>
            </w:r>
            <w:proofErr w:type="spellEnd"/>
            <w:r w:rsidRPr="00720389">
              <w:rPr>
                <w:rFonts w:ascii="Arial" w:hAnsi="Arial" w:cs="Arial"/>
                <w:sz w:val="32"/>
              </w:rPr>
              <w:t xml:space="preserve"> Tax Discussion Paper</w:t>
            </w:r>
          </w:p>
        </w:tc>
      </w:tr>
      <w:tr w:rsidR="00D735FF" w:rsidRPr="00720389" w14:paraId="2BBD3EF2" w14:textId="77777777" w:rsidTr="000156D1">
        <w:trPr>
          <w:trHeight w:val="756"/>
        </w:trPr>
        <w:tc>
          <w:tcPr>
            <w:tcW w:w="2660" w:type="dxa"/>
            <w:vAlign w:val="center"/>
          </w:tcPr>
          <w:p w14:paraId="4BB1855E" w14:textId="77777777" w:rsidR="00D735FF" w:rsidRPr="00720389" w:rsidRDefault="00D735FF" w:rsidP="0094663E">
            <w:pPr>
              <w:pStyle w:val="Header"/>
              <w:rPr>
                <w:rFonts w:ascii="Arial" w:hAnsi="Arial" w:cs="Arial"/>
                <w:b/>
                <w:sz w:val="32"/>
              </w:rPr>
            </w:pPr>
            <w:r w:rsidRPr="00720389">
              <w:rPr>
                <w:rFonts w:ascii="Arial" w:hAnsi="Arial" w:cs="Arial"/>
                <w:b/>
                <w:sz w:val="32"/>
              </w:rPr>
              <w:t>Date:</w:t>
            </w:r>
          </w:p>
        </w:tc>
        <w:tc>
          <w:tcPr>
            <w:tcW w:w="6379" w:type="dxa"/>
            <w:vAlign w:val="center"/>
          </w:tcPr>
          <w:p w14:paraId="74563F09" w14:textId="505CBB2A" w:rsidR="00D735FF" w:rsidRPr="00720389" w:rsidRDefault="005B4BBD" w:rsidP="0094663E">
            <w:pPr>
              <w:pStyle w:val="Header"/>
              <w:rPr>
                <w:rFonts w:ascii="Arial" w:hAnsi="Arial" w:cs="Arial"/>
                <w:sz w:val="32"/>
              </w:rPr>
            </w:pPr>
            <w:r>
              <w:rPr>
                <w:rFonts w:ascii="Arial" w:hAnsi="Arial" w:cs="Arial"/>
                <w:sz w:val="32"/>
              </w:rPr>
              <w:t xml:space="preserve">1 June </w:t>
            </w:r>
            <w:r w:rsidR="00776E81" w:rsidRPr="00720389">
              <w:rPr>
                <w:rFonts w:ascii="Arial" w:hAnsi="Arial" w:cs="Arial"/>
                <w:sz w:val="32"/>
              </w:rPr>
              <w:t>2015</w:t>
            </w:r>
          </w:p>
        </w:tc>
      </w:tr>
    </w:tbl>
    <w:p w14:paraId="16249B5D" w14:textId="77777777" w:rsidR="00D735FF" w:rsidRPr="00720389" w:rsidRDefault="00D735FF" w:rsidP="0094663E">
      <w:pPr>
        <w:pStyle w:val="Header"/>
        <w:rPr>
          <w:rFonts w:ascii="Arial" w:hAnsi="Arial" w:cs="Arial"/>
          <w:sz w:val="32"/>
        </w:rPr>
      </w:pPr>
    </w:p>
    <w:p w14:paraId="15690346" w14:textId="77777777" w:rsidR="00D735FF" w:rsidRPr="00720389" w:rsidRDefault="00D735FF" w:rsidP="0094663E">
      <w:pPr>
        <w:pStyle w:val="Header"/>
        <w:rPr>
          <w:rFonts w:ascii="Arial" w:hAnsi="Arial" w:cs="Arial"/>
          <w:sz w:val="32"/>
        </w:rPr>
      </w:pPr>
    </w:p>
    <w:p w14:paraId="78AF48A7" w14:textId="77777777" w:rsidR="00576ED0" w:rsidRPr="00720389" w:rsidRDefault="00576ED0" w:rsidP="0094663E">
      <w:pPr>
        <w:pStyle w:val="Header"/>
        <w:rPr>
          <w:rFonts w:ascii="Arial" w:hAnsi="Arial" w:cs="Arial"/>
          <w:sz w:val="32"/>
        </w:rPr>
      </w:pPr>
    </w:p>
    <w:p w14:paraId="77831FA8" w14:textId="77777777" w:rsidR="00576ED0" w:rsidRPr="00720389" w:rsidRDefault="00576ED0" w:rsidP="0094663E">
      <w:pPr>
        <w:rPr>
          <w:rFonts w:ascii="Arial" w:hAnsi="Arial" w:cs="Arial"/>
        </w:rPr>
        <w:sectPr w:rsidR="00576ED0" w:rsidRPr="00720389" w:rsidSect="005F5ACC">
          <w:headerReference w:type="even" r:id="rId8"/>
          <w:headerReference w:type="default" r:id="rId9"/>
          <w:footerReference w:type="even" r:id="rId10"/>
          <w:footerReference w:type="default" r:id="rId11"/>
          <w:headerReference w:type="first" r:id="rId12"/>
          <w:footerReference w:type="first" r:id="rId13"/>
          <w:pgSz w:w="11906" w:h="16838"/>
          <w:pgMar w:top="5103" w:right="1133" w:bottom="1418" w:left="1134" w:header="851" w:footer="651" w:gutter="0"/>
          <w:cols w:space="708"/>
          <w:docGrid w:linePitch="360"/>
        </w:sectPr>
      </w:pPr>
    </w:p>
    <w:p w14:paraId="7C626CEF" w14:textId="77777777" w:rsidR="00576ED0" w:rsidRPr="00720389" w:rsidRDefault="00576ED0" w:rsidP="0094663E">
      <w:pPr>
        <w:rPr>
          <w:rFonts w:ascii="Arial" w:hAnsi="Arial" w:cs="Arial"/>
        </w:rPr>
      </w:pPr>
    </w:p>
    <w:p w14:paraId="66FA053B" w14:textId="77777777" w:rsidR="0035493A" w:rsidRPr="00720389" w:rsidRDefault="0035493A" w:rsidP="0094663E">
      <w:pPr>
        <w:rPr>
          <w:rFonts w:ascii="Arial" w:hAnsi="Arial" w:cs="Arial"/>
        </w:rPr>
      </w:pPr>
    </w:p>
    <w:p w14:paraId="20A7A4BE" w14:textId="77777777" w:rsidR="0035493A" w:rsidRPr="00720389" w:rsidRDefault="0035493A" w:rsidP="0094663E">
      <w:pPr>
        <w:rPr>
          <w:rFonts w:ascii="Arial" w:hAnsi="Arial" w:cs="Arial"/>
        </w:rPr>
      </w:pPr>
    </w:p>
    <w:p w14:paraId="5A67CD9C" w14:textId="77777777" w:rsidR="0035493A" w:rsidRPr="00720389" w:rsidRDefault="0035493A" w:rsidP="0094663E">
      <w:pPr>
        <w:rPr>
          <w:rFonts w:ascii="Arial" w:hAnsi="Arial" w:cs="Arial"/>
        </w:rPr>
      </w:pPr>
    </w:p>
    <w:p w14:paraId="5B47C98A" w14:textId="77777777" w:rsidR="0035493A" w:rsidRPr="00720389" w:rsidRDefault="0035493A" w:rsidP="0094663E">
      <w:pPr>
        <w:rPr>
          <w:rFonts w:ascii="Arial" w:hAnsi="Arial" w:cs="Arial"/>
        </w:rPr>
      </w:pPr>
    </w:p>
    <w:p w14:paraId="6C0B943D" w14:textId="77777777" w:rsidR="0035493A" w:rsidRPr="00720389" w:rsidRDefault="003B74E4" w:rsidP="0094663E">
      <w:pPr>
        <w:rPr>
          <w:rFonts w:ascii="Arial" w:hAnsi="Arial" w:cs="Arial"/>
          <w:b/>
          <w:color w:val="000064"/>
          <w:sz w:val="32"/>
        </w:rPr>
      </w:pPr>
      <w:r w:rsidRPr="00720389">
        <w:rPr>
          <w:rFonts w:ascii="Arial" w:hAnsi="Arial" w:cs="Arial"/>
          <w:b/>
          <w:color w:val="000064"/>
          <w:sz w:val="32"/>
        </w:rPr>
        <w:t>Contents</w:t>
      </w:r>
    </w:p>
    <w:p w14:paraId="1342D196" w14:textId="77777777" w:rsidR="00576ED0" w:rsidRPr="00720389" w:rsidRDefault="00576ED0" w:rsidP="0094663E">
      <w:pPr>
        <w:rPr>
          <w:rFonts w:ascii="Arial" w:hAnsi="Arial" w:cs="Arial"/>
        </w:rPr>
      </w:pPr>
    </w:p>
    <w:p w14:paraId="056F30DA" w14:textId="77777777" w:rsidR="009B0520" w:rsidRPr="00720389" w:rsidRDefault="009B0520" w:rsidP="0094663E">
      <w:pPr>
        <w:rPr>
          <w:rFonts w:ascii="Arial" w:hAnsi="Arial" w:cs="Arial"/>
        </w:rPr>
      </w:pPr>
    </w:p>
    <w:p w14:paraId="55B7223A" w14:textId="77777777" w:rsidR="00903DA9" w:rsidRPr="00903DA9" w:rsidRDefault="003B2024">
      <w:pPr>
        <w:pStyle w:val="TOC1"/>
        <w:tabs>
          <w:tab w:val="left" w:pos="442"/>
        </w:tabs>
        <w:rPr>
          <w:rFonts w:asciiTheme="minorHAnsi" w:eastAsiaTheme="minorEastAsia" w:hAnsiTheme="minorHAnsi" w:cstheme="minorBidi"/>
          <w:b w:val="0"/>
          <w:sz w:val="22"/>
          <w:szCs w:val="22"/>
          <w:lang w:eastAsia="en-AU"/>
        </w:rPr>
      </w:pPr>
      <w:r w:rsidRPr="00903DA9">
        <w:rPr>
          <w:sz w:val="22"/>
          <w:szCs w:val="22"/>
        </w:rPr>
        <w:fldChar w:fldCharType="begin"/>
      </w:r>
      <w:r w:rsidR="00BD49FC" w:rsidRPr="00903DA9">
        <w:rPr>
          <w:sz w:val="22"/>
          <w:szCs w:val="22"/>
        </w:rPr>
        <w:instrText xml:space="preserve"> TOC \o "1-2" \t "ATA Heading 2,2" </w:instrText>
      </w:r>
      <w:r w:rsidRPr="00903DA9">
        <w:rPr>
          <w:sz w:val="22"/>
          <w:szCs w:val="22"/>
        </w:rPr>
        <w:fldChar w:fldCharType="separate"/>
      </w:r>
      <w:r w:rsidR="00903DA9" w:rsidRPr="00903DA9">
        <w:rPr>
          <w:rFonts w:cs="Times New Roman"/>
        </w:rPr>
        <w:t>1.</w:t>
      </w:r>
      <w:r w:rsidR="00903DA9" w:rsidRPr="00903DA9">
        <w:rPr>
          <w:rFonts w:asciiTheme="minorHAnsi" w:eastAsiaTheme="minorEastAsia" w:hAnsiTheme="minorHAnsi" w:cstheme="minorBidi"/>
          <w:b w:val="0"/>
          <w:sz w:val="22"/>
          <w:szCs w:val="22"/>
          <w:lang w:eastAsia="en-AU"/>
        </w:rPr>
        <w:tab/>
      </w:r>
      <w:r w:rsidR="00903DA9" w:rsidRPr="00903DA9">
        <w:t>Australian Trucking Association</w:t>
      </w:r>
      <w:r w:rsidR="00903DA9" w:rsidRPr="00903DA9">
        <w:tab/>
      </w:r>
      <w:r w:rsidR="00903DA9" w:rsidRPr="00903DA9">
        <w:fldChar w:fldCharType="begin"/>
      </w:r>
      <w:r w:rsidR="00903DA9" w:rsidRPr="00903DA9">
        <w:instrText xml:space="preserve"> PAGEREF _Toc420922095 \h </w:instrText>
      </w:r>
      <w:r w:rsidR="00903DA9" w:rsidRPr="00903DA9">
        <w:fldChar w:fldCharType="separate"/>
      </w:r>
      <w:r w:rsidR="008F6986">
        <w:t>3</w:t>
      </w:r>
      <w:r w:rsidR="00903DA9" w:rsidRPr="00903DA9">
        <w:fldChar w:fldCharType="end"/>
      </w:r>
    </w:p>
    <w:p w14:paraId="6DA9013B" w14:textId="77777777" w:rsidR="00903DA9" w:rsidRPr="00903DA9" w:rsidRDefault="00903DA9">
      <w:pPr>
        <w:pStyle w:val="TOC1"/>
        <w:tabs>
          <w:tab w:val="left" w:pos="442"/>
        </w:tabs>
        <w:rPr>
          <w:rFonts w:asciiTheme="minorHAnsi" w:eastAsiaTheme="minorEastAsia" w:hAnsiTheme="minorHAnsi" w:cstheme="minorBidi"/>
          <w:b w:val="0"/>
          <w:sz w:val="22"/>
          <w:szCs w:val="22"/>
          <w:lang w:eastAsia="en-AU"/>
        </w:rPr>
      </w:pPr>
      <w:r w:rsidRPr="00903DA9">
        <w:rPr>
          <w:rFonts w:cs="Times New Roman"/>
        </w:rPr>
        <w:t>2.</w:t>
      </w:r>
      <w:r w:rsidRPr="00903DA9">
        <w:rPr>
          <w:rFonts w:asciiTheme="minorHAnsi" w:eastAsiaTheme="minorEastAsia" w:hAnsiTheme="minorHAnsi" w:cstheme="minorBidi"/>
          <w:b w:val="0"/>
          <w:sz w:val="22"/>
          <w:szCs w:val="22"/>
          <w:lang w:eastAsia="en-AU"/>
        </w:rPr>
        <w:tab/>
      </w:r>
      <w:r w:rsidRPr="00903DA9">
        <w:t>Summary of recommendations</w:t>
      </w:r>
      <w:r w:rsidRPr="00903DA9">
        <w:tab/>
      </w:r>
      <w:r w:rsidRPr="00903DA9">
        <w:fldChar w:fldCharType="begin"/>
      </w:r>
      <w:r w:rsidRPr="00903DA9">
        <w:instrText xml:space="preserve"> PAGEREF _Toc420922096 \h </w:instrText>
      </w:r>
      <w:r w:rsidRPr="00903DA9">
        <w:fldChar w:fldCharType="separate"/>
      </w:r>
      <w:r w:rsidR="008F6986">
        <w:t>3</w:t>
      </w:r>
      <w:r w:rsidRPr="00903DA9">
        <w:fldChar w:fldCharType="end"/>
      </w:r>
    </w:p>
    <w:p w14:paraId="07A11F6F" w14:textId="77777777" w:rsidR="00903DA9" w:rsidRPr="00903DA9" w:rsidRDefault="00903DA9">
      <w:pPr>
        <w:pStyle w:val="TOC1"/>
        <w:tabs>
          <w:tab w:val="left" w:pos="442"/>
        </w:tabs>
        <w:rPr>
          <w:rFonts w:asciiTheme="minorHAnsi" w:eastAsiaTheme="minorEastAsia" w:hAnsiTheme="minorHAnsi" w:cstheme="minorBidi"/>
          <w:b w:val="0"/>
          <w:sz w:val="22"/>
          <w:szCs w:val="22"/>
          <w:lang w:eastAsia="en-AU"/>
        </w:rPr>
      </w:pPr>
      <w:r w:rsidRPr="00903DA9">
        <w:rPr>
          <w:rFonts w:cs="Times New Roman"/>
        </w:rPr>
        <w:t>3.</w:t>
      </w:r>
      <w:r w:rsidRPr="00903DA9">
        <w:rPr>
          <w:rFonts w:asciiTheme="minorHAnsi" w:eastAsiaTheme="minorEastAsia" w:hAnsiTheme="minorHAnsi" w:cstheme="minorBidi"/>
          <w:b w:val="0"/>
          <w:sz w:val="22"/>
          <w:szCs w:val="22"/>
          <w:lang w:eastAsia="en-AU"/>
        </w:rPr>
        <w:tab/>
      </w:r>
      <w:r w:rsidRPr="00903DA9">
        <w:t>Introduction</w:t>
      </w:r>
      <w:r w:rsidRPr="00903DA9">
        <w:tab/>
      </w:r>
      <w:r w:rsidRPr="00903DA9">
        <w:fldChar w:fldCharType="begin"/>
      </w:r>
      <w:r w:rsidRPr="00903DA9">
        <w:instrText xml:space="preserve"> PAGEREF _Toc420922097 \h </w:instrText>
      </w:r>
      <w:r w:rsidRPr="00903DA9">
        <w:fldChar w:fldCharType="separate"/>
      </w:r>
      <w:r w:rsidR="008F6986">
        <w:t>4</w:t>
      </w:r>
      <w:r w:rsidRPr="00903DA9">
        <w:fldChar w:fldCharType="end"/>
      </w:r>
    </w:p>
    <w:p w14:paraId="4B3FA77C" w14:textId="77777777" w:rsidR="00903DA9" w:rsidRPr="00903DA9" w:rsidRDefault="00903DA9">
      <w:pPr>
        <w:pStyle w:val="TOC1"/>
        <w:tabs>
          <w:tab w:val="left" w:pos="442"/>
        </w:tabs>
        <w:rPr>
          <w:rFonts w:asciiTheme="minorHAnsi" w:eastAsiaTheme="minorEastAsia" w:hAnsiTheme="minorHAnsi" w:cstheme="minorBidi"/>
          <w:b w:val="0"/>
          <w:sz w:val="22"/>
          <w:szCs w:val="22"/>
          <w:lang w:eastAsia="en-AU"/>
        </w:rPr>
      </w:pPr>
      <w:r w:rsidRPr="00903DA9">
        <w:rPr>
          <w:rFonts w:cs="Times New Roman"/>
        </w:rPr>
        <w:t>4.</w:t>
      </w:r>
      <w:r w:rsidRPr="00903DA9">
        <w:rPr>
          <w:rFonts w:asciiTheme="minorHAnsi" w:eastAsiaTheme="minorEastAsia" w:hAnsiTheme="minorHAnsi" w:cstheme="minorBidi"/>
          <w:b w:val="0"/>
          <w:sz w:val="22"/>
          <w:szCs w:val="22"/>
          <w:lang w:eastAsia="en-AU"/>
        </w:rPr>
        <w:tab/>
      </w:r>
      <w:r w:rsidRPr="00903DA9">
        <w:t>Tax complexity and compliance in the trucking industry</w:t>
      </w:r>
      <w:r w:rsidRPr="00903DA9">
        <w:tab/>
      </w:r>
      <w:r w:rsidRPr="00903DA9">
        <w:fldChar w:fldCharType="begin"/>
      </w:r>
      <w:r w:rsidRPr="00903DA9">
        <w:instrText xml:space="preserve"> PAGEREF _Toc420922098 \h </w:instrText>
      </w:r>
      <w:r w:rsidRPr="00903DA9">
        <w:fldChar w:fldCharType="separate"/>
      </w:r>
      <w:r w:rsidR="008F6986">
        <w:t>4</w:t>
      </w:r>
      <w:r w:rsidRPr="00903DA9">
        <w:fldChar w:fldCharType="end"/>
      </w:r>
    </w:p>
    <w:p w14:paraId="640928CB" w14:textId="77777777" w:rsidR="00903DA9" w:rsidRPr="00903DA9" w:rsidRDefault="00903DA9">
      <w:pPr>
        <w:pStyle w:val="TOC1"/>
        <w:tabs>
          <w:tab w:val="left" w:pos="442"/>
        </w:tabs>
        <w:rPr>
          <w:rFonts w:asciiTheme="minorHAnsi" w:eastAsiaTheme="minorEastAsia" w:hAnsiTheme="minorHAnsi" w:cstheme="minorBidi"/>
          <w:b w:val="0"/>
          <w:sz w:val="22"/>
          <w:szCs w:val="22"/>
          <w:lang w:eastAsia="en-AU"/>
        </w:rPr>
      </w:pPr>
      <w:r w:rsidRPr="00903DA9">
        <w:rPr>
          <w:rFonts w:cs="Times New Roman"/>
        </w:rPr>
        <w:t>5.</w:t>
      </w:r>
      <w:r w:rsidRPr="00903DA9">
        <w:rPr>
          <w:rFonts w:asciiTheme="minorHAnsi" w:eastAsiaTheme="minorEastAsia" w:hAnsiTheme="minorHAnsi" w:cstheme="minorBidi"/>
          <w:b w:val="0"/>
          <w:sz w:val="22"/>
          <w:szCs w:val="22"/>
          <w:lang w:eastAsia="en-AU"/>
        </w:rPr>
        <w:tab/>
      </w:r>
      <w:r w:rsidRPr="00903DA9">
        <w:t>Small business tax reform</w:t>
      </w:r>
      <w:r w:rsidRPr="00903DA9">
        <w:tab/>
      </w:r>
      <w:r w:rsidRPr="00903DA9">
        <w:fldChar w:fldCharType="begin"/>
      </w:r>
      <w:r w:rsidRPr="00903DA9">
        <w:instrText xml:space="preserve"> PAGEREF _Toc420922099 \h </w:instrText>
      </w:r>
      <w:r w:rsidRPr="00903DA9">
        <w:fldChar w:fldCharType="separate"/>
      </w:r>
      <w:r w:rsidR="008F6986">
        <w:t>5</w:t>
      </w:r>
      <w:r w:rsidRPr="00903DA9">
        <w:fldChar w:fldCharType="end"/>
      </w:r>
    </w:p>
    <w:p w14:paraId="4E6EF166" w14:textId="77777777" w:rsidR="00903DA9" w:rsidRPr="00903DA9" w:rsidRDefault="00903DA9">
      <w:pPr>
        <w:pStyle w:val="TOC2"/>
        <w:rPr>
          <w:rFonts w:asciiTheme="minorHAnsi" w:eastAsiaTheme="minorEastAsia" w:hAnsiTheme="minorHAnsi" w:cstheme="minorBidi"/>
          <w:noProof/>
          <w:sz w:val="22"/>
          <w:lang w:eastAsia="en-AU"/>
        </w:rPr>
      </w:pPr>
      <w:r w:rsidRPr="00903DA9">
        <w:rPr>
          <w:rFonts w:cs="Arial"/>
          <w:noProof/>
        </w:rPr>
        <w:t>5.1 Capital gains tax exemption for family transfers</w:t>
      </w:r>
      <w:r w:rsidRPr="00903DA9">
        <w:rPr>
          <w:noProof/>
        </w:rPr>
        <w:tab/>
      </w:r>
      <w:r w:rsidRPr="00903DA9">
        <w:rPr>
          <w:noProof/>
        </w:rPr>
        <w:fldChar w:fldCharType="begin"/>
      </w:r>
      <w:r w:rsidRPr="00903DA9">
        <w:rPr>
          <w:noProof/>
        </w:rPr>
        <w:instrText xml:space="preserve"> PAGEREF _Toc420922100 \h </w:instrText>
      </w:r>
      <w:r w:rsidRPr="00903DA9">
        <w:rPr>
          <w:noProof/>
        </w:rPr>
      </w:r>
      <w:r w:rsidRPr="00903DA9">
        <w:rPr>
          <w:noProof/>
        </w:rPr>
        <w:fldChar w:fldCharType="separate"/>
      </w:r>
      <w:r w:rsidR="008F6986">
        <w:rPr>
          <w:noProof/>
        </w:rPr>
        <w:t>5</w:t>
      </w:r>
      <w:r w:rsidRPr="00903DA9">
        <w:rPr>
          <w:noProof/>
        </w:rPr>
        <w:fldChar w:fldCharType="end"/>
      </w:r>
    </w:p>
    <w:p w14:paraId="112FC759" w14:textId="77777777" w:rsidR="00903DA9" w:rsidRPr="00903DA9" w:rsidRDefault="00903DA9">
      <w:pPr>
        <w:pStyle w:val="TOC2"/>
        <w:rPr>
          <w:rFonts w:asciiTheme="minorHAnsi" w:eastAsiaTheme="minorEastAsia" w:hAnsiTheme="minorHAnsi" w:cstheme="minorBidi"/>
          <w:noProof/>
          <w:sz w:val="22"/>
          <w:lang w:eastAsia="en-AU"/>
        </w:rPr>
      </w:pPr>
      <w:r w:rsidRPr="00903DA9">
        <w:rPr>
          <w:rFonts w:cs="Arial"/>
          <w:noProof/>
        </w:rPr>
        <w:t>5.2 Cut the corporate tax rate</w:t>
      </w:r>
      <w:r w:rsidRPr="00903DA9">
        <w:rPr>
          <w:noProof/>
        </w:rPr>
        <w:tab/>
      </w:r>
      <w:r w:rsidRPr="00903DA9">
        <w:rPr>
          <w:noProof/>
        </w:rPr>
        <w:fldChar w:fldCharType="begin"/>
      </w:r>
      <w:r w:rsidRPr="00903DA9">
        <w:rPr>
          <w:noProof/>
        </w:rPr>
        <w:instrText xml:space="preserve"> PAGEREF _Toc420922101 \h </w:instrText>
      </w:r>
      <w:r w:rsidRPr="00903DA9">
        <w:rPr>
          <w:noProof/>
        </w:rPr>
      </w:r>
      <w:r w:rsidRPr="00903DA9">
        <w:rPr>
          <w:noProof/>
        </w:rPr>
        <w:fldChar w:fldCharType="separate"/>
      </w:r>
      <w:r w:rsidR="008F6986">
        <w:rPr>
          <w:noProof/>
        </w:rPr>
        <w:t>8</w:t>
      </w:r>
      <w:r w:rsidRPr="00903DA9">
        <w:rPr>
          <w:noProof/>
        </w:rPr>
        <w:fldChar w:fldCharType="end"/>
      </w:r>
    </w:p>
    <w:p w14:paraId="70FF6D62" w14:textId="77777777" w:rsidR="00903DA9" w:rsidRPr="00903DA9" w:rsidRDefault="00903DA9">
      <w:pPr>
        <w:pStyle w:val="TOC1"/>
        <w:tabs>
          <w:tab w:val="left" w:pos="442"/>
        </w:tabs>
        <w:rPr>
          <w:rFonts w:asciiTheme="minorHAnsi" w:eastAsiaTheme="minorEastAsia" w:hAnsiTheme="minorHAnsi" w:cstheme="minorBidi"/>
          <w:b w:val="0"/>
          <w:sz w:val="22"/>
          <w:szCs w:val="22"/>
          <w:lang w:eastAsia="en-AU"/>
        </w:rPr>
      </w:pPr>
      <w:r w:rsidRPr="00903DA9">
        <w:rPr>
          <w:rFonts w:cs="Times New Roman"/>
        </w:rPr>
        <w:t>6.</w:t>
      </w:r>
      <w:r w:rsidRPr="00903DA9">
        <w:rPr>
          <w:rFonts w:asciiTheme="minorHAnsi" w:eastAsiaTheme="minorEastAsia" w:hAnsiTheme="minorHAnsi" w:cstheme="minorBidi"/>
          <w:b w:val="0"/>
          <w:sz w:val="22"/>
          <w:szCs w:val="22"/>
          <w:lang w:eastAsia="en-AU"/>
        </w:rPr>
        <w:tab/>
      </w:r>
      <w:r w:rsidRPr="00903DA9">
        <w:t>Road user charges</w:t>
      </w:r>
      <w:r w:rsidRPr="00903DA9">
        <w:tab/>
      </w:r>
      <w:r w:rsidRPr="00903DA9">
        <w:fldChar w:fldCharType="begin"/>
      </w:r>
      <w:r w:rsidRPr="00903DA9">
        <w:instrText xml:space="preserve"> PAGEREF _Toc420922102 \h </w:instrText>
      </w:r>
      <w:r w:rsidRPr="00903DA9">
        <w:fldChar w:fldCharType="separate"/>
      </w:r>
      <w:r w:rsidR="008F6986">
        <w:t>8</w:t>
      </w:r>
      <w:r w:rsidRPr="00903DA9">
        <w:fldChar w:fldCharType="end"/>
      </w:r>
    </w:p>
    <w:p w14:paraId="12143075" w14:textId="77777777" w:rsidR="00903DA9" w:rsidRPr="00903DA9" w:rsidRDefault="00903DA9">
      <w:pPr>
        <w:pStyle w:val="TOC1"/>
        <w:tabs>
          <w:tab w:val="left" w:pos="442"/>
        </w:tabs>
        <w:rPr>
          <w:rFonts w:asciiTheme="minorHAnsi" w:eastAsiaTheme="minorEastAsia" w:hAnsiTheme="minorHAnsi" w:cstheme="minorBidi"/>
          <w:b w:val="0"/>
          <w:sz w:val="22"/>
          <w:szCs w:val="22"/>
          <w:lang w:eastAsia="en-AU"/>
        </w:rPr>
      </w:pPr>
      <w:r w:rsidRPr="00903DA9">
        <w:rPr>
          <w:rFonts w:cs="Times New Roman"/>
        </w:rPr>
        <w:t>7.</w:t>
      </w:r>
      <w:r w:rsidRPr="00903DA9">
        <w:rPr>
          <w:rFonts w:asciiTheme="minorHAnsi" w:eastAsiaTheme="minorEastAsia" w:hAnsiTheme="minorHAnsi" w:cstheme="minorBidi"/>
          <w:b w:val="0"/>
          <w:sz w:val="22"/>
          <w:szCs w:val="22"/>
          <w:lang w:eastAsia="en-AU"/>
        </w:rPr>
        <w:tab/>
      </w:r>
      <w:r w:rsidRPr="00903DA9">
        <w:t>Supply side reform</w:t>
      </w:r>
      <w:r w:rsidRPr="00903DA9">
        <w:tab/>
      </w:r>
      <w:r w:rsidRPr="00903DA9">
        <w:fldChar w:fldCharType="begin"/>
      </w:r>
      <w:r w:rsidRPr="00903DA9">
        <w:instrText xml:space="preserve"> PAGEREF _Toc420922103 \h </w:instrText>
      </w:r>
      <w:r w:rsidRPr="00903DA9">
        <w:fldChar w:fldCharType="separate"/>
      </w:r>
      <w:r w:rsidR="008F6986">
        <w:t>10</w:t>
      </w:r>
      <w:r w:rsidRPr="00903DA9">
        <w:fldChar w:fldCharType="end"/>
      </w:r>
    </w:p>
    <w:p w14:paraId="2B93A2B1" w14:textId="77777777" w:rsidR="00903DA9" w:rsidRPr="00903DA9" w:rsidRDefault="00903DA9">
      <w:pPr>
        <w:pStyle w:val="TOC2"/>
        <w:rPr>
          <w:rFonts w:asciiTheme="minorHAnsi" w:eastAsiaTheme="minorEastAsia" w:hAnsiTheme="minorHAnsi" w:cstheme="minorBidi"/>
          <w:noProof/>
          <w:sz w:val="22"/>
          <w:lang w:eastAsia="en-AU"/>
        </w:rPr>
      </w:pPr>
      <w:r w:rsidRPr="00903DA9">
        <w:rPr>
          <w:rFonts w:cs="Arial"/>
          <w:noProof/>
        </w:rPr>
        <w:t>7.1 Short term supply side reform</w:t>
      </w:r>
      <w:r w:rsidRPr="00903DA9">
        <w:rPr>
          <w:noProof/>
        </w:rPr>
        <w:tab/>
      </w:r>
      <w:r w:rsidRPr="00903DA9">
        <w:rPr>
          <w:noProof/>
        </w:rPr>
        <w:fldChar w:fldCharType="begin"/>
      </w:r>
      <w:r w:rsidRPr="00903DA9">
        <w:rPr>
          <w:noProof/>
        </w:rPr>
        <w:instrText xml:space="preserve"> PAGEREF _Toc420922104 \h </w:instrText>
      </w:r>
      <w:r w:rsidRPr="00903DA9">
        <w:rPr>
          <w:noProof/>
        </w:rPr>
      </w:r>
      <w:r w:rsidRPr="00903DA9">
        <w:rPr>
          <w:noProof/>
        </w:rPr>
        <w:fldChar w:fldCharType="separate"/>
      </w:r>
      <w:r w:rsidR="008F6986">
        <w:rPr>
          <w:noProof/>
        </w:rPr>
        <w:t>10</w:t>
      </w:r>
      <w:r w:rsidRPr="00903DA9">
        <w:rPr>
          <w:noProof/>
        </w:rPr>
        <w:fldChar w:fldCharType="end"/>
      </w:r>
    </w:p>
    <w:p w14:paraId="59D51DE4" w14:textId="77777777" w:rsidR="00903DA9" w:rsidRPr="00903DA9" w:rsidRDefault="00903DA9">
      <w:pPr>
        <w:pStyle w:val="TOC2"/>
        <w:rPr>
          <w:rFonts w:asciiTheme="minorHAnsi" w:eastAsiaTheme="minorEastAsia" w:hAnsiTheme="minorHAnsi" w:cstheme="minorBidi"/>
          <w:noProof/>
          <w:sz w:val="22"/>
          <w:lang w:eastAsia="en-AU"/>
        </w:rPr>
      </w:pPr>
      <w:r w:rsidRPr="00903DA9">
        <w:rPr>
          <w:rFonts w:cs="Arial"/>
          <w:noProof/>
        </w:rPr>
        <w:t>7.2 Medium term supply side reform</w:t>
      </w:r>
      <w:r w:rsidRPr="00903DA9">
        <w:rPr>
          <w:noProof/>
        </w:rPr>
        <w:tab/>
      </w:r>
      <w:r w:rsidRPr="00903DA9">
        <w:rPr>
          <w:noProof/>
        </w:rPr>
        <w:fldChar w:fldCharType="begin"/>
      </w:r>
      <w:r w:rsidRPr="00903DA9">
        <w:rPr>
          <w:noProof/>
        </w:rPr>
        <w:instrText xml:space="preserve"> PAGEREF _Toc420922105 \h </w:instrText>
      </w:r>
      <w:r w:rsidRPr="00903DA9">
        <w:rPr>
          <w:noProof/>
        </w:rPr>
      </w:r>
      <w:r w:rsidRPr="00903DA9">
        <w:rPr>
          <w:noProof/>
        </w:rPr>
        <w:fldChar w:fldCharType="separate"/>
      </w:r>
      <w:r w:rsidR="008F6986">
        <w:rPr>
          <w:noProof/>
        </w:rPr>
        <w:t>10</w:t>
      </w:r>
      <w:r w:rsidRPr="00903DA9">
        <w:rPr>
          <w:noProof/>
        </w:rPr>
        <w:fldChar w:fldCharType="end"/>
      </w:r>
    </w:p>
    <w:p w14:paraId="5FE89981" w14:textId="77777777" w:rsidR="00903DA9" w:rsidRPr="00903DA9" w:rsidRDefault="00903DA9">
      <w:pPr>
        <w:pStyle w:val="TOC2"/>
        <w:rPr>
          <w:rFonts w:asciiTheme="minorHAnsi" w:eastAsiaTheme="minorEastAsia" w:hAnsiTheme="minorHAnsi" w:cstheme="minorBidi"/>
          <w:noProof/>
          <w:sz w:val="22"/>
          <w:lang w:eastAsia="en-AU"/>
        </w:rPr>
      </w:pPr>
      <w:r w:rsidRPr="00903DA9">
        <w:rPr>
          <w:rFonts w:cs="Arial"/>
          <w:noProof/>
        </w:rPr>
        <w:t>7.3 Holistic supply side reform</w:t>
      </w:r>
      <w:r w:rsidRPr="00903DA9">
        <w:rPr>
          <w:noProof/>
        </w:rPr>
        <w:tab/>
      </w:r>
      <w:r w:rsidRPr="00903DA9">
        <w:rPr>
          <w:noProof/>
        </w:rPr>
        <w:fldChar w:fldCharType="begin"/>
      </w:r>
      <w:r w:rsidRPr="00903DA9">
        <w:rPr>
          <w:noProof/>
        </w:rPr>
        <w:instrText xml:space="preserve"> PAGEREF _Toc420922106 \h </w:instrText>
      </w:r>
      <w:r w:rsidRPr="00903DA9">
        <w:rPr>
          <w:noProof/>
        </w:rPr>
      </w:r>
      <w:r w:rsidRPr="00903DA9">
        <w:rPr>
          <w:noProof/>
        </w:rPr>
        <w:fldChar w:fldCharType="separate"/>
      </w:r>
      <w:r w:rsidR="008F6986">
        <w:rPr>
          <w:noProof/>
        </w:rPr>
        <w:t>12</w:t>
      </w:r>
      <w:r w:rsidRPr="00903DA9">
        <w:rPr>
          <w:noProof/>
        </w:rPr>
        <w:fldChar w:fldCharType="end"/>
      </w:r>
    </w:p>
    <w:p w14:paraId="7C1E1651" w14:textId="77777777" w:rsidR="00241C15" w:rsidRPr="00903DA9" w:rsidRDefault="003B2024" w:rsidP="0094663E">
      <w:pPr>
        <w:tabs>
          <w:tab w:val="right" w:leader="dot" w:pos="9645"/>
        </w:tabs>
        <w:rPr>
          <w:rFonts w:ascii="Arial" w:hAnsi="Arial" w:cs="Arial"/>
        </w:rPr>
      </w:pPr>
      <w:r w:rsidRPr="00903DA9">
        <w:rPr>
          <w:rFonts w:ascii="Arial" w:hAnsi="Arial" w:cs="Arial"/>
          <w:b/>
          <w:noProof/>
        </w:rPr>
        <w:fldChar w:fldCharType="end"/>
      </w:r>
    </w:p>
    <w:p w14:paraId="294B1B56" w14:textId="77777777" w:rsidR="00576ED0" w:rsidRPr="00720389" w:rsidRDefault="00576ED0" w:rsidP="0094663E">
      <w:pPr>
        <w:rPr>
          <w:rFonts w:ascii="Arial" w:hAnsi="Arial" w:cs="Arial"/>
        </w:rPr>
      </w:pPr>
      <w:r w:rsidRPr="00720389">
        <w:rPr>
          <w:rFonts w:ascii="Arial" w:hAnsi="Arial" w:cs="Arial"/>
        </w:rPr>
        <w:br w:type="page"/>
      </w:r>
    </w:p>
    <w:p w14:paraId="41647A19" w14:textId="77777777" w:rsidR="005B64D9" w:rsidRPr="00720389" w:rsidRDefault="005B64D9" w:rsidP="0094663E">
      <w:pPr>
        <w:pStyle w:val="Heading1"/>
        <w:rPr>
          <w:szCs w:val="22"/>
        </w:rPr>
      </w:pPr>
      <w:bookmarkStart w:id="1" w:name="_Toc420922095"/>
      <w:r w:rsidRPr="00720389">
        <w:rPr>
          <w:szCs w:val="22"/>
        </w:rPr>
        <w:lastRenderedPageBreak/>
        <w:t>Australian Trucking Association</w:t>
      </w:r>
      <w:bookmarkEnd w:id="1"/>
    </w:p>
    <w:p w14:paraId="46ACF257" w14:textId="77777777" w:rsidR="005B64D9" w:rsidRPr="00720389" w:rsidRDefault="005B64D9" w:rsidP="0094663E">
      <w:pPr>
        <w:pStyle w:val="BodyText2"/>
        <w:rPr>
          <w:b w:val="0"/>
          <w:szCs w:val="22"/>
        </w:rPr>
      </w:pPr>
    </w:p>
    <w:p w14:paraId="73D9C49A" w14:textId="77777777" w:rsidR="005B64D9" w:rsidRPr="00720389" w:rsidRDefault="005B64D9" w:rsidP="0094663E">
      <w:pPr>
        <w:pStyle w:val="BodyText2"/>
        <w:rPr>
          <w:b w:val="0"/>
          <w:szCs w:val="22"/>
        </w:rPr>
      </w:pPr>
      <w:r w:rsidRPr="00720389">
        <w:rPr>
          <w:b w:val="0"/>
          <w:szCs w:val="22"/>
        </w:rPr>
        <w:t xml:space="preserve">The ATA is the peak body that represents the trucking industry. Its members include state and sector-based trucking associations, some of the nation’s largest transport companies, and businesses with leading expertise in truck technology. </w:t>
      </w:r>
    </w:p>
    <w:p w14:paraId="04582F5A" w14:textId="77777777" w:rsidR="00E270A8" w:rsidRPr="00720389" w:rsidRDefault="00E270A8" w:rsidP="0094663E">
      <w:pPr>
        <w:pStyle w:val="BodyText2"/>
        <w:rPr>
          <w:b w:val="0"/>
          <w:szCs w:val="22"/>
        </w:rPr>
      </w:pPr>
    </w:p>
    <w:p w14:paraId="461D3649" w14:textId="77777777" w:rsidR="00E270A8" w:rsidRPr="00720389" w:rsidRDefault="00E270A8" w:rsidP="0094663E">
      <w:pPr>
        <w:pStyle w:val="BodyText2"/>
        <w:rPr>
          <w:b w:val="0"/>
          <w:szCs w:val="22"/>
        </w:rPr>
      </w:pPr>
    </w:p>
    <w:p w14:paraId="69B856E6" w14:textId="77777777" w:rsidR="00E270A8" w:rsidRPr="00720389" w:rsidRDefault="00E270A8" w:rsidP="0094663E">
      <w:pPr>
        <w:pStyle w:val="Heading1"/>
        <w:rPr>
          <w:szCs w:val="22"/>
        </w:rPr>
      </w:pPr>
      <w:bookmarkStart w:id="2" w:name="_Toc420922096"/>
      <w:r w:rsidRPr="00720389">
        <w:rPr>
          <w:szCs w:val="22"/>
        </w:rPr>
        <w:t>Summary of recommendations</w:t>
      </w:r>
      <w:bookmarkEnd w:id="2"/>
    </w:p>
    <w:p w14:paraId="5FEAA13A" w14:textId="77777777" w:rsidR="00E270A8" w:rsidRDefault="00E270A8" w:rsidP="0094663E">
      <w:pPr>
        <w:rPr>
          <w:rFonts w:ascii="Arial" w:eastAsiaTheme="minorHAnsi" w:hAnsi="Arial" w:cs="Arial"/>
        </w:rPr>
      </w:pPr>
    </w:p>
    <w:p w14:paraId="0CFD078B" w14:textId="77777777" w:rsidR="00A063C2" w:rsidRPr="00A063C2" w:rsidRDefault="00A063C2" w:rsidP="00A063C2">
      <w:pPr>
        <w:rPr>
          <w:rFonts w:ascii="Arial" w:eastAsiaTheme="minorHAnsi" w:hAnsi="Arial" w:cs="Arial"/>
          <w:b/>
        </w:rPr>
      </w:pPr>
      <w:r w:rsidRPr="00A063C2">
        <w:rPr>
          <w:rFonts w:ascii="Arial" w:eastAsiaTheme="minorHAnsi" w:hAnsi="Arial" w:cs="Arial"/>
          <w:b/>
        </w:rPr>
        <w:t>Recommendation 1</w:t>
      </w:r>
    </w:p>
    <w:p w14:paraId="6217173E" w14:textId="77777777" w:rsidR="00A063C2" w:rsidRPr="00A063C2" w:rsidRDefault="00A063C2" w:rsidP="00A063C2">
      <w:pPr>
        <w:rPr>
          <w:rFonts w:ascii="Arial" w:eastAsiaTheme="minorHAnsi" w:hAnsi="Arial" w:cs="Arial"/>
        </w:rPr>
      </w:pPr>
    </w:p>
    <w:p w14:paraId="2AE384C2" w14:textId="77777777" w:rsidR="00A063C2" w:rsidRPr="00A063C2" w:rsidRDefault="00A063C2" w:rsidP="00A063C2">
      <w:pPr>
        <w:rPr>
          <w:rFonts w:ascii="Arial" w:eastAsiaTheme="minorHAnsi" w:hAnsi="Arial" w:cs="Arial"/>
        </w:rPr>
      </w:pPr>
      <w:r w:rsidRPr="00A063C2">
        <w:rPr>
          <w:rFonts w:ascii="Arial" w:eastAsiaTheme="minorHAnsi" w:hAnsi="Arial" w:cs="Arial"/>
        </w:rPr>
        <w:t xml:space="preserve">Capital gains tax should not be levied on business ownership transfers within families. </w:t>
      </w:r>
    </w:p>
    <w:p w14:paraId="45E93BD3" w14:textId="77777777" w:rsidR="00A063C2" w:rsidRDefault="00A063C2" w:rsidP="0094663E">
      <w:pPr>
        <w:rPr>
          <w:rFonts w:ascii="Arial" w:eastAsiaTheme="minorHAnsi" w:hAnsi="Arial" w:cs="Arial"/>
        </w:rPr>
      </w:pPr>
    </w:p>
    <w:p w14:paraId="5B25659C" w14:textId="77777777" w:rsidR="006975D4" w:rsidRPr="006975D4" w:rsidRDefault="006975D4" w:rsidP="006975D4">
      <w:pPr>
        <w:rPr>
          <w:rFonts w:ascii="Arial" w:eastAsiaTheme="minorHAnsi" w:hAnsi="Arial" w:cs="Arial"/>
          <w:b/>
        </w:rPr>
      </w:pPr>
      <w:r w:rsidRPr="006975D4">
        <w:rPr>
          <w:rFonts w:ascii="Arial" w:eastAsiaTheme="minorHAnsi" w:hAnsi="Arial" w:cs="Arial"/>
          <w:b/>
        </w:rPr>
        <w:t xml:space="preserve">Recommendation 2 </w:t>
      </w:r>
    </w:p>
    <w:p w14:paraId="44B80822" w14:textId="77777777" w:rsidR="006975D4" w:rsidRPr="006975D4" w:rsidRDefault="006975D4" w:rsidP="006975D4">
      <w:pPr>
        <w:rPr>
          <w:rFonts w:ascii="Arial" w:eastAsiaTheme="minorHAnsi" w:hAnsi="Arial" w:cs="Arial"/>
        </w:rPr>
      </w:pPr>
    </w:p>
    <w:p w14:paraId="4C14BC04" w14:textId="5FC20DD3" w:rsidR="006975D4" w:rsidRDefault="006975D4" w:rsidP="0094663E">
      <w:pPr>
        <w:rPr>
          <w:rFonts w:ascii="Arial" w:eastAsiaTheme="minorHAnsi" w:hAnsi="Arial" w:cs="Arial"/>
        </w:rPr>
      </w:pPr>
      <w:r w:rsidRPr="006975D4">
        <w:rPr>
          <w:rFonts w:ascii="Arial" w:eastAsiaTheme="minorHAnsi" w:hAnsi="Arial" w:cs="Arial"/>
        </w:rPr>
        <w:t>The Government should support the Productivity Commission’s draft recommendat</w:t>
      </w:r>
      <w:r w:rsidR="009D5312">
        <w:rPr>
          <w:rFonts w:ascii="Arial" w:eastAsiaTheme="minorHAnsi" w:hAnsi="Arial" w:cs="Arial"/>
        </w:rPr>
        <w:t>ion 12.2 from the business set</w:t>
      </w:r>
      <w:r w:rsidRPr="006975D4">
        <w:rPr>
          <w:rFonts w:ascii="Arial" w:eastAsiaTheme="minorHAnsi" w:hAnsi="Arial" w:cs="Arial"/>
        </w:rPr>
        <w:t>up, transfer and closure draft report to rationalise and simplify capital gains tax concessions.</w:t>
      </w:r>
    </w:p>
    <w:p w14:paraId="527DCE0D" w14:textId="77777777" w:rsidR="006975D4" w:rsidRDefault="006975D4" w:rsidP="0094663E">
      <w:pPr>
        <w:rPr>
          <w:rFonts w:ascii="Arial" w:eastAsiaTheme="minorHAnsi" w:hAnsi="Arial" w:cs="Arial"/>
        </w:rPr>
      </w:pPr>
    </w:p>
    <w:p w14:paraId="2C85F1CA" w14:textId="6C993073" w:rsidR="00A063C2" w:rsidRPr="00A063C2" w:rsidRDefault="00A063C2" w:rsidP="00A063C2">
      <w:pPr>
        <w:rPr>
          <w:rFonts w:ascii="Arial" w:eastAsiaTheme="minorHAnsi" w:hAnsi="Arial" w:cs="Arial"/>
          <w:b/>
        </w:rPr>
      </w:pPr>
      <w:r w:rsidRPr="00A063C2">
        <w:rPr>
          <w:rFonts w:ascii="Arial" w:eastAsiaTheme="minorHAnsi" w:hAnsi="Arial" w:cs="Arial"/>
          <w:b/>
        </w:rPr>
        <w:t>Recommendation</w:t>
      </w:r>
      <w:r w:rsidR="006975D4">
        <w:rPr>
          <w:rFonts w:ascii="Arial" w:eastAsiaTheme="minorHAnsi" w:hAnsi="Arial" w:cs="Arial"/>
          <w:b/>
        </w:rPr>
        <w:t xml:space="preserve"> 3</w:t>
      </w:r>
    </w:p>
    <w:p w14:paraId="2999AE65" w14:textId="77777777" w:rsidR="00A063C2" w:rsidRPr="00A063C2" w:rsidRDefault="00A063C2" w:rsidP="00A063C2">
      <w:pPr>
        <w:rPr>
          <w:rFonts w:ascii="Arial" w:eastAsiaTheme="minorHAnsi" w:hAnsi="Arial" w:cs="Arial"/>
        </w:rPr>
      </w:pPr>
    </w:p>
    <w:p w14:paraId="07C434A2" w14:textId="77777777" w:rsidR="00A063C2" w:rsidRPr="00A063C2" w:rsidRDefault="00A063C2" w:rsidP="00A063C2">
      <w:pPr>
        <w:rPr>
          <w:rFonts w:ascii="Arial" w:eastAsiaTheme="minorHAnsi" w:hAnsi="Arial" w:cs="Arial"/>
        </w:rPr>
      </w:pPr>
      <w:r w:rsidRPr="00A063C2">
        <w:rPr>
          <w:rFonts w:ascii="Arial" w:eastAsiaTheme="minorHAnsi" w:hAnsi="Arial" w:cs="Arial"/>
        </w:rPr>
        <w:t xml:space="preserve">The Government should continue to use corporate tax rate cuts and asset deductions as a means of encouraging small business growth. </w:t>
      </w:r>
    </w:p>
    <w:p w14:paraId="557413F0" w14:textId="77777777" w:rsidR="00A063C2" w:rsidRDefault="00A063C2" w:rsidP="0094663E">
      <w:pPr>
        <w:rPr>
          <w:rFonts w:ascii="Arial" w:eastAsiaTheme="minorHAnsi" w:hAnsi="Arial" w:cs="Arial"/>
        </w:rPr>
      </w:pPr>
    </w:p>
    <w:p w14:paraId="7BF3B67E" w14:textId="1D591CEF" w:rsidR="00467AA4" w:rsidRPr="00467AA4" w:rsidRDefault="00467AA4" w:rsidP="00467AA4">
      <w:pPr>
        <w:rPr>
          <w:rFonts w:ascii="Arial" w:eastAsiaTheme="minorHAnsi" w:hAnsi="Arial" w:cs="Arial"/>
          <w:b/>
          <w:bCs/>
        </w:rPr>
      </w:pPr>
      <w:r w:rsidRPr="00467AA4">
        <w:rPr>
          <w:rFonts w:ascii="Arial" w:eastAsiaTheme="minorHAnsi" w:hAnsi="Arial" w:cs="Arial"/>
          <w:b/>
          <w:bCs/>
        </w:rPr>
        <w:t xml:space="preserve">Recommendation </w:t>
      </w:r>
      <w:r w:rsidR="006975D4">
        <w:rPr>
          <w:rFonts w:ascii="Arial" w:eastAsiaTheme="minorHAnsi" w:hAnsi="Arial" w:cs="Arial"/>
          <w:b/>
          <w:bCs/>
        </w:rPr>
        <w:t>4</w:t>
      </w:r>
    </w:p>
    <w:p w14:paraId="4FACE91F" w14:textId="77777777" w:rsidR="00467AA4" w:rsidRPr="00467AA4" w:rsidRDefault="00467AA4" w:rsidP="00467AA4">
      <w:pPr>
        <w:rPr>
          <w:rFonts w:ascii="Arial" w:eastAsiaTheme="minorHAnsi" w:hAnsi="Arial" w:cs="Arial"/>
          <w:b/>
          <w:bCs/>
        </w:rPr>
      </w:pPr>
    </w:p>
    <w:p w14:paraId="37783316" w14:textId="1FD51605" w:rsidR="00467AA4" w:rsidRPr="00467AA4" w:rsidRDefault="00467AA4" w:rsidP="00467AA4">
      <w:pPr>
        <w:rPr>
          <w:rFonts w:ascii="Arial" w:eastAsiaTheme="minorHAnsi" w:hAnsi="Arial" w:cs="Arial"/>
        </w:rPr>
      </w:pPr>
      <w:r w:rsidRPr="00467AA4">
        <w:rPr>
          <w:rFonts w:ascii="Arial" w:eastAsiaTheme="minorHAnsi" w:hAnsi="Arial" w:cs="Arial"/>
        </w:rPr>
        <w:t xml:space="preserve">The Government should not implement direct road user charges until it can be proven that the exercise will be revenue neutral and the complexity </w:t>
      </w:r>
      <w:r w:rsidR="00AA560C">
        <w:rPr>
          <w:rFonts w:ascii="Arial" w:eastAsiaTheme="minorHAnsi" w:hAnsi="Arial" w:cs="Arial"/>
        </w:rPr>
        <w:t xml:space="preserve">involved </w:t>
      </w:r>
      <w:r w:rsidRPr="00467AA4">
        <w:rPr>
          <w:rFonts w:ascii="Arial" w:eastAsiaTheme="minorHAnsi" w:hAnsi="Arial" w:cs="Arial"/>
        </w:rPr>
        <w:t xml:space="preserve">does not burden the heavy vehicle industry. </w:t>
      </w:r>
    </w:p>
    <w:p w14:paraId="40E3C687" w14:textId="77777777" w:rsidR="00467AA4" w:rsidRPr="00720389" w:rsidRDefault="00467AA4" w:rsidP="0094663E">
      <w:pPr>
        <w:rPr>
          <w:rFonts w:ascii="Arial" w:eastAsiaTheme="minorHAnsi" w:hAnsi="Arial" w:cs="Arial"/>
        </w:rPr>
      </w:pPr>
    </w:p>
    <w:p w14:paraId="375660CB" w14:textId="6B93C1DF" w:rsidR="0012381A" w:rsidRPr="0012381A" w:rsidRDefault="0012381A" w:rsidP="0012381A">
      <w:pPr>
        <w:rPr>
          <w:rFonts w:ascii="Arial" w:hAnsi="Arial" w:cs="Arial"/>
          <w:b/>
        </w:rPr>
      </w:pPr>
      <w:r w:rsidRPr="0012381A">
        <w:rPr>
          <w:rFonts w:ascii="Arial" w:hAnsi="Arial" w:cs="Arial"/>
          <w:b/>
        </w:rPr>
        <w:t xml:space="preserve">Recommendation </w:t>
      </w:r>
      <w:r w:rsidR="006975D4">
        <w:rPr>
          <w:rFonts w:ascii="Arial" w:hAnsi="Arial" w:cs="Arial"/>
          <w:b/>
        </w:rPr>
        <w:t>5</w:t>
      </w:r>
    </w:p>
    <w:p w14:paraId="07CC1BD9" w14:textId="77777777" w:rsidR="0012381A" w:rsidRDefault="0012381A" w:rsidP="0012381A">
      <w:pPr>
        <w:rPr>
          <w:rFonts w:ascii="Arial" w:hAnsi="Arial" w:cs="Arial"/>
        </w:rPr>
      </w:pPr>
    </w:p>
    <w:p w14:paraId="3C550DFA" w14:textId="7880792E" w:rsidR="0012381A" w:rsidRDefault="0012381A" w:rsidP="0012381A">
      <w:pPr>
        <w:rPr>
          <w:rFonts w:ascii="Arial" w:hAnsi="Arial" w:cs="Arial"/>
        </w:rPr>
      </w:pPr>
      <w:r>
        <w:rPr>
          <w:rFonts w:ascii="Arial" w:hAnsi="Arial" w:cs="Arial"/>
        </w:rPr>
        <w:t>The Government should implement the Department of Infrastructure and Regional Development</w:t>
      </w:r>
      <w:r w:rsidR="00AA560C">
        <w:rPr>
          <w:rFonts w:ascii="Arial" w:hAnsi="Arial" w:cs="Arial"/>
        </w:rPr>
        <w:t>’</w:t>
      </w:r>
      <w:r>
        <w:rPr>
          <w:rFonts w:ascii="Arial" w:hAnsi="Arial" w:cs="Arial"/>
        </w:rPr>
        <w:t>s recommended short term initial measures to improve road agency performance.</w:t>
      </w:r>
    </w:p>
    <w:p w14:paraId="260607DD" w14:textId="77777777" w:rsidR="0012381A" w:rsidRDefault="0012381A" w:rsidP="0012381A">
      <w:pPr>
        <w:rPr>
          <w:rFonts w:ascii="Arial" w:hAnsi="Arial" w:cs="Arial"/>
        </w:rPr>
      </w:pPr>
    </w:p>
    <w:p w14:paraId="50686D2B" w14:textId="6642E68B" w:rsidR="0012381A" w:rsidRPr="00CF7294" w:rsidRDefault="0012381A" w:rsidP="0012381A">
      <w:pPr>
        <w:pStyle w:val="NormalWeb"/>
        <w:spacing w:before="0" w:beforeAutospacing="0" w:after="0" w:afterAutospacing="0"/>
        <w:rPr>
          <w:rFonts w:ascii="Arial" w:hAnsi="Arial" w:cs="Arial"/>
          <w:b/>
          <w:iCs/>
          <w:sz w:val="22"/>
          <w:szCs w:val="22"/>
        </w:rPr>
      </w:pPr>
      <w:r w:rsidRPr="00CF7294">
        <w:rPr>
          <w:rFonts w:ascii="Arial" w:hAnsi="Arial" w:cs="Arial"/>
          <w:b/>
          <w:iCs/>
          <w:sz w:val="22"/>
          <w:szCs w:val="22"/>
        </w:rPr>
        <w:t>Recommendation</w:t>
      </w:r>
      <w:r w:rsidR="006975D4">
        <w:rPr>
          <w:rFonts w:ascii="Arial" w:hAnsi="Arial" w:cs="Arial"/>
          <w:b/>
          <w:iCs/>
          <w:sz w:val="22"/>
          <w:szCs w:val="22"/>
        </w:rPr>
        <w:t xml:space="preserve"> 6</w:t>
      </w:r>
    </w:p>
    <w:p w14:paraId="5130FA30" w14:textId="77777777" w:rsidR="0012381A" w:rsidRPr="00CF7294" w:rsidRDefault="0012381A" w:rsidP="0012381A">
      <w:pPr>
        <w:pStyle w:val="NormalWeb"/>
        <w:spacing w:before="0" w:beforeAutospacing="0" w:after="0" w:afterAutospacing="0"/>
        <w:rPr>
          <w:rFonts w:ascii="Arial" w:hAnsi="Arial" w:cs="Arial"/>
          <w:iCs/>
          <w:sz w:val="22"/>
          <w:szCs w:val="22"/>
        </w:rPr>
      </w:pPr>
    </w:p>
    <w:p w14:paraId="5EFAEF08" w14:textId="77777777" w:rsidR="0012381A" w:rsidRPr="00CF7294" w:rsidRDefault="0012381A" w:rsidP="0012381A">
      <w:pPr>
        <w:pStyle w:val="NormalWeb"/>
        <w:spacing w:before="0" w:beforeAutospacing="0" w:after="0" w:afterAutospacing="0"/>
        <w:rPr>
          <w:rFonts w:ascii="Arial" w:hAnsi="Arial" w:cs="Arial"/>
          <w:iCs/>
          <w:sz w:val="22"/>
          <w:szCs w:val="22"/>
        </w:rPr>
      </w:pPr>
      <w:r w:rsidRPr="00CF7294">
        <w:rPr>
          <w:rFonts w:ascii="Arial" w:hAnsi="Arial" w:cs="Arial"/>
          <w:iCs/>
          <w:sz w:val="22"/>
          <w:szCs w:val="22"/>
        </w:rPr>
        <w:t>The Government should implement the following Productivity Commission Public Infrastructure inquiry recommendations</w:t>
      </w:r>
      <w:r>
        <w:rPr>
          <w:rFonts w:ascii="Arial" w:hAnsi="Arial" w:cs="Arial"/>
          <w:iCs/>
          <w:sz w:val="22"/>
          <w:szCs w:val="22"/>
        </w:rPr>
        <w:t>,</w:t>
      </w:r>
      <w:r w:rsidRPr="00CF7294">
        <w:rPr>
          <w:rFonts w:ascii="Arial" w:hAnsi="Arial" w:cs="Arial"/>
          <w:iCs/>
          <w:sz w:val="22"/>
          <w:szCs w:val="22"/>
        </w:rPr>
        <w:t xml:space="preserve"> in order to increase productivity in supply side provision and consequently road users:</w:t>
      </w:r>
    </w:p>
    <w:p w14:paraId="5BB0FFD0" w14:textId="77777777" w:rsidR="0012381A" w:rsidRPr="00CF7294" w:rsidRDefault="0012381A" w:rsidP="0012381A">
      <w:pPr>
        <w:pStyle w:val="ListParagraph"/>
        <w:numPr>
          <w:ilvl w:val="0"/>
          <w:numId w:val="9"/>
        </w:numPr>
        <w:rPr>
          <w:rFonts w:ascii="Arial" w:eastAsiaTheme="minorHAnsi" w:hAnsi="Arial" w:cs="Arial"/>
        </w:rPr>
      </w:pPr>
      <w:r w:rsidRPr="00CF7294">
        <w:rPr>
          <w:rFonts w:ascii="Arial" w:eastAsiaTheme="minorHAnsi" w:hAnsi="Arial" w:cs="Arial"/>
        </w:rPr>
        <w:t>conditional funding for states</w:t>
      </w:r>
    </w:p>
    <w:p w14:paraId="3052BCB5" w14:textId="77777777" w:rsidR="0012381A" w:rsidRPr="00CF7294" w:rsidRDefault="0012381A" w:rsidP="0012381A">
      <w:pPr>
        <w:pStyle w:val="ListParagraph"/>
        <w:numPr>
          <w:ilvl w:val="0"/>
          <w:numId w:val="9"/>
        </w:numPr>
        <w:rPr>
          <w:rFonts w:ascii="Arial" w:eastAsiaTheme="minorHAnsi" w:hAnsi="Arial" w:cs="Arial"/>
        </w:rPr>
      </w:pPr>
      <w:r w:rsidRPr="00CF7294">
        <w:rPr>
          <w:rFonts w:ascii="Arial" w:eastAsiaTheme="minorHAnsi" w:hAnsi="Arial" w:cs="Arial"/>
        </w:rPr>
        <w:t>improved governance arrangements</w:t>
      </w:r>
    </w:p>
    <w:p w14:paraId="711E460A" w14:textId="77777777" w:rsidR="0012381A" w:rsidRPr="00CF7294" w:rsidRDefault="0012381A" w:rsidP="0012381A">
      <w:pPr>
        <w:pStyle w:val="ListParagraph"/>
        <w:numPr>
          <w:ilvl w:val="0"/>
          <w:numId w:val="9"/>
        </w:numPr>
        <w:rPr>
          <w:rFonts w:ascii="Arial" w:eastAsiaTheme="minorHAnsi" w:hAnsi="Arial" w:cs="Arial"/>
        </w:rPr>
      </w:pPr>
      <w:r w:rsidRPr="00CF7294">
        <w:rPr>
          <w:rFonts w:ascii="Arial" w:eastAsiaTheme="minorHAnsi" w:hAnsi="Arial" w:cs="Arial"/>
        </w:rPr>
        <w:t>project benchmarking</w:t>
      </w:r>
    </w:p>
    <w:p w14:paraId="3171E91E" w14:textId="77777777" w:rsidR="0012381A" w:rsidRPr="00CF7294" w:rsidRDefault="0012381A" w:rsidP="0012381A">
      <w:pPr>
        <w:pStyle w:val="ListParagraph"/>
        <w:numPr>
          <w:ilvl w:val="0"/>
          <w:numId w:val="9"/>
        </w:numPr>
        <w:rPr>
          <w:rFonts w:ascii="Arial" w:eastAsiaTheme="minorHAnsi" w:hAnsi="Arial" w:cs="Arial"/>
        </w:rPr>
      </w:pPr>
      <w:r>
        <w:rPr>
          <w:rFonts w:ascii="Arial" w:eastAsiaTheme="minorHAnsi" w:hAnsi="Arial" w:cs="Arial"/>
        </w:rPr>
        <w:t>better project selection</w:t>
      </w:r>
      <w:r w:rsidRPr="00CF7294">
        <w:rPr>
          <w:rFonts w:ascii="Arial" w:eastAsiaTheme="minorHAnsi" w:hAnsi="Arial" w:cs="Arial"/>
        </w:rPr>
        <w:t xml:space="preserve"> </w:t>
      </w:r>
    </w:p>
    <w:p w14:paraId="78457E5E" w14:textId="394F803F" w:rsidR="005B4BBD" w:rsidRPr="005B4BBD" w:rsidRDefault="0012381A" w:rsidP="005B4BBD">
      <w:pPr>
        <w:pStyle w:val="ListParagraph"/>
        <w:numPr>
          <w:ilvl w:val="0"/>
          <w:numId w:val="9"/>
        </w:numPr>
        <w:spacing w:after="0"/>
        <w:rPr>
          <w:rFonts w:ascii="Arial" w:hAnsi="Arial" w:cs="Arial"/>
          <w:iCs/>
        </w:rPr>
      </w:pPr>
      <w:r w:rsidRPr="00CF7294">
        <w:rPr>
          <w:rFonts w:ascii="Arial" w:eastAsiaTheme="minorHAnsi" w:hAnsi="Arial" w:cs="Arial"/>
        </w:rPr>
        <w:t>improved cost benefit analysis.</w:t>
      </w:r>
    </w:p>
    <w:p w14:paraId="39F7C854" w14:textId="77777777" w:rsidR="005B4BBD" w:rsidRPr="005B4BBD" w:rsidRDefault="005B4BBD" w:rsidP="005B4BBD">
      <w:pPr>
        <w:pStyle w:val="ListParagraph"/>
        <w:spacing w:after="0"/>
        <w:rPr>
          <w:rFonts w:ascii="Arial" w:hAnsi="Arial" w:cs="Arial"/>
          <w:iCs/>
        </w:rPr>
      </w:pPr>
    </w:p>
    <w:p w14:paraId="1D0DD888" w14:textId="3ED1DD2A" w:rsidR="005B4BBD" w:rsidRPr="00CF7294" w:rsidRDefault="005B4BBD" w:rsidP="005B4BBD">
      <w:pPr>
        <w:rPr>
          <w:rFonts w:ascii="Arial" w:eastAsiaTheme="minorHAnsi" w:hAnsi="Arial" w:cs="Arial"/>
          <w:b/>
        </w:rPr>
      </w:pPr>
      <w:r>
        <w:rPr>
          <w:rFonts w:ascii="Arial" w:eastAsiaTheme="minorHAnsi" w:hAnsi="Arial" w:cs="Arial"/>
          <w:b/>
        </w:rPr>
        <w:t xml:space="preserve">Recommendation </w:t>
      </w:r>
      <w:r w:rsidR="006975D4">
        <w:rPr>
          <w:rFonts w:ascii="Arial" w:eastAsiaTheme="minorHAnsi" w:hAnsi="Arial" w:cs="Arial"/>
          <w:b/>
        </w:rPr>
        <w:t>7</w:t>
      </w:r>
    </w:p>
    <w:p w14:paraId="3738A0F7" w14:textId="77777777" w:rsidR="005B4BBD" w:rsidRPr="00CF7294" w:rsidRDefault="005B4BBD" w:rsidP="005B4BBD">
      <w:pPr>
        <w:rPr>
          <w:rFonts w:ascii="Arial" w:eastAsiaTheme="minorHAnsi" w:hAnsi="Arial" w:cs="Arial"/>
          <w:b/>
        </w:rPr>
      </w:pPr>
    </w:p>
    <w:p w14:paraId="1283E91E" w14:textId="77777777" w:rsidR="005B4BBD" w:rsidRDefault="005B4BBD" w:rsidP="005B4BBD">
      <w:pPr>
        <w:rPr>
          <w:rFonts w:ascii="Arial" w:hAnsi="Arial" w:cs="Arial"/>
          <w:iCs/>
        </w:rPr>
      </w:pPr>
      <w:r w:rsidRPr="00CF7294">
        <w:rPr>
          <w:rFonts w:ascii="Arial" w:eastAsiaTheme="minorHAnsi" w:hAnsi="Arial" w:cs="Arial"/>
        </w:rPr>
        <w:t>The Government should implement the PricewaterhouseCoopers</w:t>
      </w:r>
      <w:r>
        <w:rPr>
          <w:rFonts w:ascii="Arial" w:eastAsiaTheme="minorHAnsi" w:hAnsi="Arial" w:cs="Arial"/>
        </w:rPr>
        <w:t xml:space="preserve"> comprehensive</w:t>
      </w:r>
      <w:r w:rsidRPr="005B4BBD">
        <w:rPr>
          <w:rFonts w:ascii="Arial" w:eastAsiaTheme="minorHAnsi" w:hAnsi="Arial" w:cs="Arial"/>
        </w:rPr>
        <w:t xml:space="preserve"> </w:t>
      </w:r>
      <w:r>
        <w:rPr>
          <w:rFonts w:ascii="Arial" w:eastAsiaTheme="minorHAnsi" w:hAnsi="Arial" w:cs="Arial"/>
        </w:rPr>
        <w:t xml:space="preserve">road supply side recommendations to improve road infrastructure. </w:t>
      </w:r>
    </w:p>
    <w:p w14:paraId="668D4815" w14:textId="77777777" w:rsidR="005B4BBD" w:rsidRDefault="005B4BBD" w:rsidP="0094663E">
      <w:pPr>
        <w:pStyle w:val="BodyText2"/>
        <w:rPr>
          <w:b w:val="0"/>
          <w:szCs w:val="22"/>
        </w:rPr>
      </w:pPr>
    </w:p>
    <w:p w14:paraId="00823B60" w14:textId="2603A1DB" w:rsidR="004B17AA" w:rsidRDefault="004B17AA">
      <w:pPr>
        <w:rPr>
          <w:rFonts w:ascii="Arial" w:eastAsia="Times New Roman" w:hAnsi="Arial" w:cs="Arial"/>
          <w:bCs/>
        </w:rPr>
      </w:pPr>
      <w:r>
        <w:rPr>
          <w:b/>
        </w:rPr>
        <w:br w:type="page"/>
      </w:r>
    </w:p>
    <w:p w14:paraId="74651177" w14:textId="77777777" w:rsidR="00BF1683" w:rsidRPr="00720389" w:rsidRDefault="00BF1683" w:rsidP="0094663E">
      <w:pPr>
        <w:pStyle w:val="BodyText2"/>
        <w:rPr>
          <w:b w:val="0"/>
          <w:szCs w:val="22"/>
        </w:rPr>
      </w:pPr>
    </w:p>
    <w:p w14:paraId="6F0C7AE3" w14:textId="77777777" w:rsidR="00600132" w:rsidRPr="00720389" w:rsidRDefault="00576ED0" w:rsidP="0094663E">
      <w:pPr>
        <w:pStyle w:val="Heading1"/>
        <w:rPr>
          <w:szCs w:val="22"/>
        </w:rPr>
      </w:pPr>
      <w:bookmarkStart w:id="3" w:name="_Toc420922097"/>
      <w:r w:rsidRPr="00720389">
        <w:rPr>
          <w:szCs w:val="22"/>
        </w:rPr>
        <w:t>Introduction</w:t>
      </w:r>
      <w:bookmarkEnd w:id="3"/>
    </w:p>
    <w:p w14:paraId="4CD34D00" w14:textId="77777777" w:rsidR="00C322A1" w:rsidRPr="00720389" w:rsidRDefault="00C322A1" w:rsidP="0094663E">
      <w:pPr>
        <w:rPr>
          <w:rFonts w:ascii="Arial" w:eastAsia="Times New Roman" w:hAnsi="Arial" w:cs="Arial"/>
          <w:bCs/>
        </w:rPr>
      </w:pPr>
    </w:p>
    <w:p w14:paraId="6407CBE8" w14:textId="058C96FE" w:rsidR="005C7397" w:rsidRDefault="0072199D" w:rsidP="00BF1683">
      <w:pPr>
        <w:rPr>
          <w:rFonts w:ascii="Arial" w:eastAsia="Times New Roman" w:hAnsi="Arial" w:cs="Arial"/>
          <w:bCs/>
        </w:rPr>
      </w:pPr>
      <w:r w:rsidRPr="00720389">
        <w:rPr>
          <w:rFonts w:ascii="Arial" w:eastAsia="Times New Roman" w:hAnsi="Arial" w:cs="Arial"/>
          <w:bCs/>
        </w:rPr>
        <w:t>The heavy vehicle industry is predominantl</w:t>
      </w:r>
      <w:r w:rsidR="005C7397">
        <w:rPr>
          <w:rFonts w:ascii="Arial" w:eastAsia="Times New Roman" w:hAnsi="Arial" w:cs="Arial"/>
          <w:bCs/>
        </w:rPr>
        <w:t>y populated by small businesses. M</w:t>
      </w:r>
      <w:r w:rsidRPr="00720389">
        <w:rPr>
          <w:rFonts w:ascii="Arial" w:eastAsia="Times New Roman" w:hAnsi="Arial" w:cs="Arial"/>
          <w:bCs/>
        </w:rPr>
        <w:t>any are family owned and run. While the industry is a significant contributor to GDP</w:t>
      </w:r>
      <w:r w:rsidR="00811687" w:rsidRPr="00720389">
        <w:rPr>
          <w:rFonts w:ascii="Arial" w:eastAsia="Times New Roman" w:hAnsi="Arial" w:cs="Arial"/>
          <w:bCs/>
        </w:rPr>
        <w:t xml:space="preserve">, the </w:t>
      </w:r>
      <w:r w:rsidR="00BF7EA1" w:rsidRPr="00720389">
        <w:rPr>
          <w:rFonts w:ascii="Arial" w:eastAsia="Times New Roman" w:hAnsi="Arial" w:cs="Arial"/>
          <w:bCs/>
        </w:rPr>
        <w:t>taxation</w:t>
      </w:r>
      <w:r w:rsidR="00811687" w:rsidRPr="00720389">
        <w:rPr>
          <w:rFonts w:ascii="Arial" w:eastAsia="Times New Roman" w:hAnsi="Arial" w:cs="Arial"/>
          <w:bCs/>
        </w:rPr>
        <w:t xml:space="preserve"> burdens that fall on the trucking industry make doing business hard</w:t>
      </w:r>
      <w:r w:rsidR="009D5312">
        <w:rPr>
          <w:rFonts w:ascii="Arial" w:eastAsia="Times New Roman" w:hAnsi="Arial" w:cs="Arial"/>
          <w:bCs/>
        </w:rPr>
        <w:t>er, more expensive and result</w:t>
      </w:r>
      <w:r w:rsidR="00811687" w:rsidRPr="00720389">
        <w:rPr>
          <w:rFonts w:ascii="Arial" w:eastAsia="Times New Roman" w:hAnsi="Arial" w:cs="Arial"/>
          <w:bCs/>
        </w:rPr>
        <w:t xml:space="preserve"> in </w:t>
      </w:r>
      <w:r w:rsidR="009D5312">
        <w:rPr>
          <w:rFonts w:ascii="Arial" w:eastAsia="Times New Roman" w:hAnsi="Arial" w:cs="Arial"/>
          <w:bCs/>
        </w:rPr>
        <w:t xml:space="preserve">stalled </w:t>
      </w:r>
      <w:r w:rsidR="00811687" w:rsidRPr="00720389">
        <w:rPr>
          <w:rFonts w:ascii="Arial" w:eastAsia="Times New Roman" w:hAnsi="Arial" w:cs="Arial"/>
          <w:bCs/>
        </w:rPr>
        <w:t xml:space="preserve">industry productivity. </w:t>
      </w:r>
    </w:p>
    <w:p w14:paraId="1A267B2B" w14:textId="77777777" w:rsidR="005C7397" w:rsidRDefault="005C7397" w:rsidP="00BF1683">
      <w:pPr>
        <w:rPr>
          <w:rFonts w:ascii="Arial" w:eastAsia="Times New Roman" w:hAnsi="Arial" w:cs="Arial"/>
          <w:bCs/>
        </w:rPr>
      </w:pPr>
    </w:p>
    <w:p w14:paraId="5AD81DB4" w14:textId="4CA1535C" w:rsidR="00BF1683" w:rsidRPr="00BF1683" w:rsidRDefault="00811687" w:rsidP="00BF1683">
      <w:pPr>
        <w:rPr>
          <w:rFonts w:ascii="Arial" w:eastAsia="Times New Roman" w:hAnsi="Arial" w:cs="Arial"/>
          <w:bCs/>
        </w:rPr>
      </w:pPr>
      <w:r w:rsidRPr="00720389">
        <w:rPr>
          <w:rFonts w:ascii="Arial" w:eastAsia="Times New Roman" w:hAnsi="Arial" w:cs="Arial"/>
          <w:bCs/>
        </w:rPr>
        <w:t xml:space="preserve">The Government has the opportunity to fix the tax system, removing and lowering inefficient, unfair and outdated taxes. </w:t>
      </w:r>
    </w:p>
    <w:p w14:paraId="4328F71C" w14:textId="77777777" w:rsidR="00811687" w:rsidRPr="00720389" w:rsidRDefault="00811687" w:rsidP="0094663E">
      <w:pPr>
        <w:rPr>
          <w:rFonts w:ascii="Arial" w:eastAsia="Times New Roman" w:hAnsi="Arial" w:cs="Arial"/>
          <w:bCs/>
        </w:rPr>
      </w:pPr>
    </w:p>
    <w:p w14:paraId="5D70F3E0" w14:textId="7CD15FA9" w:rsidR="00BF1683" w:rsidRDefault="005C7397" w:rsidP="00786A11">
      <w:pPr>
        <w:spacing w:after="160" w:line="256" w:lineRule="auto"/>
        <w:rPr>
          <w:rFonts w:ascii="Arial" w:hAnsi="Arial" w:cs="Arial"/>
        </w:rPr>
      </w:pPr>
      <w:r>
        <w:rPr>
          <w:rFonts w:ascii="Arial" w:hAnsi="Arial" w:cs="Arial"/>
        </w:rPr>
        <w:t xml:space="preserve">In the ATA’s view the tax review should aim to reduce </w:t>
      </w:r>
      <w:r w:rsidR="00786A11" w:rsidRPr="00786A11">
        <w:rPr>
          <w:rFonts w:ascii="Arial" w:hAnsi="Arial" w:cs="Arial"/>
        </w:rPr>
        <w:t xml:space="preserve">compliance costs and </w:t>
      </w:r>
      <w:r>
        <w:rPr>
          <w:rFonts w:ascii="Arial" w:hAnsi="Arial" w:cs="Arial"/>
        </w:rPr>
        <w:t>establish</w:t>
      </w:r>
      <w:r w:rsidR="00786A11" w:rsidRPr="00786A11">
        <w:rPr>
          <w:rFonts w:ascii="Arial" w:hAnsi="Arial" w:cs="Arial"/>
        </w:rPr>
        <w:t xml:space="preserve"> a </w:t>
      </w:r>
      <w:r>
        <w:rPr>
          <w:rFonts w:ascii="Arial" w:hAnsi="Arial" w:cs="Arial"/>
        </w:rPr>
        <w:t xml:space="preserve">more </w:t>
      </w:r>
      <w:r w:rsidR="00786A11" w:rsidRPr="00786A11">
        <w:rPr>
          <w:rFonts w:ascii="Arial" w:hAnsi="Arial" w:cs="Arial"/>
        </w:rPr>
        <w:t>favourable environment for investment</w:t>
      </w:r>
      <w:r w:rsidR="00094D62">
        <w:rPr>
          <w:rFonts w:ascii="Arial" w:hAnsi="Arial" w:cs="Arial"/>
        </w:rPr>
        <w:t>,</w:t>
      </w:r>
      <w:r w:rsidR="00786A11" w:rsidRPr="00786A11">
        <w:rPr>
          <w:rFonts w:ascii="Arial" w:hAnsi="Arial" w:cs="Arial"/>
        </w:rPr>
        <w:t xml:space="preserve"> </w:t>
      </w:r>
      <w:r w:rsidR="00094D62">
        <w:rPr>
          <w:rFonts w:ascii="Arial" w:hAnsi="Arial" w:cs="Arial"/>
        </w:rPr>
        <w:t>particularly for small and medium businesses</w:t>
      </w:r>
      <w:r w:rsidR="00786A11" w:rsidRPr="00786A11">
        <w:rPr>
          <w:rFonts w:ascii="Arial" w:hAnsi="Arial" w:cs="Arial"/>
        </w:rPr>
        <w:t xml:space="preserve">. </w:t>
      </w:r>
    </w:p>
    <w:p w14:paraId="21E8EA69" w14:textId="1E104CCA" w:rsidR="00094D62" w:rsidRDefault="00786A11" w:rsidP="00094D62">
      <w:pPr>
        <w:spacing w:after="160" w:line="256" w:lineRule="auto"/>
        <w:rPr>
          <w:rFonts w:ascii="Arial" w:eastAsia="Times New Roman" w:hAnsi="Arial" w:cs="Arial"/>
        </w:rPr>
      </w:pPr>
      <w:r w:rsidRPr="00786A11">
        <w:rPr>
          <w:rFonts w:ascii="Arial" w:hAnsi="Arial" w:cs="Arial"/>
        </w:rPr>
        <w:t>The ATA was very pleased that the importance of small business was recog</w:t>
      </w:r>
      <w:r w:rsidR="00094D62">
        <w:rPr>
          <w:rFonts w:ascii="Arial" w:hAnsi="Arial" w:cs="Arial"/>
        </w:rPr>
        <w:t>nised in the recent 2015 budget. W</w:t>
      </w:r>
      <w:r w:rsidRPr="00786A11">
        <w:rPr>
          <w:rFonts w:ascii="Arial" w:hAnsi="Arial" w:cs="Arial"/>
        </w:rPr>
        <w:t xml:space="preserve">e have estimated that </w:t>
      </w:r>
      <w:r w:rsidR="00A063C2">
        <w:rPr>
          <w:rFonts w:ascii="Arial" w:eastAsia="Times New Roman" w:hAnsi="Arial" w:cs="Arial"/>
        </w:rPr>
        <w:t>m</w:t>
      </w:r>
      <w:r w:rsidRPr="00786A11">
        <w:rPr>
          <w:rFonts w:ascii="Arial" w:eastAsia="Times New Roman" w:hAnsi="Arial" w:cs="Arial"/>
        </w:rPr>
        <w:t>ore than 45,000</w:t>
      </w:r>
      <w:r w:rsidR="005B4BBD">
        <w:rPr>
          <w:rStyle w:val="FootnoteReference"/>
          <w:rFonts w:ascii="Arial" w:eastAsia="Times New Roman" w:hAnsi="Arial"/>
        </w:rPr>
        <w:footnoteReference w:id="1"/>
      </w:r>
      <w:r w:rsidRPr="00786A11">
        <w:rPr>
          <w:rFonts w:ascii="Arial" w:eastAsia="Times New Roman" w:hAnsi="Arial" w:cs="Arial"/>
        </w:rPr>
        <w:t xml:space="preserve"> trucking businesses will benefit from</w:t>
      </w:r>
      <w:r w:rsidR="00094D62">
        <w:rPr>
          <w:rFonts w:ascii="Arial" w:eastAsia="Times New Roman" w:hAnsi="Arial" w:cs="Arial"/>
        </w:rPr>
        <w:t>:</w:t>
      </w:r>
    </w:p>
    <w:p w14:paraId="2F9A7062" w14:textId="4CBA7D21" w:rsidR="00A063C2" w:rsidRPr="00094D62" w:rsidRDefault="00094D62" w:rsidP="00094D62">
      <w:pPr>
        <w:pStyle w:val="ListParagraph"/>
        <w:numPr>
          <w:ilvl w:val="0"/>
          <w:numId w:val="8"/>
        </w:numPr>
        <w:spacing w:after="160" w:line="256" w:lineRule="auto"/>
        <w:rPr>
          <w:rFonts w:ascii="Arial" w:eastAsia="Times New Roman" w:hAnsi="Arial" w:cs="Arial"/>
        </w:rPr>
      </w:pPr>
      <w:r>
        <w:rPr>
          <w:rFonts w:ascii="Arial" w:eastAsia="Times New Roman" w:hAnsi="Arial" w:cs="Arial"/>
        </w:rPr>
        <w:t xml:space="preserve">The reduction in company tax rate for businesses with a turnover of less than $2 million per year from </w:t>
      </w:r>
      <w:r w:rsidR="00786A11" w:rsidRPr="00094D62">
        <w:rPr>
          <w:rFonts w:ascii="Arial" w:eastAsia="Times New Roman" w:hAnsi="Arial" w:cs="Arial"/>
        </w:rPr>
        <w:t xml:space="preserve">30 per cent to 28.5 per cent. </w:t>
      </w:r>
    </w:p>
    <w:p w14:paraId="6D721CE8" w14:textId="6F685165" w:rsidR="00A063C2" w:rsidRDefault="00094D62" w:rsidP="0075477E">
      <w:pPr>
        <w:pStyle w:val="ListParagraph"/>
        <w:numPr>
          <w:ilvl w:val="0"/>
          <w:numId w:val="4"/>
        </w:numPr>
        <w:spacing w:after="160" w:line="256" w:lineRule="auto"/>
        <w:rPr>
          <w:rFonts w:ascii="Arial" w:eastAsia="Times New Roman" w:hAnsi="Arial" w:cs="Arial"/>
        </w:rPr>
      </w:pPr>
      <w:r>
        <w:rPr>
          <w:rFonts w:ascii="Arial" w:eastAsia="Times New Roman" w:hAnsi="Arial" w:cs="Arial"/>
        </w:rPr>
        <w:t xml:space="preserve">The tax offset of up to $1,000 for individuals who receive a business income from an unincorporated business with a turnover of less than $2 million per year. </w:t>
      </w:r>
    </w:p>
    <w:p w14:paraId="074FEF7C" w14:textId="3644E63B" w:rsidR="00056DE2" w:rsidRPr="00094D62" w:rsidRDefault="00094D62" w:rsidP="0094663E">
      <w:pPr>
        <w:pStyle w:val="ListParagraph"/>
        <w:numPr>
          <w:ilvl w:val="0"/>
          <w:numId w:val="4"/>
        </w:numPr>
        <w:spacing w:after="160" w:line="256" w:lineRule="auto"/>
        <w:rPr>
          <w:rFonts w:ascii="Arial" w:eastAsia="Times New Roman" w:hAnsi="Arial" w:cs="Arial"/>
        </w:rPr>
      </w:pPr>
      <w:r>
        <w:rPr>
          <w:rFonts w:ascii="Arial" w:eastAsia="Times New Roman" w:hAnsi="Arial" w:cs="Arial"/>
        </w:rPr>
        <w:t>The immediate</w:t>
      </w:r>
      <w:r w:rsidR="00AA560C">
        <w:rPr>
          <w:rFonts w:ascii="Arial" w:eastAsia="Times New Roman" w:hAnsi="Arial" w:cs="Arial"/>
        </w:rPr>
        <w:t xml:space="preserve"> deduction for</w:t>
      </w:r>
      <w:r w:rsidR="00786A11" w:rsidRPr="00A063C2">
        <w:rPr>
          <w:rFonts w:ascii="Arial" w:eastAsia="Times New Roman" w:hAnsi="Arial" w:cs="Arial"/>
        </w:rPr>
        <w:t xml:space="preserve"> </w:t>
      </w:r>
      <w:r w:rsidRPr="00A063C2">
        <w:rPr>
          <w:rFonts w:ascii="Arial" w:eastAsia="Times New Roman" w:hAnsi="Arial" w:cs="Arial"/>
        </w:rPr>
        <w:t>asset</w:t>
      </w:r>
      <w:r w:rsidR="00AA560C">
        <w:rPr>
          <w:rFonts w:ascii="Arial" w:eastAsia="Times New Roman" w:hAnsi="Arial" w:cs="Arial"/>
        </w:rPr>
        <w:t>s</w:t>
      </w:r>
      <w:r w:rsidRPr="00A063C2">
        <w:rPr>
          <w:rFonts w:ascii="Arial" w:eastAsia="Times New Roman" w:hAnsi="Arial" w:cs="Arial"/>
        </w:rPr>
        <w:t xml:space="preserve"> </w:t>
      </w:r>
      <w:r>
        <w:rPr>
          <w:rFonts w:ascii="Arial" w:eastAsia="Times New Roman" w:hAnsi="Arial" w:cs="Arial"/>
        </w:rPr>
        <w:t xml:space="preserve">costing less than $20,000 purchased by businesses with a turnover of less than $2 million per year. </w:t>
      </w:r>
      <w:r w:rsidR="00786A11" w:rsidRPr="00A063C2">
        <w:rPr>
          <w:rFonts w:ascii="Arial" w:eastAsia="Times New Roman" w:hAnsi="Arial" w:cs="Arial"/>
        </w:rPr>
        <w:t xml:space="preserve"> </w:t>
      </w:r>
    </w:p>
    <w:p w14:paraId="1F2C73AC" w14:textId="77777777" w:rsidR="00BF1683" w:rsidRPr="00720389" w:rsidRDefault="00BF1683" w:rsidP="0094663E">
      <w:pPr>
        <w:rPr>
          <w:rFonts w:ascii="Arial" w:eastAsiaTheme="minorHAnsi" w:hAnsi="Arial" w:cs="Arial"/>
        </w:rPr>
      </w:pPr>
    </w:p>
    <w:p w14:paraId="20A325A4" w14:textId="40FA2952" w:rsidR="009A22F4" w:rsidRPr="00720389" w:rsidRDefault="009A22F4" w:rsidP="0094663E">
      <w:pPr>
        <w:pStyle w:val="Heading1"/>
        <w:rPr>
          <w:szCs w:val="22"/>
        </w:rPr>
      </w:pPr>
      <w:bookmarkStart w:id="4" w:name="_Toc420922098"/>
      <w:r w:rsidRPr="00720389">
        <w:rPr>
          <w:szCs w:val="22"/>
        </w:rPr>
        <w:t xml:space="preserve">Tax </w:t>
      </w:r>
      <w:r w:rsidR="006A094F" w:rsidRPr="00720389">
        <w:rPr>
          <w:szCs w:val="22"/>
        </w:rPr>
        <w:t xml:space="preserve">complexity and </w:t>
      </w:r>
      <w:r w:rsidRPr="00720389">
        <w:rPr>
          <w:szCs w:val="22"/>
        </w:rPr>
        <w:t xml:space="preserve">compliance </w:t>
      </w:r>
      <w:r w:rsidR="008F709E" w:rsidRPr="00720389">
        <w:rPr>
          <w:szCs w:val="22"/>
        </w:rPr>
        <w:t>in the trucking industry</w:t>
      </w:r>
      <w:bookmarkEnd w:id="4"/>
    </w:p>
    <w:p w14:paraId="2DE7C3E5" w14:textId="77777777" w:rsidR="009A22F4" w:rsidRPr="00720389" w:rsidRDefault="009A22F4" w:rsidP="0094663E">
      <w:pPr>
        <w:rPr>
          <w:rFonts w:ascii="Arial" w:eastAsiaTheme="minorHAnsi" w:hAnsi="Arial" w:cs="Arial"/>
        </w:rPr>
      </w:pPr>
    </w:p>
    <w:p w14:paraId="5F95502B" w14:textId="18A4C14D" w:rsidR="00786A11" w:rsidRPr="00720389" w:rsidRDefault="00786A11" w:rsidP="00786A11">
      <w:pPr>
        <w:rPr>
          <w:rFonts w:ascii="Arial" w:eastAsia="Times New Roman" w:hAnsi="Arial" w:cs="Arial"/>
        </w:rPr>
      </w:pPr>
      <w:r w:rsidRPr="00720389">
        <w:rPr>
          <w:rFonts w:ascii="Arial" w:eastAsia="Times New Roman" w:hAnsi="Arial" w:cs="Arial"/>
        </w:rPr>
        <w:t xml:space="preserve">In the tax paper the </w:t>
      </w:r>
      <w:r w:rsidR="006A094F" w:rsidRPr="00720389">
        <w:rPr>
          <w:rFonts w:ascii="Arial" w:eastAsia="Times New Roman" w:hAnsi="Arial" w:cs="Arial"/>
        </w:rPr>
        <w:t xml:space="preserve">Government </w:t>
      </w:r>
      <w:r w:rsidR="00AA560C">
        <w:rPr>
          <w:rFonts w:ascii="Arial" w:eastAsia="Times New Roman" w:hAnsi="Arial" w:cs="Arial"/>
        </w:rPr>
        <w:t>said it was</w:t>
      </w:r>
      <w:r w:rsidR="006A094F" w:rsidRPr="00720389">
        <w:rPr>
          <w:rFonts w:ascii="Arial" w:eastAsia="Times New Roman" w:hAnsi="Arial" w:cs="Arial"/>
        </w:rPr>
        <w:t xml:space="preserve"> keen to understand: </w:t>
      </w:r>
      <w:r w:rsidRPr="00720389">
        <w:rPr>
          <w:rFonts w:ascii="Arial" w:eastAsia="Times New Roman" w:hAnsi="Arial" w:cs="Arial"/>
        </w:rPr>
        <w:t xml:space="preserve"> </w:t>
      </w:r>
    </w:p>
    <w:p w14:paraId="4990ECE1" w14:textId="77777777" w:rsidR="00786A11" w:rsidRPr="00720389" w:rsidRDefault="00786A11" w:rsidP="00786A11">
      <w:pPr>
        <w:rPr>
          <w:rFonts w:ascii="Arial" w:eastAsia="Times New Roman" w:hAnsi="Arial" w:cs="Arial"/>
        </w:rPr>
      </w:pPr>
    </w:p>
    <w:p w14:paraId="7E316F8A" w14:textId="66602A70" w:rsidR="00786A11" w:rsidRPr="00AA560C" w:rsidRDefault="00786A11" w:rsidP="00AA560C">
      <w:pPr>
        <w:autoSpaceDE w:val="0"/>
        <w:autoSpaceDN w:val="0"/>
        <w:adjustRightInd w:val="0"/>
        <w:ind w:firstLine="720"/>
        <w:rPr>
          <w:rFonts w:ascii="Arial" w:hAnsi="Arial" w:cs="Arial"/>
        </w:rPr>
      </w:pPr>
      <w:r w:rsidRPr="00AA560C">
        <w:rPr>
          <w:rFonts w:ascii="Arial" w:hAnsi="Arial" w:cs="Arial"/>
        </w:rPr>
        <w:t>4. To what extent should reducing complexity be a priority for tax reform?</w:t>
      </w:r>
      <w:r w:rsidR="00A17D1A" w:rsidRPr="00AA560C">
        <w:rPr>
          <w:rFonts w:ascii="Arial" w:hAnsi="Arial" w:cs="Arial"/>
        </w:rPr>
        <w:t xml:space="preserve"> </w:t>
      </w:r>
    </w:p>
    <w:p w14:paraId="5DD97D38" w14:textId="77777777" w:rsidR="00A17D1A" w:rsidRPr="00720389" w:rsidRDefault="00A17D1A" w:rsidP="00AA560C">
      <w:pPr>
        <w:autoSpaceDE w:val="0"/>
        <w:autoSpaceDN w:val="0"/>
        <w:adjustRightInd w:val="0"/>
        <w:ind w:firstLine="720"/>
        <w:rPr>
          <w:rFonts w:ascii="Arial" w:hAnsi="Arial" w:cs="Arial"/>
          <w:color w:val="000000"/>
        </w:rPr>
      </w:pPr>
      <w:r w:rsidRPr="00AA560C">
        <w:rPr>
          <w:rFonts w:ascii="Arial" w:hAnsi="Arial" w:cs="Arial"/>
        </w:rPr>
        <w:t xml:space="preserve">44. </w:t>
      </w:r>
      <w:r w:rsidRPr="00720389">
        <w:rPr>
          <w:rFonts w:ascii="Arial" w:hAnsi="Arial" w:cs="Arial"/>
          <w:color w:val="000000"/>
        </w:rPr>
        <w:t>What are the most significant drivers of tax law compliance activities and costs for small</w:t>
      </w:r>
    </w:p>
    <w:p w14:paraId="7BA5B44B" w14:textId="039870DB" w:rsidR="00A17D1A" w:rsidRPr="00720389" w:rsidRDefault="00AA560C" w:rsidP="00AA560C">
      <w:pPr>
        <w:autoSpaceDE w:val="0"/>
        <w:autoSpaceDN w:val="0"/>
        <w:adjustRightInd w:val="0"/>
        <w:ind w:firstLine="720"/>
        <w:rPr>
          <w:rFonts w:ascii="Arial" w:hAnsi="Arial" w:cs="Arial"/>
          <w:color w:val="000000"/>
        </w:rPr>
      </w:pPr>
      <w:r>
        <w:rPr>
          <w:rFonts w:ascii="Arial" w:hAnsi="Arial" w:cs="Arial"/>
          <w:color w:val="000000"/>
        </w:rPr>
        <w:t xml:space="preserve">      </w:t>
      </w:r>
      <w:r w:rsidR="00A17D1A" w:rsidRPr="00720389">
        <w:rPr>
          <w:rFonts w:ascii="Arial" w:hAnsi="Arial" w:cs="Arial"/>
          <w:color w:val="000000"/>
        </w:rPr>
        <w:t>business?</w:t>
      </w:r>
    </w:p>
    <w:p w14:paraId="018D816C" w14:textId="77777777" w:rsidR="00786A11" w:rsidRPr="00720389" w:rsidRDefault="00786A11" w:rsidP="0094663E">
      <w:pPr>
        <w:rPr>
          <w:rFonts w:ascii="Arial" w:eastAsiaTheme="minorHAnsi" w:hAnsi="Arial" w:cs="Arial"/>
        </w:rPr>
      </w:pPr>
    </w:p>
    <w:p w14:paraId="56A5E37F" w14:textId="31860BE6" w:rsidR="006A094F" w:rsidRDefault="006A094F" w:rsidP="0094663E">
      <w:pPr>
        <w:rPr>
          <w:rFonts w:ascii="Arial" w:eastAsiaTheme="minorHAnsi" w:hAnsi="Arial" w:cs="Arial"/>
        </w:rPr>
      </w:pPr>
      <w:r w:rsidRPr="00720389">
        <w:rPr>
          <w:rFonts w:ascii="Arial" w:eastAsiaTheme="minorHAnsi" w:hAnsi="Arial" w:cs="Arial"/>
        </w:rPr>
        <w:t>Tax complexity should be a priority for the Government, as additional complexity mean</w:t>
      </w:r>
      <w:r w:rsidR="00461052">
        <w:rPr>
          <w:rFonts w:ascii="Arial" w:eastAsiaTheme="minorHAnsi" w:hAnsi="Arial" w:cs="Arial"/>
        </w:rPr>
        <w:t>s</w:t>
      </w:r>
      <w:r w:rsidRPr="00720389">
        <w:rPr>
          <w:rFonts w:ascii="Arial" w:eastAsiaTheme="minorHAnsi" w:hAnsi="Arial" w:cs="Arial"/>
        </w:rPr>
        <w:t xml:space="preserve"> that businesses have to employ a tax specialist to complete their tax returns </w:t>
      </w:r>
      <w:r w:rsidR="00094D62">
        <w:rPr>
          <w:rFonts w:ascii="Arial" w:eastAsiaTheme="minorHAnsi" w:hAnsi="Arial" w:cs="Arial"/>
        </w:rPr>
        <w:t xml:space="preserve">or risk significant non-compliance as a result of attempting to complete the forms themselves. </w:t>
      </w:r>
    </w:p>
    <w:p w14:paraId="1E822336" w14:textId="77777777" w:rsidR="00786A11" w:rsidRPr="00720389" w:rsidRDefault="00786A11" w:rsidP="0094663E">
      <w:pPr>
        <w:rPr>
          <w:rFonts w:ascii="Arial" w:eastAsiaTheme="minorHAnsi" w:hAnsi="Arial" w:cs="Arial"/>
        </w:rPr>
      </w:pPr>
    </w:p>
    <w:p w14:paraId="56E2CF79" w14:textId="52C772A7" w:rsidR="00363965" w:rsidRDefault="009A22F4" w:rsidP="0094663E">
      <w:pPr>
        <w:rPr>
          <w:rFonts w:ascii="Arial" w:eastAsiaTheme="minorHAnsi" w:hAnsi="Arial" w:cs="Arial"/>
        </w:rPr>
      </w:pPr>
      <w:r w:rsidRPr="00720389">
        <w:rPr>
          <w:rFonts w:ascii="Arial" w:eastAsiaTheme="minorHAnsi" w:hAnsi="Arial" w:cs="Arial"/>
        </w:rPr>
        <w:t xml:space="preserve">Small business is significantly affected by compliance costs. </w:t>
      </w:r>
      <w:r w:rsidR="00B730C1" w:rsidRPr="00720389">
        <w:rPr>
          <w:rFonts w:ascii="Arial" w:eastAsiaTheme="minorHAnsi" w:hAnsi="Arial" w:cs="Arial"/>
        </w:rPr>
        <w:t>Total tax compliance costs are in the order of $40 billion per year. Around 72 per cent of Australian tax filers engaged a tax agent to assist them in meeting their tax obligations for the 2011-12 income year.</w:t>
      </w:r>
      <w:r w:rsidR="00B730C1" w:rsidRPr="00720389">
        <w:rPr>
          <w:rStyle w:val="FootnoteReference"/>
          <w:rFonts w:ascii="Arial" w:eastAsiaTheme="minorHAnsi" w:hAnsi="Arial" w:cs="Arial"/>
        </w:rPr>
        <w:footnoteReference w:id="2"/>
      </w:r>
    </w:p>
    <w:p w14:paraId="563E3C48" w14:textId="77777777" w:rsidR="00363965" w:rsidRDefault="00363965" w:rsidP="0094663E">
      <w:pPr>
        <w:rPr>
          <w:rFonts w:ascii="Arial" w:eastAsiaTheme="minorHAnsi" w:hAnsi="Arial" w:cs="Arial"/>
        </w:rPr>
      </w:pPr>
    </w:p>
    <w:p w14:paraId="2F52EE53" w14:textId="298F1694" w:rsidR="009A22F4" w:rsidRPr="00720389" w:rsidRDefault="009A22F4" w:rsidP="0094663E">
      <w:pPr>
        <w:rPr>
          <w:rFonts w:ascii="Arial" w:eastAsiaTheme="minorHAnsi" w:hAnsi="Arial" w:cs="Arial"/>
        </w:rPr>
      </w:pPr>
      <w:r w:rsidRPr="00720389">
        <w:rPr>
          <w:rFonts w:ascii="Arial" w:eastAsiaTheme="minorHAnsi" w:hAnsi="Arial" w:cs="Arial"/>
        </w:rPr>
        <w:t xml:space="preserve">The scoping study of small business tax compliance costs, </w:t>
      </w:r>
      <w:r w:rsidR="00BF7EA1" w:rsidRPr="00720389">
        <w:rPr>
          <w:rFonts w:ascii="Arial" w:eastAsiaTheme="minorHAnsi" w:hAnsi="Arial" w:cs="Arial"/>
        </w:rPr>
        <w:t>published in 2007, highlighted that</w:t>
      </w:r>
      <w:r w:rsidRPr="00720389">
        <w:rPr>
          <w:rFonts w:ascii="Arial" w:eastAsiaTheme="minorHAnsi" w:hAnsi="Arial" w:cs="Arial"/>
        </w:rPr>
        <w:t xml:space="preserve">: </w:t>
      </w:r>
    </w:p>
    <w:p w14:paraId="1B8DC098" w14:textId="77777777" w:rsidR="009A22F4" w:rsidRPr="00720389" w:rsidRDefault="009A22F4" w:rsidP="0094663E">
      <w:pPr>
        <w:rPr>
          <w:rFonts w:ascii="Arial" w:eastAsiaTheme="minorHAnsi" w:hAnsi="Arial" w:cs="Arial"/>
        </w:rPr>
      </w:pPr>
    </w:p>
    <w:p w14:paraId="282243EA" w14:textId="77777777" w:rsidR="009A22F4" w:rsidRPr="00720389" w:rsidRDefault="009A22F4" w:rsidP="0075477E">
      <w:pPr>
        <w:numPr>
          <w:ilvl w:val="0"/>
          <w:numId w:val="3"/>
        </w:numPr>
        <w:rPr>
          <w:rFonts w:ascii="Arial" w:eastAsiaTheme="minorHAnsi" w:hAnsi="Arial" w:cs="Arial"/>
        </w:rPr>
      </w:pPr>
      <w:r w:rsidRPr="00720389">
        <w:rPr>
          <w:rFonts w:ascii="Arial" w:eastAsiaTheme="minorHAnsi" w:hAnsi="Arial" w:cs="Arial"/>
        </w:rPr>
        <w:t>Compliance costs effect small businesses to a much greater extent than large businesses and are not just financial.</w:t>
      </w:r>
    </w:p>
    <w:p w14:paraId="4594206E" w14:textId="77777777" w:rsidR="009A22F4" w:rsidRPr="00720389" w:rsidRDefault="009A22F4" w:rsidP="0094663E">
      <w:pPr>
        <w:rPr>
          <w:rFonts w:ascii="Arial" w:eastAsiaTheme="minorHAnsi" w:hAnsi="Arial" w:cs="Arial"/>
        </w:rPr>
      </w:pPr>
    </w:p>
    <w:p w14:paraId="5EACED2F" w14:textId="5C147E87" w:rsidR="009A22F4" w:rsidRPr="00720389" w:rsidRDefault="009A22F4" w:rsidP="0075477E">
      <w:pPr>
        <w:numPr>
          <w:ilvl w:val="0"/>
          <w:numId w:val="3"/>
        </w:numPr>
        <w:rPr>
          <w:rFonts w:ascii="Arial" w:eastAsiaTheme="minorHAnsi" w:hAnsi="Arial" w:cs="Arial"/>
        </w:rPr>
      </w:pPr>
      <w:r w:rsidRPr="00720389">
        <w:rPr>
          <w:rFonts w:ascii="Arial" w:eastAsiaTheme="minorHAnsi" w:hAnsi="Arial" w:cs="Arial"/>
        </w:rPr>
        <w:t xml:space="preserve">The small business sector is extremely diverse, and </w:t>
      </w:r>
      <w:r w:rsidR="00461052">
        <w:rPr>
          <w:rFonts w:ascii="Arial" w:eastAsiaTheme="minorHAnsi" w:hAnsi="Arial" w:cs="Arial"/>
        </w:rPr>
        <w:t xml:space="preserve">compliance costs vary based on </w:t>
      </w:r>
      <w:r w:rsidRPr="00720389">
        <w:rPr>
          <w:rFonts w:ascii="Arial" w:eastAsiaTheme="minorHAnsi" w:hAnsi="Arial" w:cs="Arial"/>
        </w:rPr>
        <w:t>factors including size, turnover, business structure, staffing levels, industry sector, the skills and expertise of the proprietors, and accounting systems in place.</w:t>
      </w:r>
    </w:p>
    <w:p w14:paraId="2B13FA05" w14:textId="77777777" w:rsidR="009A22F4" w:rsidRPr="00720389" w:rsidRDefault="009A22F4" w:rsidP="0094663E">
      <w:pPr>
        <w:rPr>
          <w:rFonts w:ascii="Arial" w:eastAsiaTheme="minorHAnsi" w:hAnsi="Arial" w:cs="Arial"/>
        </w:rPr>
      </w:pPr>
    </w:p>
    <w:p w14:paraId="386B5268" w14:textId="77777777" w:rsidR="009A22F4" w:rsidRPr="00720389" w:rsidRDefault="009A22F4" w:rsidP="0075477E">
      <w:pPr>
        <w:numPr>
          <w:ilvl w:val="0"/>
          <w:numId w:val="3"/>
        </w:numPr>
        <w:rPr>
          <w:rFonts w:ascii="Arial" w:eastAsiaTheme="minorHAnsi" w:hAnsi="Arial" w:cs="Arial"/>
        </w:rPr>
      </w:pPr>
      <w:r w:rsidRPr="00720389">
        <w:rPr>
          <w:rFonts w:ascii="Arial" w:eastAsiaTheme="minorHAnsi" w:hAnsi="Arial" w:cs="Arial"/>
        </w:rPr>
        <w:t xml:space="preserve">Increased compliance costs are attributable to a range of factors including inconsistent or different legal rules operating across different jurisdictional legal systems, use of tax systems by government to achieve social and other broader policy objectives, concessions and thresholds, and changes to tax law. </w:t>
      </w:r>
    </w:p>
    <w:p w14:paraId="0845294A" w14:textId="77777777" w:rsidR="009A22F4" w:rsidRPr="00720389" w:rsidRDefault="009A22F4" w:rsidP="0094663E">
      <w:pPr>
        <w:rPr>
          <w:rFonts w:ascii="Arial" w:eastAsiaTheme="minorHAnsi" w:hAnsi="Arial" w:cs="Arial"/>
        </w:rPr>
      </w:pPr>
    </w:p>
    <w:p w14:paraId="604DB6A0" w14:textId="77777777" w:rsidR="009A22F4" w:rsidRPr="00720389" w:rsidRDefault="009A22F4" w:rsidP="0075477E">
      <w:pPr>
        <w:numPr>
          <w:ilvl w:val="0"/>
          <w:numId w:val="3"/>
        </w:numPr>
        <w:rPr>
          <w:rFonts w:ascii="Arial" w:eastAsiaTheme="minorHAnsi" w:hAnsi="Arial" w:cs="Arial"/>
        </w:rPr>
      </w:pPr>
      <w:r w:rsidRPr="00720389">
        <w:rPr>
          <w:rFonts w:ascii="Arial" w:eastAsiaTheme="minorHAnsi" w:hAnsi="Arial" w:cs="Arial"/>
        </w:rPr>
        <w:t>Complying with capital gains tax, fringe benefits tax, business activity statement requirements and managing intergenerational transfers of business assets present particular complexity. Even though risks are similar across the spectrum of businesses, smaller businesses have much greater vulnerability to risk and uncertainty.  The regulations tend to select for larger businesses and do not account for skewed risk vulnerabilities.</w:t>
      </w:r>
    </w:p>
    <w:p w14:paraId="2064018D" w14:textId="77777777" w:rsidR="009A22F4" w:rsidRPr="00720389" w:rsidRDefault="009A22F4" w:rsidP="0094663E">
      <w:pPr>
        <w:rPr>
          <w:rFonts w:ascii="Arial" w:eastAsiaTheme="minorHAnsi" w:hAnsi="Arial" w:cs="Arial"/>
        </w:rPr>
      </w:pPr>
    </w:p>
    <w:p w14:paraId="379C4781" w14:textId="77777777" w:rsidR="009A22F4" w:rsidRPr="00720389" w:rsidRDefault="009A22F4" w:rsidP="0075477E">
      <w:pPr>
        <w:numPr>
          <w:ilvl w:val="0"/>
          <w:numId w:val="3"/>
        </w:numPr>
        <w:rPr>
          <w:rFonts w:ascii="Arial" w:eastAsiaTheme="minorHAnsi" w:hAnsi="Arial" w:cs="Arial"/>
        </w:rPr>
      </w:pPr>
      <w:r w:rsidRPr="00720389">
        <w:rPr>
          <w:rFonts w:ascii="Arial" w:eastAsiaTheme="minorHAnsi" w:hAnsi="Arial" w:cs="Arial"/>
        </w:rPr>
        <w:t>There is no single or precise aspect of the tax system driving the tax compliance concerns perceived by small business. Rather, a myriad of regulations from local governments to the Australian Government appear to be the problem.</w:t>
      </w:r>
      <w:r w:rsidRPr="00720389">
        <w:rPr>
          <w:rFonts w:ascii="Arial" w:eastAsiaTheme="minorHAnsi" w:hAnsi="Arial" w:cs="Arial"/>
          <w:vertAlign w:val="superscript"/>
        </w:rPr>
        <w:footnoteReference w:id="3"/>
      </w:r>
      <w:r w:rsidRPr="00720389">
        <w:rPr>
          <w:rFonts w:ascii="Arial" w:eastAsiaTheme="minorHAnsi" w:hAnsi="Arial" w:cs="Arial"/>
        </w:rPr>
        <w:t xml:space="preserve"> </w:t>
      </w:r>
    </w:p>
    <w:p w14:paraId="016FEC12" w14:textId="77777777" w:rsidR="009A22F4" w:rsidRPr="00720389" w:rsidRDefault="009A22F4" w:rsidP="0094663E">
      <w:pPr>
        <w:rPr>
          <w:rFonts w:ascii="Arial" w:eastAsiaTheme="minorHAnsi" w:hAnsi="Arial" w:cs="Arial"/>
        </w:rPr>
      </w:pPr>
    </w:p>
    <w:p w14:paraId="7D9C1705" w14:textId="2A45257A" w:rsidR="00461052" w:rsidRPr="00461052" w:rsidRDefault="00461052" w:rsidP="00461052">
      <w:pPr>
        <w:rPr>
          <w:rFonts w:ascii="Arial" w:eastAsiaTheme="minorHAnsi" w:hAnsi="Arial" w:cs="Arial"/>
        </w:rPr>
      </w:pPr>
      <w:r w:rsidRPr="00461052">
        <w:rPr>
          <w:rFonts w:ascii="Arial" w:eastAsiaTheme="minorHAnsi" w:hAnsi="Arial" w:cs="Arial"/>
        </w:rPr>
        <w:t xml:space="preserve">The major tax form the trucking industry uses on a monthly or quarterly basis is a Business </w:t>
      </w:r>
      <w:r w:rsidR="00AA560C">
        <w:rPr>
          <w:rFonts w:ascii="Arial" w:eastAsiaTheme="minorHAnsi" w:hAnsi="Arial" w:cs="Arial"/>
        </w:rPr>
        <w:t>A</w:t>
      </w:r>
      <w:r w:rsidRPr="00461052">
        <w:rPr>
          <w:rFonts w:ascii="Arial" w:eastAsiaTheme="minorHAnsi" w:hAnsi="Arial" w:cs="Arial"/>
        </w:rPr>
        <w:t xml:space="preserve">ctivity Statement (BAS). </w:t>
      </w:r>
    </w:p>
    <w:p w14:paraId="682C2941" w14:textId="77777777" w:rsidR="00461052" w:rsidRPr="00461052" w:rsidRDefault="00461052" w:rsidP="00461052">
      <w:pPr>
        <w:rPr>
          <w:rFonts w:ascii="Arial" w:eastAsiaTheme="minorHAnsi" w:hAnsi="Arial" w:cs="Arial"/>
        </w:rPr>
      </w:pPr>
    </w:p>
    <w:p w14:paraId="013787FF" w14:textId="7B6F970E" w:rsidR="00461052" w:rsidRPr="00461052" w:rsidRDefault="00461052" w:rsidP="00461052">
      <w:pPr>
        <w:rPr>
          <w:rFonts w:ascii="Arial" w:eastAsiaTheme="minorHAnsi" w:hAnsi="Arial" w:cs="Arial"/>
        </w:rPr>
      </w:pPr>
      <w:r w:rsidRPr="00461052">
        <w:rPr>
          <w:rFonts w:ascii="Arial" w:eastAsiaTheme="minorHAnsi" w:hAnsi="Arial" w:cs="Arial"/>
        </w:rPr>
        <w:t>The ATA recently a survey</w:t>
      </w:r>
      <w:r>
        <w:rPr>
          <w:rFonts w:ascii="Arial" w:eastAsiaTheme="minorHAnsi" w:hAnsi="Arial" w:cs="Arial"/>
        </w:rPr>
        <w:t>ed</w:t>
      </w:r>
      <w:r w:rsidRPr="00461052">
        <w:rPr>
          <w:rFonts w:ascii="Arial" w:eastAsiaTheme="minorHAnsi" w:hAnsi="Arial" w:cs="Arial"/>
        </w:rPr>
        <w:t xml:space="preserve"> operators about the administration of fuel tax credits, including the complexity of the BAS. </w:t>
      </w:r>
    </w:p>
    <w:p w14:paraId="4A68EBE5" w14:textId="77777777" w:rsidR="00461052" w:rsidRPr="00461052" w:rsidRDefault="00461052" w:rsidP="00461052">
      <w:pPr>
        <w:rPr>
          <w:rFonts w:ascii="Arial" w:eastAsiaTheme="minorHAnsi" w:hAnsi="Arial" w:cs="Arial"/>
        </w:rPr>
      </w:pPr>
    </w:p>
    <w:p w14:paraId="4914B6D9" w14:textId="736C2A78" w:rsidR="00461052" w:rsidRDefault="00461052" w:rsidP="0094663E">
      <w:pPr>
        <w:rPr>
          <w:rFonts w:ascii="Arial" w:eastAsiaTheme="minorHAnsi" w:hAnsi="Arial" w:cs="Arial"/>
        </w:rPr>
      </w:pPr>
      <w:r w:rsidRPr="00461052">
        <w:rPr>
          <w:rFonts w:ascii="Arial" w:eastAsiaTheme="minorHAnsi" w:hAnsi="Arial" w:cs="Arial"/>
        </w:rPr>
        <w:t>The survey results indicated that o</w:t>
      </w:r>
      <w:r>
        <w:rPr>
          <w:rFonts w:ascii="Arial" w:eastAsiaTheme="minorHAnsi" w:hAnsi="Arial" w:cs="Arial"/>
        </w:rPr>
        <w:t xml:space="preserve">perators were generally happy with </w:t>
      </w:r>
      <w:r w:rsidRPr="00461052">
        <w:rPr>
          <w:rFonts w:ascii="Arial" w:eastAsiaTheme="minorHAnsi" w:hAnsi="Arial" w:cs="Arial"/>
        </w:rPr>
        <w:t>the</w:t>
      </w:r>
      <w:r>
        <w:rPr>
          <w:rFonts w:ascii="Arial" w:eastAsiaTheme="minorHAnsi" w:hAnsi="Arial" w:cs="Arial"/>
        </w:rPr>
        <w:t xml:space="preserve"> administration of the</w:t>
      </w:r>
      <w:r w:rsidRPr="00461052">
        <w:rPr>
          <w:rFonts w:ascii="Arial" w:eastAsiaTheme="minorHAnsi" w:hAnsi="Arial" w:cs="Arial"/>
        </w:rPr>
        <w:t xml:space="preserve"> fuel tax credit system administration and found that the BAS was not complex to complete. </w:t>
      </w:r>
    </w:p>
    <w:p w14:paraId="3AB76DD7" w14:textId="77777777" w:rsidR="00461052" w:rsidRDefault="00461052" w:rsidP="0094663E">
      <w:pPr>
        <w:rPr>
          <w:rFonts w:ascii="Arial" w:eastAsiaTheme="minorHAnsi" w:hAnsi="Arial" w:cs="Arial"/>
        </w:rPr>
      </w:pPr>
    </w:p>
    <w:p w14:paraId="492008F2" w14:textId="173CF8F9" w:rsidR="00BF7EA1" w:rsidRDefault="008F709E" w:rsidP="0094663E">
      <w:pPr>
        <w:rPr>
          <w:rFonts w:ascii="Arial" w:eastAsiaTheme="minorHAnsi" w:hAnsi="Arial" w:cs="Arial"/>
        </w:rPr>
      </w:pPr>
      <w:r w:rsidRPr="00720389">
        <w:rPr>
          <w:rFonts w:ascii="Arial" w:eastAsiaTheme="minorHAnsi" w:hAnsi="Arial" w:cs="Arial"/>
        </w:rPr>
        <w:t>In addition to</w:t>
      </w:r>
      <w:r w:rsidR="00AA560C">
        <w:rPr>
          <w:rFonts w:ascii="Arial" w:eastAsiaTheme="minorHAnsi" w:hAnsi="Arial" w:cs="Arial"/>
        </w:rPr>
        <w:t xml:space="preserve"> the</w:t>
      </w:r>
      <w:r w:rsidRPr="00720389">
        <w:rPr>
          <w:rFonts w:ascii="Arial" w:eastAsiaTheme="minorHAnsi" w:hAnsi="Arial" w:cs="Arial"/>
        </w:rPr>
        <w:t xml:space="preserve"> tax compliance</w:t>
      </w:r>
      <w:r w:rsidR="00AA560C">
        <w:rPr>
          <w:rFonts w:ascii="Arial" w:eastAsiaTheme="minorHAnsi" w:hAnsi="Arial" w:cs="Arial"/>
        </w:rPr>
        <w:t xml:space="preserve"> issues</w:t>
      </w:r>
      <w:r w:rsidRPr="00720389">
        <w:rPr>
          <w:rFonts w:ascii="Arial" w:eastAsiaTheme="minorHAnsi" w:hAnsi="Arial" w:cs="Arial"/>
        </w:rPr>
        <w:t xml:space="preserve"> faced by the industry</w:t>
      </w:r>
      <w:r w:rsidR="00AA560C">
        <w:rPr>
          <w:rFonts w:ascii="Arial" w:eastAsiaTheme="minorHAnsi" w:hAnsi="Arial" w:cs="Arial"/>
        </w:rPr>
        <w:t xml:space="preserve"> however</w:t>
      </w:r>
      <w:r w:rsidRPr="00720389">
        <w:rPr>
          <w:rFonts w:ascii="Arial" w:eastAsiaTheme="minorHAnsi" w:hAnsi="Arial" w:cs="Arial"/>
        </w:rPr>
        <w:t>, there is significant regulat</w:t>
      </w:r>
      <w:r w:rsidR="00AA560C">
        <w:rPr>
          <w:rFonts w:ascii="Arial" w:eastAsiaTheme="minorHAnsi" w:hAnsi="Arial" w:cs="Arial"/>
        </w:rPr>
        <w:t>ory compliance burden from other areas including laws, WH</w:t>
      </w:r>
      <w:r w:rsidR="00AC4EA7">
        <w:rPr>
          <w:rFonts w:ascii="Arial" w:eastAsiaTheme="minorHAnsi" w:hAnsi="Arial" w:cs="Arial"/>
        </w:rPr>
        <w:t>&amp;</w:t>
      </w:r>
      <w:r w:rsidR="00AA560C">
        <w:rPr>
          <w:rFonts w:ascii="Arial" w:eastAsiaTheme="minorHAnsi" w:hAnsi="Arial" w:cs="Arial"/>
        </w:rPr>
        <w:t xml:space="preserve">S, chain of responsibility and maintenance requirements. </w:t>
      </w:r>
      <w:r w:rsidRPr="00720389">
        <w:rPr>
          <w:rFonts w:ascii="Arial" w:eastAsiaTheme="minorHAnsi" w:hAnsi="Arial" w:cs="Arial"/>
        </w:rPr>
        <w:t xml:space="preserve">The general compliance burden faced by the trucking industry is substantial and this should be taken into account when looking at the effect changes in tax arrangements will have. </w:t>
      </w:r>
    </w:p>
    <w:p w14:paraId="52EB0C5C" w14:textId="77777777" w:rsidR="00461052" w:rsidRDefault="00461052" w:rsidP="0094663E">
      <w:pPr>
        <w:rPr>
          <w:rFonts w:ascii="Arial" w:eastAsiaTheme="minorHAnsi" w:hAnsi="Arial" w:cs="Arial"/>
        </w:rPr>
      </w:pPr>
    </w:p>
    <w:p w14:paraId="6EB9EE4A" w14:textId="77777777" w:rsidR="00A063C2" w:rsidRPr="00720389" w:rsidRDefault="00A063C2" w:rsidP="0094663E">
      <w:pPr>
        <w:rPr>
          <w:rFonts w:ascii="Arial" w:eastAsiaTheme="minorHAnsi" w:hAnsi="Arial" w:cs="Arial"/>
        </w:rPr>
      </w:pPr>
    </w:p>
    <w:p w14:paraId="67ECB07C" w14:textId="7E3B6ADF" w:rsidR="00A17D1A" w:rsidRPr="00720389" w:rsidRDefault="00A17D1A" w:rsidP="00A17D1A">
      <w:pPr>
        <w:pStyle w:val="Heading1"/>
        <w:rPr>
          <w:szCs w:val="22"/>
        </w:rPr>
      </w:pPr>
      <w:bookmarkStart w:id="5" w:name="_Toc420922099"/>
      <w:r w:rsidRPr="00720389">
        <w:rPr>
          <w:szCs w:val="22"/>
        </w:rPr>
        <w:t>Small business tax reform</w:t>
      </w:r>
      <w:bookmarkEnd w:id="5"/>
    </w:p>
    <w:p w14:paraId="741221D6" w14:textId="77777777" w:rsidR="005B4BBD" w:rsidRPr="00720389" w:rsidRDefault="005B4BBD" w:rsidP="009D5312">
      <w:pPr>
        <w:rPr>
          <w:rFonts w:ascii="Arial" w:eastAsiaTheme="minorHAnsi" w:hAnsi="Arial" w:cs="Arial"/>
        </w:rPr>
      </w:pPr>
    </w:p>
    <w:p w14:paraId="3372CF5B" w14:textId="4C0BA9FA" w:rsidR="008F709E" w:rsidRPr="009D5312" w:rsidRDefault="005B4BBD" w:rsidP="009D5312">
      <w:pPr>
        <w:pStyle w:val="Heading2"/>
        <w:spacing w:before="0"/>
        <w:rPr>
          <w:rFonts w:ascii="Arial" w:hAnsi="Arial" w:cs="Arial"/>
          <w:color w:val="002060"/>
          <w:sz w:val="22"/>
          <w:szCs w:val="22"/>
        </w:rPr>
      </w:pPr>
      <w:bookmarkStart w:id="6" w:name="_Toc420922100"/>
      <w:r w:rsidRPr="009D5312">
        <w:rPr>
          <w:rFonts w:ascii="Arial" w:hAnsi="Arial" w:cs="Arial"/>
          <w:color w:val="002060"/>
          <w:sz w:val="22"/>
          <w:szCs w:val="22"/>
        </w:rPr>
        <w:t>5</w:t>
      </w:r>
      <w:r w:rsidR="00A17D1A" w:rsidRPr="009D5312">
        <w:rPr>
          <w:rFonts w:ascii="Arial" w:hAnsi="Arial" w:cs="Arial"/>
          <w:color w:val="002060"/>
          <w:sz w:val="22"/>
          <w:szCs w:val="22"/>
        </w:rPr>
        <w:t xml:space="preserve">.1 </w:t>
      </w:r>
      <w:r w:rsidR="008F709E" w:rsidRPr="009D5312">
        <w:rPr>
          <w:rFonts w:ascii="Arial" w:hAnsi="Arial" w:cs="Arial"/>
          <w:color w:val="002060"/>
          <w:sz w:val="22"/>
          <w:szCs w:val="22"/>
        </w:rPr>
        <w:t xml:space="preserve">Capital gains tax </w:t>
      </w:r>
      <w:r w:rsidR="00A17D1A" w:rsidRPr="009D5312">
        <w:rPr>
          <w:rFonts w:ascii="Arial" w:hAnsi="Arial" w:cs="Arial"/>
          <w:color w:val="002060"/>
          <w:sz w:val="22"/>
          <w:szCs w:val="22"/>
        </w:rPr>
        <w:t>exemption for family transfers</w:t>
      </w:r>
      <w:bookmarkEnd w:id="6"/>
      <w:r w:rsidR="00A17D1A" w:rsidRPr="009D5312">
        <w:rPr>
          <w:rFonts w:ascii="Arial" w:hAnsi="Arial" w:cs="Arial"/>
          <w:color w:val="002060"/>
          <w:sz w:val="22"/>
          <w:szCs w:val="22"/>
        </w:rPr>
        <w:t xml:space="preserve"> </w:t>
      </w:r>
    </w:p>
    <w:p w14:paraId="43CA0318" w14:textId="77777777" w:rsidR="008F709E" w:rsidRPr="00720389" w:rsidRDefault="008F709E" w:rsidP="008F709E">
      <w:pPr>
        <w:rPr>
          <w:rFonts w:ascii="Arial" w:eastAsiaTheme="minorHAnsi" w:hAnsi="Arial" w:cs="Arial"/>
        </w:rPr>
      </w:pPr>
    </w:p>
    <w:p w14:paraId="6BA6D8B1" w14:textId="2361DAA1" w:rsidR="006D783D" w:rsidRPr="006975D4" w:rsidRDefault="00A17D1A" w:rsidP="006D783D">
      <w:pPr>
        <w:autoSpaceDE w:val="0"/>
        <w:autoSpaceDN w:val="0"/>
        <w:adjustRightInd w:val="0"/>
        <w:rPr>
          <w:rFonts w:ascii="Arial" w:eastAsiaTheme="minorHAnsi" w:hAnsi="Arial" w:cs="Arial"/>
        </w:rPr>
      </w:pPr>
      <w:r w:rsidRPr="006975D4">
        <w:rPr>
          <w:rFonts w:ascii="Arial" w:eastAsiaTheme="minorHAnsi" w:hAnsi="Arial" w:cs="Arial"/>
        </w:rPr>
        <w:t xml:space="preserve">As many trucking businesses are owned and run by families a natural progression for the business is for it be managed by the offspring </w:t>
      </w:r>
      <w:r w:rsidR="00AA560C" w:rsidRPr="006975D4">
        <w:rPr>
          <w:rFonts w:ascii="Arial" w:eastAsiaTheme="minorHAnsi" w:hAnsi="Arial" w:cs="Arial"/>
        </w:rPr>
        <w:t>of the owner</w:t>
      </w:r>
      <w:r w:rsidR="006D783D" w:rsidRPr="006975D4">
        <w:rPr>
          <w:rFonts w:ascii="Arial" w:eastAsiaTheme="minorHAnsi" w:hAnsi="Arial" w:cs="Arial"/>
        </w:rPr>
        <w:t>. Some estimates state that family businesses account for 70 per cent of all Australian businesses.</w:t>
      </w:r>
      <w:r w:rsidR="006D783D" w:rsidRPr="006975D4">
        <w:rPr>
          <w:rFonts w:ascii="Arial" w:eastAsiaTheme="minorHAnsi" w:hAnsi="Arial" w:cs="Arial"/>
          <w:vertAlign w:val="superscript"/>
        </w:rPr>
        <w:footnoteReference w:id="4"/>
      </w:r>
      <w:r w:rsidR="006D783D" w:rsidRPr="006975D4">
        <w:rPr>
          <w:rFonts w:ascii="Arial" w:eastAsiaTheme="minorHAnsi" w:hAnsi="Arial" w:cs="Arial"/>
        </w:rPr>
        <w:t xml:space="preserve"> However, there are difficulties in transferring businesses to family members.  </w:t>
      </w:r>
    </w:p>
    <w:p w14:paraId="4CA65042" w14:textId="77777777" w:rsidR="006D783D" w:rsidRPr="006975D4" w:rsidRDefault="006D783D" w:rsidP="006D783D">
      <w:pPr>
        <w:autoSpaceDE w:val="0"/>
        <w:autoSpaceDN w:val="0"/>
        <w:adjustRightInd w:val="0"/>
        <w:rPr>
          <w:rFonts w:ascii="Arial" w:eastAsiaTheme="minorHAnsi" w:hAnsi="Arial" w:cs="Arial"/>
        </w:rPr>
      </w:pPr>
    </w:p>
    <w:p w14:paraId="0416801F" w14:textId="7C0D267B" w:rsidR="006D783D" w:rsidRPr="006975D4" w:rsidRDefault="00E91474" w:rsidP="006D783D">
      <w:pPr>
        <w:autoSpaceDE w:val="0"/>
        <w:autoSpaceDN w:val="0"/>
        <w:adjustRightInd w:val="0"/>
        <w:rPr>
          <w:rFonts w:ascii="Arial" w:eastAsiaTheme="minorHAnsi" w:hAnsi="Arial" w:cs="Arial"/>
        </w:rPr>
      </w:pPr>
      <w:r w:rsidRPr="006975D4">
        <w:rPr>
          <w:rFonts w:ascii="Arial" w:eastAsiaTheme="minorHAnsi" w:hAnsi="Arial" w:cs="Arial"/>
        </w:rPr>
        <w:t>The KPMG Family Business Australia 2013 Family Business Survey found that the majority of family businesses are considering more than one exit option with the most likely option (over 65 per cent) being passing management and ownership of the business to the next generation.</w:t>
      </w:r>
      <w:r w:rsidRPr="006975D4">
        <w:rPr>
          <w:rFonts w:ascii="Arial" w:eastAsiaTheme="minorHAnsi" w:hAnsi="Arial" w:cs="Arial"/>
          <w:vertAlign w:val="superscript"/>
        </w:rPr>
        <w:footnoteReference w:id="5"/>
      </w:r>
      <w:r w:rsidRPr="006975D4">
        <w:rPr>
          <w:rFonts w:ascii="Arial" w:eastAsiaTheme="minorHAnsi" w:hAnsi="Arial" w:cs="Arial"/>
        </w:rPr>
        <w:t xml:space="preserve"> </w:t>
      </w:r>
      <w:r w:rsidR="006D783D" w:rsidRPr="006975D4">
        <w:rPr>
          <w:rFonts w:ascii="Arial" w:eastAsiaTheme="minorHAnsi" w:hAnsi="Arial" w:cs="Arial"/>
        </w:rPr>
        <w:t>The survey also found that two thirds of family businesses intended to keep the business in family hands by passing management and ownership onto the next generation in the next five plus years.</w:t>
      </w:r>
      <w:r w:rsidR="006D783D" w:rsidRPr="006975D4">
        <w:rPr>
          <w:rFonts w:ascii="Arial" w:eastAsiaTheme="minorHAnsi" w:hAnsi="Arial" w:cs="Arial"/>
          <w:vertAlign w:val="superscript"/>
        </w:rPr>
        <w:footnoteReference w:id="6"/>
      </w:r>
    </w:p>
    <w:p w14:paraId="5061011F" w14:textId="77777777" w:rsidR="006D783D" w:rsidRPr="006975D4" w:rsidRDefault="006D783D" w:rsidP="00A17D1A">
      <w:pPr>
        <w:autoSpaceDE w:val="0"/>
        <w:autoSpaceDN w:val="0"/>
        <w:adjustRightInd w:val="0"/>
        <w:rPr>
          <w:rFonts w:ascii="Arial" w:eastAsiaTheme="minorHAnsi" w:hAnsi="Arial" w:cs="Arial"/>
        </w:rPr>
      </w:pPr>
    </w:p>
    <w:p w14:paraId="32ADFB00" w14:textId="21C3DC6D" w:rsidR="00ED23E1" w:rsidRDefault="00A17D1A" w:rsidP="008F709E">
      <w:pPr>
        <w:autoSpaceDE w:val="0"/>
        <w:autoSpaceDN w:val="0"/>
        <w:adjustRightInd w:val="0"/>
        <w:rPr>
          <w:rFonts w:ascii="Arial" w:eastAsiaTheme="minorHAnsi" w:hAnsi="Arial" w:cs="Arial"/>
        </w:rPr>
      </w:pPr>
      <w:r w:rsidRPr="006975D4">
        <w:rPr>
          <w:rFonts w:ascii="Arial" w:eastAsiaTheme="minorHAnsi" w:hAnsi="Arial" w:cs="Arial"/>
        </w:rPr>
        <w:t xml:space="preserve">Family arrangements such as succession planning have become essential given </w:t>
      </w:r>
      <w:r w:rsidR="00AC4EA7" w:rsidRPr="006975D4">
        <w:rPr>
          <w:rFonts w:ascii="Arial" w:eastAsiaTheme="minorHAnsi" w:hAnsi="Arial" w:cs="Arial"/>
        </w:rPr>
        <w:t xml:space="preserve">that </w:t>
      </w:r>
      <w:r w:rsidRPr="006975D4">
        <w:rPr>
          <w:rFonts w:ascii="Arial" w:eastAsiaTheme="minorHAnsi" w:hAnsi="Arial" w:cs="Arial"/>
        </w:rPr>
        <w:t xml:space="preserve">many operators are reaching retirement age. However, tax arrangements limit the viability of transferring businesses. </w:t>
      </w:r>
      <w:r w:rsidR="006D2BCA" w:rsidRPr="006D2BCA">
        <w:rPr>
          <w:rFonts w:ascii="Arial" w:eastAsiaTheme="minorHAnsi" w:hAnsi="Arial" w:cs="Arial"/>
        </w:rPr>
        <w:t xml:space="preserve">The Productivity Commission draft report on Business Set-Up, Transfer and Closure </w:t>
      </w:r>
      <w:r w:rsidR="006D2BCA" w:rsidRPr="006D2BCA">
        <w:rPr>
          <w:rFonts w:ascii="Arial" w:eastAsiaTheme="minorHAnsi" w:hAnsi="Arial" w:cs="Arial"/>
        </w:rPr>
        <w:lastRenderedPageBreak/>
        <w:t>highlighted concerns raised stakeholders with the burden of capital gains tax (CGT) and the complexity of small business CGT concessions and that it may influence voluntary exit.</w:t>
      </w:r>
      <w:r w:rsidR="006D2BCA" w:rsidRPr="006D2BCA">
        <w:rPr>
          <w:rFonts w:ascii="Arial" w:eastAsiaTheme="minorHAnsi" w:hAnsi="Arial" w:cs="Arial"/>
          <w:vertAlign w:val="superscript"/>
        </w:rPr>
        <w:footnoteReference w:id="7"/>
      </w:r>
    </w:p>
    <w:p w14:paraId="7951D309" w14:textId="1D62FCEB" w:rsidR="008F709E" w:rsidRPr="006975D4" w:rsidRDefault="00B569E0" w:rsidP="008F709E">
      <w:pPr>
        <w:autoSpaceDE w:val="0"/>
        <w:autoSpaceDN w:val="0"/>
        <w:adjustRightInd w:val="0"/>
        <w:rPr>
          <w:rFonts w:ascii="Arial" w:hAnsi="Arial" w:cs="Arial"/>
          <w:color w:val="000000"/>
        </w:rPr>
      </w:pPr>
      <w:r w:rsidRPr="006975D4">
        <w:rPr>
          <w:rFonts w:ascii="Arial" w:eastAsiaTheme="minorHAnsi" w:hAnsi="Arial" w:cs="Arial"/>
        </w:rPr>
        <w:t xml:space="preserve">The </w:t>
      </w:r>
      <w:r w:rsidR="00AA560C" w:rsidRPr="006975D4">
        <w:rPr>
          <w:rFonts w:ascii="Arial" w:eastAsiaTheme="minorHAnsi" w:hAnsi="Arial" w:cs="Arial"/>
        </w:rPr>
        <w:t>t</w:t>
      </w:r>
      <w:r w:rsidRPr="006975D4">
        <w:rPr>
          <w:rFonts w:ascii="Arial" w:eastAsiaTheme="minorHAnsi" w:hAnsi="Arial" w:cs="Arial"/>
        </w:rPr>
        <w:t xml:space="preserve">ax paper asks: </w:t>
      </w:r>
    </w:p>
    <w:p w14:paraId="2E734CC1" w14:textId="77777777" w:rsidR="00B569E0" w:rsidRPr="006975D4" w:rsidRDefault="00B569E0" w:rsidP="008F709E">
      <w:pPr>
        <w:autoSpaceDE w:val="0"/>
        <w:autoSpaceDN w:val="0"/>
        <w:adjustRightInd w:val="0"/>
        <w:rPr>
          <w:rFonts w:ascii="Arial" w:hAnsi="Arial" w:cs="Arial"/>
          <w:color w:val="000000"/>
        </w:rPr>
      </w:pPr>
    </w:p>
    <w:p w14:paraId="59010C00" w14:textId="798D7DBD" w:rsidR="00B569E0" w:rsidRPr="006975D4" w:rsidRDefault="00B569E0" w:rsidP="00AA560C">
      <w:pPr>
        <w:autoSpaceDE w:val="0"/>
        <w:autoSpaceDN w:val="0"/>
        <w:adjustRightInd w:val="0"/>
        <w:ind w:left="720"/>
        <w:rPr>
          <w:rFonts w:ascii="Arial" w:hAnsi="Arial" w:cs="Arial"/>
          <w:color w:val="000000"/>
        </w:rPr>
      </w:pPr>
      <w:r w:rsidRPr="006975D4">
        <w:rPr>
          <w:rFonts w:ascii="Arial" w:hAnsi="Arial" w:cs="Arial"/>
          <w:color w:val="000000"/>
        </w:rPr>
        <w:t xml:space="preserve">45. How effective is the current range of tax concessions (such as CGT and industry </w:t>
      </w:r>
      <w:r w:rsidR="00AA560C" w:rsidRPr="006975D4">
        <w:rPr>
          <w:rFonts w:ascii="Arial" w:hAnsi="Arial" w:cs="Arial"/>
          <w:color w:val="000000"/>
        </w:rPr>
        <w:t xml:space="preserve">    </w:t>
      </w:r>
      <w:r w:rsidRPr="006975D4">
        <w:rPr>
          <w:rFonts w:ascii="Arial" w:hAnsi="Arial" w:cs="Arial"/>
          <w:color w:val="000000"/>
        </w:rPr>
        <w:t>specific concessions) at supporting small business engagement with the tax system? To what extent do the benefits they provide outweigh the compliance, complexity and revenue costs they introduce?</w:t>
      </w:r>
    </w:p>
    <w:p w14:paraId="18544389" w14:textId="77777777" w:rsidR="00B569E0" w:rsidRPr="006975D4" w:rsidRDefault="00B569E0" w:rsidP="008F709E">
      <w:pPr>
        <w:autoSpaceDE w:val="0"/>
        <w:autoSpaceDN w:val="0"/>
        <w:adjustRightInd w:val="0"/>
        <w:rPr>
          <w:rFonts w:ascii="Arial" w:hAnsi="Arial" w:cs="Arial"/>
          <w:color w:val="000000"/>
        </w:rPr>
      </w:pPr>
    </w:p>
    <w:p w14:paraId="39BB8479" w14:textId="7955D65B" w:rsidR="00AA560C" w:rsidRPr="006975D4" w:rsidRDefault="00B569E0" w:rsidP="00903DA9">
      <w:pPr>
        <w:autoSpaceDE w:val="0"/>
        <w:autoSpaceDN w:val="0"/>
        <w:adjustRightInd w:val="0"/>
        <w:rPr>
          <w:rFonts w:ascii="Arial" w:eastAsiaTheme="minorHAnsi" w:hAnsi="Arial" w:cs="Arial"/>
        </w:rPr>
      </w:pPr>
      <w:r w:rsidRPr="006975D4">
        <w:rPr>
          <w:rFonts w:ascii="Arial" w:hAnsi="Arial" w:cs="Arial"/>
          <w:color w:val="000000"/>
        </w:rPr>
        <w:t>While the paper address CGT concessions in regards to small business</w:t>
      </w:r>
      <w:r w:rsidR="00AA560C" w:rsidRPr="006975D4">
        <w:rPr>
          <w:rFonts w:ascii="Arial" w:hAnsi="Arial" w:cs="Arial"/>
          <w:color w:val="000000"/>
        </w:rPr>
        <w:t>,</w:t>
      </w:r>
      <w:r w:rsidRPr="006975D4">
        <w:rPr>
          <w:rFonts w:ascii="Arial" w:hAnsi="Arial" w:cs="Arial"/>
          <w:color w:val="000000"/>
        </w:rPr>
        <w:t xml:space="preserve"> there should be another consideration which has been highlighted in past tax paper</w:t>
      </w:r>
      <w:r w:rsidR="00461052" w:rsidRPr="006975D4">
        <w:rPr>
          <w:rFonts w:ascii="Arial" w:hAnsi="Arial" w:cs="Arial"/>
          <w:color w:val="000000"/>
        </w:rPr>
        <w:t>s</w:t>
      </w:r>
      <w:r w:rsidRPr="006975D4">
        <w:rPr>
          <w:rFonts w:ascii="Arial" w:hAnsi="Arial" w:cs="Arial"/>
          <w:color w:val="000000"/>
        </w:rPr>
        <w:t xml:space="preserve"> and inquiries. Business transfers between family members are negatively </w:t>
      </w:r>
      <w:r w:rsidR="00461052" w:rsidRPr="006975D4">
        <w:rPr>
          <w:rFonts w:ascii="Arial" w:hAnsi="Arial" w:cs="Arial"/>
          <w:color w:val="000000"/>
        </w:rPr>
        <w:t>affected</w:t>
      </w:r>
      <w:r w:rsidRPr="006975D4">
        <w:rPr>
          <w:rFonts w:ascii="Arial" w:hAnsi="Arial" w:cs="Arial"/>
          <w:color w:val="000000"/>
        </w:rPr>
        <w:t xml:space="preserve"> by CGT and there is evidence that it is preventing </w:t>
      </w:r>
      <w:r w:rsidR="008F709E" w:rsidRPr="006975D4">
        <w:rPr>
          <w:rFonts w:ascii="Arial" w:eastAsiaTheme="minorHAnsi" w:hAnsi="Arial" w:cs="Arial"/>
        </w:rPr>
        <w:t xml:space="preserve">the transfer of business ownership to the next generation. </w:t>
      </w:r>
    </w:p>
    <w:p w14:paraId="1B1F9921" w14:textId="77777777" w:rsidR="00AA560C" w:rsidRPr="006975D4" w:rsidRDefault="00AA560C" w:rsidP="008F709E">
      <w:pPr>
        <w:rPr>
          <w:rFonts w:ascii="Arial" w:eastAsiaTheme="minorHAnsi" w:hAnsi="Arial" w:cs="Arial"/>
        </w:rPr>
      </w:pPr>
    </w:p>
    <w:p w14:paraId="7C47B172" w14:textId="10947C63" w:rsidR="00B34B5D" w:rsidRPr="006975D4" w:rsidRDefault="00B34B5D" w:rsidP="00B34B5D">
      <w:pPr>
        <w:rPr>
          <w:rFonts w:ascii="Arial" w:eastAsiaTheme="minorHAnsi" w:hAnsi="Arial" w:cs="Arial"/>
        </w:rPr>
      </w:pPr>
      <w:r w:rsidRPr="006975D4">
        <w:rPr>
          <w:rFonts w:ascii="Arial" w:eastAsiaTheme="minorHAnsi" w:hAnsi="Arial" w:cs="Arial"/>
        </w:rPr>
        <w:t xml:space="preserve">In the Parliamentary Joint Committee on Corporations and Financial Services, </w:t>
      </w:r>
      <w:r w:rsidR="008F709E" w:rsidRPr="006975D4">
        <w:rPr>
          <w:rFonts w:ascii="Arial" w:eastAsiaTheme="minorHAnsi" w:hAnsi="Arial" w:cs="Arial"/>
        </w:rPr>
        <w:t xml:space="preserve">Mr Peter Levi, Managing Director, Co-owner, Colorific Australia, argued that CGT limits succession options. Mr Levi advised that while it was possible to transfer the management of the business, CGT effectively prevented the transfer of business ownership: </w:t>
      </w:r>
    </w:p>
    <w:p w14:paraId="7E3B0CBA" w14:textId="77777777" w:rsidR="00B34B5D" w:rsidRPr="006975D4" w:rsidRDefault="00B34B5D" w:rsidP="00B569E0">
      <w:pPr>
        <w:ind w:left="720"/>
        <w:rPr>
          <w:rFonts w:ascii="Arial" w:eastAsiaTheme="minorHAnsi" w:hAnsi="Arial" w:cs="Arial"/>
        </w:rPr>
      </w:pPr>
    </w:p>
    <w:p w14:paraId="6CD50B03" w14:textId="338716C2" w:rsidR="008F709E" w:rsidRPr="009D5312" w:rsidRDefault="009D5312" w:rsidP="009D5312">
      <w:pPr>
        <w:ind w:left="720" w:right="720"/>
        <w:rPr>
          <w:rFonts w:ascii="Arial" w:eastAsiaTheme="minorHAnsi" w:hAnsi="Arial" w:cs="Arial"/>
          <w:sz w:val="18"/>
          <w:szCs w:val="18"/>
        </w:rPr>
      </w:pPr>
      <w:r>
        <w:rPr>
          <w:rFonts w:ascii="Arial" w:eastAsiaTheme="minorHAnsi" w:hAnsi="Arial" w:cs="Arial"/>
          <w:sz w:val="18"/>
          <w:szCs w:val="18"/>
        </w:rPr>
        <w:t>Certainly in our own business--</w:t>
      </w:r>
      <w:r w:rsidR="008F709E" w:rsidRPr="009D5312">
        <w:rPr>
          <w:rFonts w:ascii="Arial" w:eastAsiaTheme="minorHAnsi" w:hAnsi="Arial" w:cs="Arial"/>
          <w:sz w:val="18"/>
          <w:szCs w:val="18"/>
        </w:rPr>
        <w:t>we are a 22-year-old business employing around 35 people and I have both sons in the bu</w:t>
      </w:r>
      <w:r>
        <w:rPr>
          <w:rFonts w:ascii="Arial" w:eastAsiaTheme="minorHAnsi" w:hAnsi="Arial" w:cs="Arial"/>
          <w:sz w:val="18"/>
          <w:szCs w:val="18"/>
        </w:rPr>
        <w:t>siness--</w:t>
      </w:r>
      <w:r w:rsidR="008F709E" w:rsidRPr="009D5312">
        <w:rPr>
          <w:rFonts w:ascii="Arial" w:eastAsiaTheme="minorHAnsi" w:hAnsi="Arial" w:cs="Arial"/>
          <w:sz w:val="18"/>
          <w:szCs w:val="18"/>
        </w:rPr>
        <w:t>to transition control is one thing; to transition ownership is another thing altogether. Without going into details, we have a trust structure, but to transfer part of the business we are subject to CGT issues. We want to retain control of the business, obviously, and ownership within the family. Our two boys are coming up and are effectively managing the business now. One is my second-i</w:t>
      </w:r>
      <w:r>
        <w:rPr>
          <w:rFonts w:ascii="Arial" w:eastAsiaTheme="minorHAnsi" w:hAnsi="Arial" w:cs="Arial"/>
          <w:sz w:val="18"/>
          <w:szCs w:val="18"/>
        </w:rPr>
        <w:t>n-charge--doing a fantastic job--</w:t>
      </w:r>
      <w:r w:rsidR="008F709E" w:rsidRPr="009D5312">
        <w:rPr>
          <w:rFonts w:ascii="Arial" w:eastAsiaTheme="minorHAnsi" w:hAnsi="Arial" w:cs="Arial"/>
          <w:sz w:val="18"/>
          <w:szCs w:val="18"/>
        </w:rPr>
        <w:t>and they really deserve to have ownership, but we cannot afford to be in a CGT situation.</w:t>
      </w:r>
      <w:r w:rsidR="008F709E" w:rsidRPr="009D5312">
        <w:rPr>
          <w:rFonts w:ascii="Arial" w:eastAsiaTheme="minorHAnsi" w:hAnsi="Arial" w:cs="Arial"/>
          <w:sz w:val="18"/>
          <w:szCs w:val="18"/>
          <w:vertAlign w:val="superscript"/>
        </w:rPr>
        <w:footnoteReference w:id="8"/>
      </w:r>
    </w:p>
    <w:p w14:paraId="26BDC731" w14:textId="77777777" w:rsidR="00BF1683" w:rsidRPr="006975D4" w:rsidRDefault="00BF1683" w:rsidP="008F709E">
      <w:pPr>
        <w:rPr>
          <w:rFonts w:ascii="Arial" w:eastAsiaTheme="minorHAnsi" w:hAnsi="Arial" w:cs="Arial"/>
        </w:rPr>
      </w:pPr>
    </w:p>
    <w:p w14:paraId="5E2F877A" w14:textId="77777777" w:rsidR="008F709E" w:rsidRPr="006975D4" w:rsidRDefault="008F709E" w:rsidP="008F709E">
      <w:pPr>
        <w:rPr>
          <w:rFonts w:ascii="Arial" w:eastAsiaTheme="minorHAnsi" w:hAnsi="Arial" w:cs="Arial"/>
        </w:rPr>
      </w:pPr>
      <w:r w:rsidRPr="006975D4">
        <w:rPr>
          <w:rFonts w:ascii="Arial" w:eastAsiaTheme="minorHAnsi" w:hAnsi="Arial" w:cs="Arial"/>
        </w:rPr>
        <w:t>Previous arrangements for trusts included ‘trust cloning’ where family businesses used to be able to transfer business assets without triggering a capital gains liability, where a new trust would be created with the same beneficiaries and terms.</w:t>
      </w:r>
      <w:r w:rsidRPr="006975D4">
        <w:rPr>
          <w:rFonts w:ascii="Arial" w:eastAsiaTheme="minorHAnsi" w:hAnsi="Arial" w:cs="Arial"/>
          <w:vertAlign w:val="superscript"/>
        </w:rPr>
        <w:footnoteReference w:id="9"/>
      </w:r>
      <w:r w:rsidRPr="006975D4">
        <w:rPr>
          <w:rFonts w:ascii="Arial" w:eastAsiaTheme="minorHAnsi" w:hAnsi="Arial" w:cs="Arial"/>
        </w:rPr>
        <w:t xml:space="preserve"> Cloning was abolished in 2008 as it was seen as tax avoidance. However, its abolition has increased the presence of CGT and has increased the tax burden on families wishing to transfer ownership. </w:t>
      </w:r>
    </w:p>
    <w:p w14:paraId="606D34E0" w14:textId="77777777" w:rsidR="008F709E" w:rsidRPr="006975D4" w:rsidRDefault="008F709E" w:rsidP="008F709E">
      <w:pPr>
        <w:rPr>
          <w:rFonts w:ascii="Arial" w:eastAsiaTheme="minorHAnsi" w:hAnsi="Arial" w:cs="Arial"/>
        </w:rPr>
      </w:pPr>
    </w:p>
    <w:p w14:paraId="5892623F" w14:textId="3A370E2A" w:rsidR="008F709E" w:rsidRPr="006975D4" w:rsidRDefault="008F709E" w:rsidP="008F709E">
      <w:pPr>
        <w:rPr>
          <w:rFonts w:ascii="Arial" w:eastAsiaTheme="minorHAnsi" w:hAnsi="Arial" w:cs="Arial"/>
        </w:rPr>
      </w:pPr>
      <w:r w:rsidRPr="006975D4">
        <w:rPr>
          <w:rFonts w:ascii="Arial" w:eastAsiaTheme="minorHAnsi" w:hAnsi="Arial" w:cs="Arial"/>
        </w:rPr>
        <w:t xml:space="preserve">The </w:t>
      </w:r>
      <w:r w:rsidR="00AC4EA7" w:rsidRPr="006975D4">
        <w:rPr>
          <w:rFonts w:ascii="Arial" w:eastAsiaTheme="minorHAnsi" w:hAnsi="Arial" w:cs="Arial"/>
        </w:rPr>
        <w:t xml:space="preserve">Parliamentary Joint Committee on corporations and financial services </w:t>
      </w:r>
      <w:r w:rsidRPr="006975D4">
        <w:rPr>
          <w:rFonts w:ascii="Arial" w:eastAsiaTheme="minorHAnsi" w:hAnsi="Arial" w:cs="Arial"/>
        </w:rPr>
        <w:t>found that the reality of the high cost of transferring the business asset to their offspring and the cash flow effect of the large tax bill results in an easier solution simply transferring the business to a third party.</w:t>
      </w:r>
      <w:r w:rsidRPr="006975D4">
        <w:rPr>
          <w:rFonts w:ascii="Arial" w:eastAsiaTheme="minorHAnsi" w:hAnsi="Arial" w:cs="Arial"/>
          <w:vertAlign w:val="superscript"/>
        </w:rPr>
        <w:footnoteReference w:id="10"/>
      </w:r>
      <w:r w:rsidR="00A17D1A" w:rsidRPr="006975D4">
        <w:rPr>
          <w:rFonts w:ascii="Arial" w:eastAsiaTheme="minorHAnsi" w:hAnsi="Arial" w:cs="Arial"/>
        </w:rPr>
        <w:t xml:space="preserve"> In the trucking </w:t>
      </w:r>
      <w:r w:rsidR="00AA560C" w:rsidRPr="006975D4">
        <w:rPr>
          <w:rFonts w:ascii="Arial" w:eastAsiaTheme="minorHAnsi" w:hAnsi="Arial" w:cs="Arial"/>
        </w:rPr>
        <w:t>industry</w:t>
      </w:r>
      <w:r w:rsidR="00A17D1A" w:rsidRPr="006975D4">
        <w:rPr>
          <w:rFonts w:ascii="Arial" w:eastAsiaTheme="minorHAnsi" w:hAnsi="Arial" w:cs="Arial"/>
        </w:rPr>
        <w:t xml:space="preserve"> t</w:t>
      </w:r>
      <w:r w:rsidRPr="006975D4">
        <w:rPr>
          <w:rFonts w:ascii="Arial" w:eastAsiaTheme="minorHAnsi" w:hAnsi="Arial" w:cs="Arial"/>
        </w:rPr>
        <w:t>here is a concern that these outcomes will reduce competition in the industry. It should be noted that deceased estate tra</w:t>
      </w:r>
      <w:r w:rsidR="00AA560C" w:rsidRPr="006975D4">
        <w:rPr>
          <w:rFonts w:ascii="Arial" w:eastAsiaTheme="minorHAnsi" w:hAnsi="Arial" w:cs="Arial"/>
        </w:rPr>
        <w:t>nsfers are not liable for CGT. As a result, t</w:t>
      </w:r>
      <w:r w:rsidRPr="006975D4">
        <w:rPr>
          <w:rFonts w:ascii="Arial" w:eastAsiaTheme="minorHAnsi" w:hAnsi="Arial" w:cs="Arial"/>
        </w:rPr>
        <w:t>he application of CGT on family business transfers has increased family conflict and made succession planning much harder.</w:t>
      </w:r>
      <w:r w:rsidRPr="006975D4">
        <w:rPr>
          <w:rFonts w:ascii="Arial" w:eastAsiaTheme="minorHAnsi" w:hAnsi="Arial" w:cs="Arial"/>
          <w:vertAlign w:val="superscript"/>
        </w:rPr>
        <w:footnoteReference w:id="11"/>
      </w:r>
    </w:p>
    <w:p w14:paraId="02CFE1CF" w14:textId="77777777" w:rsidR="008F709E" w:rsidRPr="006975D4" w:rsidRDefault="008F709E" w:rsidP="008F709E">
      <w:pPr>
        <w:rPr>
          <w:rFonts w:ascii="Arial" w:eastAsiaTheme="minorHAnsi" w:hAnsi="Arial" w:cs="Arial"/>
        </w:rPr>
      </w:pPr>
    </w:p>
    <w:p w14:paraId="7C166A48" w14:textId="77777777" w:rsidR="008F709E" w:rsidRPr="006975D4" w:rsidRDefault="008F709E" w:rsidP="008F709E">
      <w:pPr>
        <w:rPr>
          <w:rFonts w:ascii="Arial" w:eastAsiaTheme="minorHAnsi" w:hAnsi="Arial" w:cs="Arial"/>
        </w:rPr>
      </w:pPr>
      <w:r w:rsidRPr="006975D4">
        <w:rPr>
          <w:rFonts w:ascii="Arial" w:eastAsiaTheme="minorHAnsi" w:hAnsi="Arial" w:cs="Arial"/>
        </w:rPr>
        <w:t>The Joint Committee stated that CGT implications may be impeding the innovation and planning of family businesses' succession arrangements and recommended the matter be considered in the next five years as more data becomes available.</w:t>
      </w:r>
      <w:r w:rsidRPr="006975D4">
        <w:rPr>
          <w:rFonts w:ascii="Arial" w:eastAsiaTheme="minorHAnsi" w:hAnsi="Arial" w:cs="Arial"/>
          <w:vertAlign w:val="superscript"/>
        </w:rPr>
        <w:footnoteReference w:id="12"/>
      </w:r>
    </w:p>
    <w:p w14:paraId="1702B56C" w14:textId="77777777" w:rsidR="00E91474" w:rsidRDefault="00E91474" w:rsidP="008F709E">
      <w:pPr>
        <w:rPr>
          <w:rFonts w:ascii="Arial" w:eastAsiaTheme="minorHAnsi" w:hAnsi="Arial" w:cs="Arial"/>
        </w:rPr>
      </w:pPr>
    </w:p>
    <w:p w14:paraId="5B447726" w14:textId="7FB768F1" w:rsidR="006D2BCA" w:rsidRPr="006D2BCA" w:rsidRDefault="006D2BCA" w:rsidP="006D2BCA">
      <w:pPr>
        <w:rPr>
          <w:rFonts w:ascii="Arial" w:eastAsiaTheme="minorHAnsi" w:hAnsi="Arial" w:cs="Arial"/>
        </w:rPr>
      </w:pPr>
      <w:r w:rsidRPr="006D2BCA">
        <w:rPr>
          <w:rFonts w:ascii="Arial" w:eastAsiaTheme="minorHAnsi" w:hAnsi="Arial" w:cs="Arial"/>
        </w:rPr>
        <w:t>The Productivity Commission draft report on Business Set-Up, Transfer and Closure highlighted concerns raised stakeholders with the burden of capital gains tax (CGT) and the complexity of small business CGT concessions and that it may influence voluntary exit.</w:t>
      </w:r>
      <w:r w:rsidRPr="006D2BCA">
        <w:rPr>
          <w:rFonts w:ascii="Arial" w:eastAsiaTheme="minorHAnsi" w:hAnsi="Arial" w:cs="Arial"/>
          <w:vertAlign w:val="superscript"/>
        </w:rPr>
        <w:footnoteReference w:id="13"/>
      </w:r>
    </w:p>
    <w:p w14:paraId="7BA3AE29" w14:textId="77777777" w:rsidR="006D2BCA" w:rsidRPr="006975D4" w:rsidRDefault="006D2BCA" w:rsidP="008F709E">
      <w:pPr>
        <w:rPr>
          <w:rFonts w:ascii="Arial" w:eastAsiaTheme="minorHAnsi" w:hAnsi="Arial" w:cs="Arial"/>
        </w:rPr>
      </w:pPr>
    </w:p>
    <w:p w14:paraId="4265BDA7" w14:textId="6600B505" w:rsidR="00E91474" w:rsidRPr="006975D4" w:rsidRDefault="00E91474" w:rsidP="00E91474">
      <w:pPr>
        <w:rPr>
          <w:rFonts w:ascii="Arial" w:eastAsiaTheme="minorHAnsi" w:hAnsi="Arial" w:cs="Arial"/>
        </w:rPr>
      </w:pPr>
      <w:r w:rsidRPr="006975D4">
        <w:rPr>
          <w:rFonts w:ascii="Arial" w:eastAsiaTheme="minorHAnsi" w:hAnsi="Arial" w:cs="Arial"/>
        </w:rPr>
        <w:t>The Henry review on Australia’s Future Tax System recommended rationalising and simplifying CGT by allowing taxpayers who sell a share in a company or an interest in a trust that is a small business entity to access the concessions using the turnover test. The Productivity Commission supports this recommendation as under the current arrangements concessions can only be accessed under the maximum net asset value test. Under the recommendation, owners of businesses who already access the other small business concessions will not need to determine eligibility under the maximum net asset value test, and instead rely on the same test used to access the other small business concessions.</w:t>
      </w:r>
      <w:r w:rsidRPr="006975D4">
        <w:rPr>
          <w:rFonts w:ascii="Arial" w:eastAsiaTheme="minorHAnsi" w:hAnsi="Arial" w:cs="Arial"/>
          <w:vertAlign w:val="superscript"/>
        </w:rPr>
        <w:footnoteReference w:id="14"/>
      </w:r>
    </w:p>
    <w:p w14:paraId="775991D2" w14:textId="77777777" w:rsidR="00C77778" w:rsidRPr="006975D4" w:rsidRDefault="00C77778" w:rsidP="00E91474">
      <w:pPr>
        <w:rPr>
          <w:rFonts w:ascii="Arial" w:eastAsiaTheme="minorHAnsi" w:hAnsi="Arial" w:cs="Arial"/>
        </w:rPr>
      </w:pPr>
    </w:p>
    <w:p w14:paraId="52A64637" w14:textId="07F432FA" w:rsidR="00C77778" w:rsidRPr="006975D4" w:rsidRDefault="00C77778" w:rsidP="00C77778">
      <w:pPr>
        <w:rPr>
          <w:rFonts w:ascii="Arial" w:eastAsiaTheme="minorHAnsi" w:hAnsi="Arial" w:cs="Arial"/>
        </w:rPr>
      </w:pPr>
      <w:r w:rsidRPr="006975D4">
        <w:rPr>
          <w:rFonts w:ascii="Arial" w:eastAsiaTheme="minorHAnsi" w:hAnsi="Arial" w:cs="Arial"/>
        </w:rPr>
        <w:t>We support the Productivity Commission draft recommendation 12.2:</w:t>
      </w:r>
    </w:p>
    <w:p w14:paraId="3E544DED" w14:textId="77777777" w:rsidR="00C77778" w:rsidRPr="006975D4" w:rsidRDefault="00C77778" w:rsidP="00C77778">
      <w:pPr>
        <w:rPr>
          <w:rFonts w:ascii="Arial" w:eastAsiaTheme="minorHAnsi" w:hAnsi="Arial" w:cs="Arial"/>
        </w:rPr>
      </w:pPr>
    </w:p>
    <w:p w14:paraId="03FD0A38" w14:textId="5FCB4F6E" w:rsidR="00C77778" w:rsidRPr="009D5312" w:rsidRDefault="00C77778" w:rsidP="009D5312">
      <w:pPr>
        <w:ind w:left="720" w:right="720"/>
        <w:rPr>
          <w:rFonts w:ascii="Arial" w:eastAsiaTheme="minorHAnsi" w:hAnsi="Arial" w:cs="Arial"/>
          <w:sz w:val="18"/>
          <w:szCs w:val="18"/>
        </w:rPr>
      </w:pPr>
      <w:r w:rsidRPr="009D5312">
        <w:rPr>
          <w:rFonts w:ascii="Arial" w:eastAsiaTheme="minorHAnsi" w:hAnsi="Arial" w:cs="Arial"/>
          <w:sz w:val="18"/>
          <w:szCs w:val="18"/>
        </w:rPr>
        <w:t>The current small business capital gains tax concessions should be rationalised. The</w:t>
      </w:r>
      <w:r w:rsidR="009D5312">
        <w:rPr>
          <w:rFonts w:ascii="Arial" w:eastAsiaTheme="minorHAnsi" w:hAnsi="Arial" w:cs="Arial"/>
          <w:sz w:val="18"/>
          <w:szCs w:val="18"/>
        </w:rPr>
        <w:t xml:space="preserve"> </w:t>
      </w:r>
      <w:r w:rsidRPr="009D5312">
        <w:rPr>
          <w:rFonts w:ascii="Arial" w:eastAsiaTheme="minorHAnsi" w:hAnsi="Arial" w:cs="Arial"/>
          <w:sz w:val="18"/>
          <w:szCs w:val="18"/>
        </w:rPr>
        <w:t>White Paper on the Reform of Australia’s Tax System should consider the</w:t>
      </w:r>
      <w:r w:rsidR="006D783D" w:rsidRPr="009D5312">
        <w:rPr>
          <w:rFonts w:ascii="Arial" w:eastAsiaTheme="minorHAnsi" w:hAnsi="Arial" w:cs="Arial"/>
          <w:sz w:val="18"/>
          <w:szCs w:val="18"/>
        </w:rPr>
        <w:t xml:space="preserve"> </w:t>
      </w:r>
      <w:r w:rsidRPr="009D5312">
        <w:rPr>
          <w:rFonts w:ascii="Arial" w:eastAsiaTheme="minorHAnsi" w:hAnsi="Arial" w:cs="Arial"/>
          <w:sz w:val="18"/>
          <w:szCs w:val="18"/>
        </w:rPr>
        <w:t>recommendations of the Henry Tax Review relating to small business capital gains tax</w:t>
      </w:r>
      <w:r w:rsidR="009D5312">
        <w:rPr>
          <w:rFonts w:ascii="Arial" w:eastAsiaTheme="minorHAnsi" w:hAnsi="Arial" w:cs="Arial"/>
          <w:sz w:val="18"/>
          <w:szCs w:val="18"/>
        </w:rPr>
        <w:t xml:space="preserve"> </w:t>
      </w:r>
      <w:r w:rsidRPr="009D5312">
        <w:rPr>
          <w:rFonts w:ascii="Arial" w:eastAsiaTheme="minorHAnsi" w:hAnsi="Arial" w:cs="Arial"/>
          <w:sz w:val="18"/>
          <w:szCs w:val="18"/>
        </w:rPr>
        <w:t>relief with a view to the effectiveness of implementation, avoidance of unintended</w:t>
      </w:r>
      <w:r w:rsidR="009D5312">
        <w:rPr>
          <w:rFonts w:ascii="Arial" w:eastAsiaTheme="minorHAnsi" w:hAnsi="Arial" w:cs="Arial"/>
          <w:sz w:val="18"/>
          <w:szCs w:val="18"/>
        </w:rPr>
        <w:t xml:space="preserve"> </w:t>
      </w:r>
      <w:r w:rsidRPr="009D5312">
        <w:rPr>
          <w:rFonts w:ascii="Arial" w:eastAsiaTheme="minorHAnsi" w:hAnsi="Arial" w:cs="Arial"/>
          <w:sz w:val="18"/>
          <w:szCs w:val="18"/>
        </w:rPr>
        <w:t>consequences and ensuring consistency with broader tax policy.</w:t>
      </w:r>
      <w:r w:rsidRPr="009D5312">
        <w:rPr>
          <w:rFonts w:ascii="Arial" w:eastAsiaTheme="minorHAnsi" w:hAnsi="Arial" w:cs="Arial"/>
          <w:sz w:val="18"/>
          <w:szCs w:val="18"/>
          <w:vertAlign w:val="superscript"/>
        </w:rPr>
        <w:footnoteReference w:id="15"/>
      </w:r>
    </w:p>
    <w:p w14:paraId="4D8DF7E1" w14:textId="77777777" w:rsidR="006D2BCA" w:rsidRDefault="006D2BCA" w:rsidP="008F709E">
      <w:pPr>
        <w:rPr>
          <w:rFonts w:ascii="Arial" w:eastAsiaTheme="minorHAnsi" w:hAnsi="Arial" w:cs="Arial"/>
        </w:rPr>
      </w:pPr>
    </w:p>
    <w:p w14:paraId="0B9BE268" w14:textId="209142AB" w:rsidR="008F709E" w:rsidRPr="006975D4" w:rsidRDefault="008F709E" w:rsidP="008F709E">
      <w:pPr>
        <w:rPr>
          <w:rFonts w:ascii="Arial" w:eastAsiaTheme="minorHAnsi" w:hAnsi="Arial" w:cs="Arial"/>
        </w:rPr>
      </w:pPr>
      <w:r w:rsidRPr="006975D4">
        <w:rPr>
          <w:rFonts w:ascii="Arial" w:eastAsiaTheme="minorHAnsi" w:hAnsi="Arial" w:cs="Arial"/>
        </w:rPr>
        <w:t xml:space="preserve">What should be considered by the </w:t>
      </w:r>
      <w:r w:rsidR="00A17D1A" w:rsidRPr="006975D4">
        <w:rPr>
          <w:rFonts w:ascii="Arial" w:eastAsiaTheme="minorHAnsi" w:hAnsi="Arial" w:cs="Arial"/>
        </w:rPr>
        <w:t>Government</w:t>
      </w:r>
      <w:r w:rsidRPr="006975D4">
        <w:rPr>
          <w:rFonts w:ascii="Arial" w:eastAsiaTheme="minorHAnsi" w:hAnsi="Arial" w:cs="Arial"/>
        </w:rPr>
        <w:t xml:space="preserve"> is the intent of business taxes. The intent of business taxes is to collect revenue in the simplest way possible, and in a way that does not prevent businesses from growing employing more people and contributing to economic growth.  CGT on businesses transferred to offspring works against this. When a parent passes on their business to the second generation they receive no benefit. They are effectively passing on their source of income. It is not at all obvious why they should pay CGT out of the family’s pool of assets.  </w:t>
      </w:r>
      <w:r w:rsidR="006D2BCA" w:rsidRPr="006D2BCA">
        <w:rPr>
          <w:rFonts w:ascii="Arial" w:eastAsiaTheme="minorHAnsi" w:hAnsi="Arial" w:cs="Arial"/>
        </w:rPr>
        <w:t>The Productivity Commission also recommend that the White Paper on the Reform of Australia’s Tax System should consider simplifying and streamlining the small business CGT concessions with a view to the effectiveness of implementation, avoidance of unintended consequences and ensuring consistency with broader tax policy</w:t>
      </w:r>
      <w:r w:rsidR="006D2BCA">
        <w:rPr>
          <w:rFonts w:ascii="Arial" w:eastAsiaTheme="minorHAnsi" w:hAnsi="Arial" w:cs="Arial"/>
        </w:rPr>
        <w:t>.</w:t>
      </w:r>
      <w:r w:rsidR="006D2BCA" w:rsidRPr="006D2BCA">
        <w:rPr>
          <w:rFonts w:ascii="Arial" w:eastAsiaTheme="minorHAnsi" w:hAnsi="Arial" w:cs="Arial"/>
          <w:vertAlign w:val="superscript"/>
        </w:rPr>
        <w:footnoteReference w:id="16"/>
      </w:r>
    </w:p>
    <w:p w14:paraId="76496953" w14:textId="77777777" w:rsidR="008F709E" w:rsidRPr="006975D4" w:rsidRDefault="008F709E" w:rsidP="008F709E">
      <w:pPr>
        <w:rPr>
          <w:rFonts w:ascii="Arial" w:eastAsiaTheme="minorHAnsi" w:hAnsi="Arial" w:cs="Arial"/>
        </w:rPr>
      </w:pPr>
    </w:p>
    <w:p w14:paraId="7F4609C4" w14:textId="77777777" w:rsidR="00250C6A" w:rsidRDefault="008F709E" w:rsidP="008F709E">
      <w:pPr>
        <w:rPr>
          <w:rFonts w:ascii="Arial" w:eastAsiaTheme="minorHAnsi" w:hAnsi="Arial" w:cs="Arial"/>
        </w:rPr>
      </w:pPr>
      <w:r w:rsidRPr="006975D4">
        <w:rPr>
          <w:rFonts w:ascii="Arial" w:eastAsiaTheme="minorHAnsi" w:hAnsi="Arial" w:cs="Arial"/>
        </w:rPr>
        <w:t xml:space="preserve">The </w:t>
      </w:r>
      <w:r w:rsidR="00461052" w:rsidRPr="006975D4">
        <w:rPr>
          <w:rFonts w:ascii="Arial" w:eastAsiaTheme="minorHAnsi" w:hAnsi="Arial" w:cs="Arial"/>
        </w:rPr>
        <w:t>second generation</w:t>
      </w:r>
      <w:r w:rsidRPr="006975D4">
        <w:rPr>
          <w:rFonts w:ascii="Arial" w:eastAsiaTheme="minorHAnsi" w:hAnsi="Arial" w:cs="Arial"/>
        </w:rPr>
        <w:t xml:space="preserve"> could be liable if they choose to sell the business outside of the family as they are then benefitting financially from the sale, but a simple change of company ownership within a family should not be taxed as the original sellers have not financially benefitted.  </w:t>
      </w:r>
    </w:p>
    <w:p w14:paraId="61E549DA" w14:textId="77777777" w:rsidR="00CA0540" w:rsidRDefault="00CA0540" w:rsidP="00CA0540">
      <w:pPr>
        <w:rPr>
          <w:rFonts w:ascii="Arial" w:eastAsiaTheme="minorHAnsi" w:hAnsi="Arial" w:cs="Arial"/>
        </w:rPr>
      </w:pPr>
    </w:p>
    <w:p w14:paraId="795A992A" w14:textId="3CF18FF3" w:rsidR="008F709E" w:rsidRPr="00720389" w:rsidRDefault="00A17D1A" w:rsidP="008F709E">
      <w:pPr>
        <w:rPr>
          <w:rFonts w:ascii="Arial" w:eastAsiaTheme="minorHAnsi" w:hAnsi="Arial" w:cs="Arial"/>
        </w:rPr>
      </w:pPr>
      <w:r w:rsidRPr="00720389">
        <w:rPr>
          <w:rFonts w:ascii="Arial" w:eastAsiaTheme="minorHAnsi" w:hAnsi="Arial" w:cs="Arial"/>
        </w:rPr>
        <w:t xml:space="preserve">Therefore, CGT concessions should be maintained and be expanded to include family transfers of businesses. </w:t>
      </w:r>
    </w:p>
    <w:p w14:paraId="06C727FA" w14:textId="77777777" w:rsidR="005B4BBD" w:rsidRPr="00720389" w:rsidRDefault="005B4BBD" w:rsidP="008F709E">
      <w:pPr>
        <w:rPr>
          <w:rFonts w:ascii="Arial" w:eastAsiaTheme="minorHAnsi" w:hAnsi="Arial" w:cs="Arial"/>
        </w:rPr>
      </w:pPr>
    </w:p>
    <w:p w14:paraId="154A56E5" w14:textId="040FDA3C" w:rsidR="00A17D1A" w:rsidRPr="00720389" w:rsidRDefault="00A17D1A" w:rsidP="00A17D1A">
      <w:pPr>
        <w:rPr>
          <w:rFonts w:ascii="Arial" w:hAnsi="Arial" w:cs="Arial"/>
          <w:b/>
        </w:rPr>
      </w:pPr>
      <w:r w:rsidRPr="00720389">
        <w:rPr>
          <w:rFonts w:ascii="Arial" w:hAnsi="Arial" w:cs="Arial"/>
          <w:b/>
        </w:rPr>
        <w:t xml:space="preserve">Recommendation </w:t>
      </w:r>
      <w:r w:rsidR="00153E26" w:rsidRPr="00720389">
        <w:rPr>
          <w:rFonts w:ascii="Arial" w:hAnsi="Arial" w:cs="Arial"/>
          <w:b/>
        </w:rPr>
        <w:t>1</w:t>
      </w:r>
    </w:p>
    <w:p w14:paraId="5FF45373" w14:textId="77777777" w:rsidR="00A17D1A" w:rsidRPr="00720389" w:rsidRDefault="00A17D1A" w:rsidP="00A17D1A">
      <w:pPr>
        <w:rPr>
          <w:rFonts w:ascii="Arial" w:hAnsi="Arial" w:cs="Arial"/>
        </w:rPr>
      </w:pPr>
    </w:p>
    <w:p w14:paraId="3B324ED3" w14:textId="77777777" w:rsidR="00A17D1A" w:rsidRPr="00720389" w:rsidRDefault="00A17D1A" w:rsidP="00A17D1A">
      <w:pPr>
        <w:rPr>
          <w:rFonts w:ascii="Arial" w:hAnsi="Arial" w:cs="Arial"/>
        </w:rPr>
      </w:pPr>
      <w:r w:rsidRPr="00720389">
        <w:rPr>
          <w:rFonts w:ascii="Arial" w:hAnsi="Arial" w:cs="Arial"/>
        </w:rPr>
        <w:t xml:space="preserve">Capital gains tax should not be levied on business ownership transfers within families. </w:t>
      </w:r>
    </w:p>
    <w:p w14:paraId="20C493C4" w14:textId="77777777" w:rsidR="006975D4" w:rsidRDefault="006975D4" w:rsidP="0094663E">
      <w:pPr>
        <w:rPr>
          <w:rFonts w:ascii="Arial" w:eastAsiaTheme="minorHAnsi" w:hAnsi="Arial" w:cs="Arial"/>
          <w:b/>
        </w:rPr>
      </w:pPr>
    </w:p>
    <w:p w14:paraId="1DC35250" w14:textId="18F06BD0" w:rsidR="006975D4" w:rsidRPr="006975D4" w:rsidRDefault="006975D4" w:rsidP="0094663E">
      <w:pPr>
        <w:rPr>
          <w:rFonts w:ascii="Arial" w:eastAsiaTheme="minorHAnsi" w:hAnsi="Arial" w:cs="Arial"/>
          <w:b/>
        </w:rPr>
      </w:pPr>
      <w:r w:rsidRPr="006975D4">
        <w:rPr>
          <w:rFonts w:ascii="Arial" w:eastAsiaTheme="minorHAnsi" w:hAnsi="Arial" w:cs="Arial"/>
          <w:b/>
        </w:rPr>
        <w:t xml:space="preserve">Recommendation 2 </w:t>
      </w:r>
    </w:p>
    <w:p w14:paraId="0D8741B5" w14:textId="77777777" w:rsidR="006975D4" w:rsidRDefault="006975D4" w:rsidP="0094663E">
      <w:pPr>
        <w:rPr>
          <w:rFonts w:ascii="Arial" w:eastAsiaTheme="minorHAnsi" w:hAnsi="Arial" w:cs="Arial"/>
        </w:rPr>
      </w:pPr>
    </w:p>
    <w:p w14:paraId="49B3DDE7" w14:textId="6CD290EA" w:rsidR="00ED23E1" w:rsidRDefault="006975D4" w:rsidP="0094663E">
      <w:pPr>
        <w:rPr>
          <w:rFonts w:ascii="Arial" w:eastAsiaTheme="minorHAnsi" w:hAnsi="Arial" w:cs="Arial"/>
        </w:rPr>
      </w:pPr>
      <w:r>
        <w:rPr>
          <w:rFonts w:ascii="Arial" w:eastAsiaTheme="minorHAnsi" w:hAnsi="Arial" w:cs="Arial"/>
        </w:rPr>
        <w:t xml:space="preserve">The Government should support the Productivity Commission’s </w:t>
      </w:r>
      <w:r w:rsidRPr="006975D4">
        <w:rPr>
          <w:rFonts w:ascii="Arial" w:eastAsiaTheme="minorHAnsi" w:hAnsi="Arial" w:cs="Arial"/>
        </w:rPr>
        <w:t>draft recommendation 12.2</w:t>
      </w:r>
      <w:r w:rsidR="00DB11D5">
        <w:rPr>
          <w:rFonts w:ascii="Arial" w:eastAsiaTheme="minorHAnsi" w:hAnsi="Arial" w:cs="Arial"/>
        </w:rPr>
        <w:t xml:space="preserve"> from the business set</w:t>
      </w:r>
      <w:r>
        <w:rPr>
          <w:rFonts w:ascii="Arial" w:eastAsiaTheme="minorHAnsi" w:hAnsi="Arial" w:cs="Arial"/>
        </w:rPr>
        <w:t xml:space="preserve">up, transfer and closure draft report to rationalise and simplify </w:t>
      </w:r>
      <w:r w:rsidRPr="006975D4">
        <w:rPr>
          <w:rFonts w:ascii="Arial" w:eastAsiaTheme="minorHAnsi" w:hAnsi="Arial" w:cs="Arial"/>
        </w:rPr>
        <w:t>capital gains tax concessions</w:t>
      </w:r>
      <w:r>
        <w:rPr>
          <w:rFonts w:ascii="Arial" w:eastAsiaTheme="minorHAnsi" w:hAnsi="Arial" w:cs="Arial"/>
        </w:rPr>
        <w:t>.</w:t>
      </w:r>
    </w:p>
    <w:p w14:paraId="3DA20125" w14:textId="77777777" w:rsidR="006D2BCA" w:rsidRDefault="006D2BCA" w:rsidP="0094663E">
      <w:pPr>
        <w:rPr>
          <w:rFonts w:ascii="Arial" w:eastAsiaTheme="minorHAnsi" w:hAnsi="Arial" w:cs="Arial"/>
        </w:rPr>
      </w:pPr>
    </w:p>
    <w:p w14:paraId="1454CC60" w14:textId="77777777" w:rsidR="00ED23E1" w:rsidRPr="00720389" w:rsidRDefault="00ED23E1" w:rsidP="0094663E">
      <w:pPr>
        <w:rPr>
          <w:rFonts w:ascii="Arial" w:eastAsiaTheme="minorHAnsi" w:hAnsi="Arial" w:cs="Arial"/>
        </w:rPr>
      </w:pPr>
    </w:p>
    <w:p w14:paraId="7482C90B" w14:textId="64063BA3" w:rsidR="00A17D1A" w:rsidRPr="009D5312" w:rsidRDefault="005B4BBD" w:rsidP="009D5312">
      <w:pPr>
        <w:pStyle w:val="Heading2"/>
        <w:rPr>
          <w:rFonts w:ascii="Arial" w:hAnsi="Arial" w:cs="Arial"/>
          <w:color w:val="002060"/>
          <w:sz w:val="22"/>
          <w:szCs w:val="22"/>
        </w:rPr>
      </w:pPr>
      <w:bookmarkStart w:id="7" w:name="_Toc420922101"/>
      <w:r w:rsidRPr="009D5312">
        <w:rPr>
          <w:rFonts w:ascii="Arial" w:hAnsi="Arial" w:cs="Arial"/>
          <w:color w:val="002060"/>
          <w:sz w:val="22"/>
          <w:szCs w:val="22"/>
        </w:rPr>
        <w:lastRenderedPageBreak/>
        <w:t>5</w:t>
      </w:r>
      <w:r w:rsidR="00A17D1A" w:rsidRPr="009D5312">
        <w:rPr>
          <w:rFonts w:ascii="Arial" w:hAnsi="Arial" w:cs="Arial"/>
          <w:color w:val="002060"/>
          <w:sz w:val="22"/>
          <w:szCs w:val="22"/>
        </w:rPr>
        <w:t>.2 Cut the corporate tax rate</w:t>
      </w:r>
      <w:bookmarkEnd w:id="7"/>
    </w:p>
    <w:p w14:paraId="2F82D0EA" w14:textId="77777777" w:rsidR="002D000C" w:rsidRPr="00720389" w:rsidRDefault="002D000C" w:rsidP="009D5312">
      <w:pPr>
        <w:keepNext/>
        <w:rPr>
          <w:rFonts w:ascii="Arial" w:hAnsi="Arial" w:cs="Arial"/>
        </w:rPr>
      </w:pPr>
    </w:p>
    <w:p w14:paraId="489570BB" w14:textId="77CD0CD3" w:rsidR="002D000C" w:rsidRPr="00720389" w:rsidRDefault="002D000C" w:rsidP="009D5312">
      <w:pPr>
        <w:keepNext/>
        <w:rPr>
          <w:rFonts w:ascii="Arial" w:hAnsi="Arial" w:cs="Arial"/>
        </w:rPr>
      </w:pPr>
      <w:r w:rsidRPr="00720389">
        <w:rPr>
          <w:rFonts w:ascii="Arial" w:hAnsi="Arial" w:cs="Arial"/>
        </w:rPr>
        <w:t xml:space="preserve">In order to assist small business the Government </w:t>
      </w:r>
      <w:r w:rsidR="00461052">
        <w:rPr>
          <w:rFonts w:ascii="Arial" w:hAnsi="Arial" w:cs="Arial"/>
        </w:rPr>
        <w:t>has</w:t>
      </w:r>
      <w:r w:rsidRPr="00720389">
        <w:rPr>
          <w:rFonts w:ascii="Arial" w:hAnsi="Arial" w:cs="Arial"/>
        </w:rPr>
        <w:t xml:space="preserve"> provided examples of methods that could help the productivity of small businesses including</w:t>
      </w:r>
      <w:r w:rsidRPr="00720389">
        <w:rPr>
          <w:rFonts w:ascii="Arial" w:eastAsiaTheme="minorHAnsi" w:hAnsi="Arial" w:cs="Arial"/>
        </w:rPr>
        <w:t xml:space="preserve"> </w:t>
      </w:r>
      <w:r w:rsidRPr="00720389">
        <w:rPr>
          <w:rFonts w:ascii="Arial" w:hAnsi="Arial" w:cs="Arial"/>
        </w:rPr>
        <w:t>a single lower tax rate, improved technology deployment or other non-tax mechanisms</w:t>
      </w:r>
      <w:r w:rsidR="00C33341" w:rsidRPr="00720389">
        <w:rPr>
          <w:rFonts w:ascii="Arial" w:hAnsi="Arial" w:cs="Arial"/>
        </w:rPr>
        <w:t>, while decreasing compliance and complexity costs</w:t>
      </w:r>
      <w:r w:rsidRPr="00720389">
        <w:rPr>
          <w:rFonts w:ascii="Arial" w:hAnsi="Arial" w:cs="Arial"/>
        </w:rPr>
        <w:t xml:space="preserve">. </w:t>
      </w:r>
    </w:p>
    <w:p w14:paraId="281299F7" w14:textId="77777777" w:rsidR="002D000C" w:rsidRPr="00720389" w:rsidRDefault="002D000C" w:rsidP="00A17D1A">
      <w:pPr>
        <w:rPr>
          <w:rFonts w:ascii="Arial" w:hAnsi="Arial" w:cs="Arial"/>
        </w:rPr>
      </w:pPr>
    </w:p>
    <w:p w14:paraId="5FD336F1" w14:textId="4573D4B2" w:rsidR="00C33341" w:rsidRPr="00720389" w:rsidRDefault="00A17D1A" w:rsidP="00A17D1A">
      <w:pPr>
        <w:rPr>
          <w:rFonts w:ascii="Arial" w:hAnsi="Arial" w:cs="Arial"/>
          <w:lang w:eastAsia="en-AU"/>
        </w:rPr>
      </w:pPr>
      <w:r w:rsidRPr="00720389">
        <w:rPr>
          <w:rFonts w:ascii="Arial" w:hAnsi="Arial" w:cs="Arial"/>
        </w:rPr>
        <w:t xml:space="preserve">As noted in the paper, many countries have cut the corporate tax rate </w:t>
      </w:r>
      <w:r w:rsidR="002D000C" w:rsidRPr="00720389">
        <w:rPr>
          <w:rFonts w:ascii="Arial" w:hAnsi="Arial" w:cs="Arial"/>
        </w:rPr>
        <w:t xml:space="preserve">in order to encourage small businesses to grow. While the paper highlights the UK’s experience with lowering the </w:t>
      </w:r>
      <w:r w:rsidR="002D000C" w:rsidRPr="00720389">
        <w:rPr>
          <w:rFonts w:ascii="Arial" w:hAnsi="Arial" w:cs="Arial"/>
          <w:lang w:eastAsia="en-AU"/>
        </w:rPr>
        <w:t>corpora</w:t>
      </w:r>
      <w:r w:rsidR="00461052">
        <w:rPr>
          <w:rFonts w:ascii="Arial" w:hAnsi="Arial" w:cs="Arial"/>
          <w:lang w:eastAsia="en-AU"/>
        </w:rPr>
        <w:t>te tax rate for small companies, it</w:t>
      </w:r>
      <w:r w:rsidR="002D000C" w:rsidRPr="00720389">
        <w:rPr>
          <w:rFonts w:ascii="Arial" w:hAnsi="Arial" w:cs="Arial"/>
          <w:lang w:eastAsia="en-AU"/>
        </w:rPr>
        <w:t xml:space="preserve"> does not mean that low corporate tax rates for small business should </w:t>
      </w:r>
      <w:r w:rsidR="00C33341" w:rsidRPr="00720389">
        <w:rPr>
          <w:rFonts w:ascii="Arial" w:hAnsi="Arial" w:cs="Arial"/>
          <w:lang w:eastAsia="en-AU"/>
        </w:rPr>
        <w:t xml:space="preserve">not be pursued. Indeed the 2015 May budget has provided a small cut to the rate of </w:t>
      </w:r>
      <w:r w:rsidR="00461052">
        <w:rPr>
          <w:rFonts w:ascii="Arial" w:hAnsi="Arial" w:cs="Arial"/>
          <w:lang w:eastAsia="en-AU"/>
        </w:rPr>
        <w:t xml:space="preserve">corporate </w:t>
      </w:r>
      <w:r w:rsidR="00C33341" w:rsidRPr="00720389">
        <w:rPr>
          <w:rFonts w:ascii="Arial" w:hAnsi="Arial" w:cs="Arial"/>
          <w:lang w:eastAsia="en-AU"/>
        </w:rPr>
        <w:t>tax.</w:t>
      </w:r>
    </w:p>
    <w:p w14:paraId="23817337" w14:textId="61F15749" w:rsidR="00A17D1A" w:rsidRPr="00720389" w:rsidRDefault="00A17D1A" w:rsidP="0094663E">
      <w:pPr>
        <w:rPr>
          <w:rFonts w:ascii="Arial" w:hAnsi="Arial" w:cs="Arial"/>
          <w:lang w:eastAsia="en-AU"/>
        </w:rPr>
      </w:pPr>
    </w:p>
    <w:p w14:paraId="23ADDB10" w14:textId="01D4FA5A" w:rsidR="00C33341" w:rsidRPr="00720389" w:rsidRDefault="00C33341" w:rsidP="0094663E">
      <w:pPr>
        <w:rPr>
          <w:rFonts w:ascii="Arial" w:hAnsi="Arial" w:cs="Arial"/>
          <w:lang w:eastAsia="en-AU"/>
        </w:rPr>
      </w:pPr>
      <w:r w:rsidRPr="00720389">
        <w:rPr>
          <w:rFonts w:ascii="Arial" w:hAnsi="Arial" w:cs="Arial"/>
          <w:lang w:eastAsia="en-AU"/>
        </w:rPr>
        <w:t xml:space="preserve">Australian businesses are competing with other Asia-Pacific countries with much lower corporate </w:t>
      </w:r>
      <w:r w:rsidR="007861AF">
        <w:rPr>
          <w:rFonts w:ascii="Arial" w:hAnsi="Arial" w:cs="Arial"/>
          <w:lang w:eastAsia="en-AU"/>
        </w:rPr>
        <w:t xml:space="preserve">tax </w:t>
      </w:r>
      <w:r w:rsidRPr="00720389">
        <w:rPr>
          <w:rFonts w:ascii="Arial" w:hAnsi="Arial" w:cs="Arial"/>
          <w:lang w:eastAsia="en-AU"/>
        </w:rPr>
        <w:t xml:space="preserve">rates. Giving Australian business a more competitive business tax rate </w:t>
      </w:r>
      <w:r w:rsidR="00461052">
        <w:rPr>
          <w:rFonts w:ascii="Arial" w:hAnsi="Arial" w:cs="Arial"/>
          <w:lang w:eastAsia="en-AU"/>
        </w:rPr>
        <w:t>would</w:t>
      </w:r>
      <w:r w:rsidRPr="00720389">
        <w:rPr>
          <w:rFonts w:ascii="Arial" w:hAnsi="Arial" w:cs="Arial"/>
          <w:lang w:eastAsia="en-AU"/>
        </w:rPr>
        <w:t xml:space="preserve"> help provide them with greater ability to employ workers, make a profit and prosper. </w:t>
      </w:r>
    </w:p>
    <w:p w14:paraId="75E37237" w14:textId="77777777" w:rsidR="00C33341" w:rsidRPr="00720389" w:rsidRDefault="00C33341" w:rsidP="0094663E">
      <w:pPr>
        <w:rPr>
          <w:rFonts w:ascii="Arial" w:hAnsi="Arial" w:cs="Arial"/>
          <w:lang w:eastAsia="en-AU"/>
        </w:rPr>
      </w:pPr>
    </w:p>
    <w:p w14:paraId="02AE7A7E" w14:textId="6D76CE4B" w:rsidR="00C33341" w:rsidRPr="00720389" w:rsidRDefault="00153E26" w:rsidP="0094663E">
      <w:pPr>
        <w:rPr>
          <w:rFonts w:ascii="Arial" w:eastAsiaTheme="minorHAnsi" w:hAnsi="Arial" w:cs="Arial"/>
        </w:rPr>
      </w:pPr>
      <w:r w:rsidRPr="00720389">
        <w:rPr>
          <w:rFonts w:ascii="Arial" w:hAnsi="Arial" w:cs="Arial"/>
          <w:lang w:eastAsia="en-AU"/>
        </w:rPr>
        <w:t>Additionally, the</w:t>
      </w:r>
      <w:r w:rsidR="00C33341" w:rsidRPr="00720389">
        <w:rPr>
          <w:rFonts w:ascii="Arial" w:hAnsi="Arial" w:cs="Arial"/>
          <w:lang w:eastAsia="en-AU"/>
        </w:rPr>
        <w:t xml:space="preserve"> small business $20,000 asset tax deduction is a prime example of other methods at the Government</w:t>
      </w:r>
      <w:r w:rsidR="007861AF">
        <w:rPr>
          <w:rFonts w:ascii="Arial" w:hAnsi="Arial" w:cs="Arial"/>
          <w:lang w:eastAsia="en-AU"/>
        </w:rPr>
        <w:t>’</w:t>
      </w:r>
      <w:r w:rsidR="00C33341" w:rsidRPr="00720389">
        <w:rPr>
          <w:rFonts w:ascii="Arial" w:hAnsi="Arial" w:cs="Arial"/>
          <w:lang w:eastAsia="en-AU"/>
        </w:rPr>
        <w:t xml:space="preserve">s </w:t>
      </w:r>
      <w:r w:rsidR="00461052">
        <w:rPr>
          <w:rFonts w:ascii="Arial" w:hAnsi="Arial" w:cs="Arial"/>
          <w:lang w:eastAsia="en-AU"/>
        </w:rPr>
        <w:t>disposal</w:t>
      </w:r>
      <w:r w:rsidR="00C33341" w:rsidRPr="00720389">
        <w:rPr>
          <w:rFonts w:ascii="Arial" w:hAnsi="Arial" w:cs="Arial"/>
          <w:lang w:eastAsia="en-AU"/>
        </w:rPr>
        <w:t xml:space="preserve"> to help stimulate small business growth. </w:t>
      </w:r>
    </w:p>
    <w:p w14:paraId="7B0B5DC6" w14:textId="77777777" w:rsidR="008F709E" w:rsidRPr="00720389" w:rsidRDefault="008F709E" w:rsidP="0094663E">
      <w:pPr>
        <w:rPr>
          <w:rFonts w:ascii="Arial" w:eastAsiaTheme="minorHAnsi" w:hAnsi="Arial" w:cs="Arial"/>
        </w:rPr>
      </w:pPr>
    </w:p>
    <w:p w14:paraId="146F5889" w14:textId="565D03FB" w:rsidR="00A17D1A" w:rsidRPr="00720389" w:rsidRDefault="006975D4" w:rsidP="0094663E">
      <w:pPr>
        <w:rPr>
          <w:rFonts w:ascii="Arial" w:eastAsiaTheme="minorHAnsi" w:hAnsi="Arial" w:cs="Arial"/>
          <w:b/>
        </w:rPr>
      </w:pPr>
      <w:r>
        <w:rPr>
          <w:rFonts w:ascii="Arial" w:eastAsiaTheme="minorHAnsi" w:hAnsi="Arial" w:cs="Arial"/>
          <w:b/>
        </w:rPr>
        <w:t>Recommendation 3</w:t>
      </w:r>
    </w:p>
    <w:p w14:paraId="7E197FC5" w14:textId="77777777" w:rsidR="008F709E" w:rsidRPr="00720389" w:rsidRDefault="008F709E" w:rsidP="0094663E">
      <w:pPr>
        <w:rPr>
          <w:rFonts w:ascii="Arial" w:eastAsiaTheme="minorHAnsi" w:hAnsi="Arial" w:cs="Arial"/>
        </w:rPr>
      </w:pPr>
    </w:p>
    <w:p w14:paraId="47A0C934" w14:textId="77777777" w:rsidR="00AA560C" w:rsidRPr="00AA560C" w:rsidRDefault="00AA560C" w:rsidP="00AA560C">
      <w:pPr>
        <w:rPr>
          <w:rFonts w:ascii="Arial" w:eastAsiaTheme="minorHAnsi" w:hAnsi="Arial" w:cs="Arial"/>
        </w:rPr>
      </w:pPr>
      <w:r w:rsidRPr="00AA560C">
        <w:rPr>
          <w:rFonts w:ascii="Arial" w:eastAsiaTheme="minorHAnsi" w:hAnsi="Arial" w:cs="Arial"/>
        </w:rPr>
        <w:t xml:space="preserve">The Government should continue to use corporate tax rate cuts and asset deductions as a means of encouraging small business growth. </w:t>
      </w:r>
    </w:p>
    <w:p w14:paraId="1FD45914" w14:textId="77777777" w:rsidR="000B5853" w:rsidRDefault="000B5853" w:rsidP="00153E26">
      <w:pPr>
        <w:rPr>
          <w:rFonts w:ascii="Arial" w:eastAsiaTheme="minorHAnsi" w:hAnsi="Arial" w:cs="Arial"/>
        </w:rPr>
      </w:pPr>
    </w:p>
    <w:p w14:paraId="206BE5EB" w14:textId="77777777" w:rsidR="008F2AA7" w:rsidRDefault="008F2AA7" w:rsidP="00153E26">
      <w:pPr>
        <w:rPr>
          <w:rFonts w:ascii="Arial" w:eastAsiaTheme="minorHAnsi" w:hAnsi="Arial" w:cs="Arial"/>
        </w:rPr>
      </w:pPr>
    </w:p>
    <w:p w14:paraId="66601E88" w14:textId="66AE1F12" w:rsidR="008F2AA7" w:rsidRDefault="000B5853" w:rsidP="000B5853">
      <w:pPr>
        <w:pStyle w:val="Heading1"/>
        <w:rPr>
          <w:szCs w:val="22"/>
        </w:rPr>
      </w:pPr>
      <w:bookmarkStart w:id="8" w:name="_Toc420922102"/>
      <w:r w:rsidRPr="000B5853">
        <w:rPr>
          <w:szCs w:val="22"/>
        </w:rPr>
        <w:t>Road user charges</w:t>
      </w:r>
      <w:bookmarkEnd w:id="8"/>
      <w:r w:rsidRPr="000B5853">
        <w:rPr>
          <w:szCs w:val="22"/>
        </w:rPr>
        <w:t xml:space="preserve"> </w:t>
      </w:r>
    </w:p>
    <w:p w14:paraId="195E1738" w14:textId="77777777" w:rsidR="00461052" w:rsidRDefault="00461052" w:rsidP="000B5853">
      <w:pPr>
        <w:rPr>
          <w:rFonts w:ascii="Arial" w:hAnsi="Arial" w:cs="Arial"/>
        </w:rPr>
      </w:pPr>
    </w:p>
    <w:p w14:paraId="050D633F" w14:textId="5B06C47D" w:rsidR="00461052" w:rsidRDefault="00461052" w:rsidP="000B5853">
      <w:pPr>
        <w:rPr>
          <w:rFonts w:ascii="Arial" w:hAnsi="Arial" w:cs="Arial"/>
        </w:rPr>
      </w:pPr>
      <w:r>
        <w:rPr>
          <w:rFonts w:ascii="Arial" w:hAnsi="Arial" w:cs="Arial"/>
        </w:rPr>
        <w:t>The t</w:t>
      </w:r>
      <w:r w:rsidR="000B5853" w:rsidRPr="00467AA4">
        <w:rPr>
          <w:rFonts w:ascii="Arial" w:hAnsi="Arial" w:cs="Arial"/>
        </w:rPr>
        <w:t xml:space="preserve">ax reform paper </w:t>
      </w:r>
      <w:r w:rsidR="000759B8" w:rsidRPr="00467AA4">
        <w:rPr>
          <w:rFonts w:ascii="Arial" w:hAnsi="Arial" w:cs="Arial"/>
        </w:rPr>
        <w:t>highlights</w:t>
      </w:r>
      <w:r w:rsidR="003809C8" w:rsidRPr="00467AA4">
        <w:rPr>
          <w:rFonts w:ascii="Arial" w:hAnsi="Arial" w:cs="Arial"/>
        </w:rPr>
        <w:t xml:space="preserve"> the Productivity </w:t>
      </w:r>
      <w:r w:rsidR="000759B8" w:rsidRPr="00467AA4">
        <w:rPr>
          <w:rFonts w:ascii="Arial" w:hAnsi="Arial" w:cs="Arial"/>
        </w:rPr>
        <w:t>Commission’s</w:t>
      </w:r>
      <w:r w:rsidR="003809C8" w:rsidRPr="00467AA4">
        <w:rPr>
          <w:rFonts w:ascii="Arial" w:hAnsi="Arial" w:cs="Arial"/>
        </w:rPr>
        <w:t xml:space="preserve"> recommendation </w:t>
      </w:r>
      <w:r w:rsidR="000759B8" w:rsidRPr="00467AA4">
        <w:rPr>
          <w:rFonts w:ascii="Arial" w:hAnsi="Arial" w:cs="Arial"/>
        </w:rPr>
        <w:t>to ‘actively encourage state and territory governments to undertake pilot studies of user charging for light vehicles’.</w:t>
      </w:r>
      <w:r w:rsidR="000759B8" w:rsidRPr="00467AA4">
        <w:rPr>
          <w:rStyle w:val="FootnoteReference"/>
          <w:rFonts w:ascii="Arial" w:hAnsi="Arial" w:cs="Arial"/>
        </w:rPr>
        <w:footnoteReference w:id="17"/>
      </w:r>
      <w:r w:rsidR="00467AA4" w:rsidRPr="00467AA4">
        <w:rPr>
          <w:rFonts w:ascii="Arial" w:hAnsi="Arial" w:cs="Arial"/>
        </w:rPr>
        <w:t xml:space="preserve"> </w:t>
      </w:r>
    </w:p>
    <w:p w14:paraId="6FE429CD" w14:textId="77777777" w:rsidR="00461052" w:rsidRDefault="00461052" w:rsidP="000B5853">
      <w:pPr>
        <w:rPr>
          <w:rFonts w:ascii="Arial" w:hAnsi="Arial" w:cs="Arial"/>
        </w:rPr>
      </w:pPr>
    </w:p>
    <w:p w14:paraId="164ADE44" w14:textId="25379521" w:rsidR="000759B8" w:rsidRPr="00467AA4" w:rsidRDefault="00467AA4" w:rsidP="000B5853">
      <w:pPr>
        <w:rPr>
          <w:rFonts w:ascii="Arial" w:hAnsi="Arial" w:cs="Arial"/>
        </w:rPr>
      </w:pPr>
      <w:r w:rsidRPr="00467AA4">
        <w:rPr>
          <w:rFonts w:ascii="Arial" w:hAnsi="Arial" w:cs="Arial"/>
        </w:rPr>
        <w:t xml:space="preserve">The Government’s response to the Productivity </w:t>
      </w:r>
      <w:r w:rsidR="00AA560C">
        <w:rPr>
          <w:rFonts w:ascii="Arial" w:hAnsi="Arial" w:cs="Arial"/>
        </w:rPr>
        <w:t xml:space="preserve">Commission’s </w:t>
      </w:r>
      <w:r w:rsidRPr="00467AA4">
        <w:rPr>
          <w:rFonts w:ascii="Arial" w:hAnsi="Arial" w:cs="Arial"/>
        </w:rPr>
        <w:t>recommendation around road user charges is balanced</w:t>
      </w:r>
      <w:r w:rsidR="00AA560C">
        <w:rPr>
          <w:rFonts w:ascii="Arial" w:hAnsi="Arial" w:cs="Arial"/>
        </w:rPr>
        <w:t>,</w:t>
      </w:r>
      <w:r w:rsidRPr="00467AA4">
        <w:rPr>
          <w:rFonts w:ascii="Arial" w:hAnsi="Arial" w:cs="Arial"/>
        </w:rPr>
        <w:t xml:space="preserve"> stating t</w:t>
      </w:r>
      <w:r w:rsidR="000759B8" w:rsidRPr="00467AA4">
        <w:rPr>
          <w:rFonts w:ascii="Arial" w:hAnsi="Arial" w:cs="Arial"/>
        </w:rPr>
        <w:t>he Government supported this recommendation in principle as a long-term reform option. However, it also noted that user charging for roads was a complex issue and that matters like equity, as well as technological and privacy implications, would also need to be considered.</w:t>
      </w:r>
      <w:r w:rsidRPr="00467AA4">
        <w:rPr>
          <w:rStyle w:val="FootnoteReference"/>
          <w:rFonts w:ascii="Arial" w:hAnsi="Arial" w:cs="Arial"/>
        </w:rPr>
        <w:footnoteReference w:id="18"/>
      </w:r>
    </w:p>
    <w:p w14:paraId="76593555" w14:textId="77777777" w:rsidR="008F709E" w:rsidRPr="00720389" w:rsidRDefault="008F709E" w:rsidP="0094663E">
      <w:pPr>
        <w:rPr>
          <w:rFonts w:ascii="Arial" w:eastAsiaTheme="minorHAnsi" w:hAnsi="Arial" w:cs="Arial"/>
        </w:rPr>
      </w:pPr>
    </w:p>
    <w:p w14:paraId="3DA4909E" w14:textId="44A6760E" w:rsidR="000B5853" w:rsidRPr="004D099F" w:rsidRDefault="00467AA4" w:rsidP="000B5853">
      <w:pPr>
        <w:rPr>
          <w:rFonts w:ascii="Arial" w:hAnsi="Arial" w:cs="Arial"/>
        </w:rPr>
      </w:pPr>
      <w:r>
        <w:rPr>
          <w:rFonts w:ascii="Arial" w:hAnsi="Arial" w:cs="Arial"/>
        </w:rPr>
        <w:t xml:space="preserve">The industry has been made aware of the complexities of road user charges through the </w:t>
      </w:r>
      <w:r w:rsidRPr="00467AA4">
        <w:rPr>
          <w:rFonts w:ascii="Arial" w:hAnsi="Arial" w:cs="Arial"/>
        </w:rPr>
        <w:t>Heavy Vehicle Charging and Investment reform</w:t>
      </w:r>
      <w:r>
        <w:rPr>
          <w:rFonts w:ascii="Arial" w:hAnsi="Arial" w:cs="Arial"/>
        </w:rPr>
        <w:t xml:space="preserve"> (HVCI) </w:t>
      </w:r>
      <w:r w:rsidR="00461052">
        <w:rPr>
          <w:rFonts w:ascii="Arial" w:hAnsi="Arial" w:cs="Arial"/>
        </w:rPr>
        <w:t>process. T</w:t>
      </w:r>
      <w:r>
        <w:rPr>
          <w:rFonts w:ascii="Arial" w:hAnsi="Arial" w:cs="Arial"/>
        </w:rPr>
        <w:t xml:space="preserve">here are considerable </w:t>
      </w:r>
      <w:r w:rsidR="000759B8">
        <w:rPr>
          <w:rFonts w:ascii="Arial" w:hAnsi="Arial" w:cs="Arial"/>
        </w:rPr>
        <w:t xml:space="preserve">caveats that make the immediate implementation of </w:t>
      </w:r>
      <w:r>
        <w:rPr>
          <w:rFonts w:ascii="Arial" w:hAnsi="Arial" w:cs="Arial"/>
        </w:rPr>
        <w:t>a successful</w:t>
      </w:r>
      <w:r w:rsidR="000759B8">
        <w:rPr>
          <w:rFonts w:ascii="Arial" w:hAnsi="Arial" w:cs="Arial"/>
        </w:rPr>
        <w:t xml:space="preserve"> direct user charge system unrealistic </w:t>
      </w:r>
      <w:r>
        <w:rPr>
          <w:rFonts w:ascii="Arial" w:hAnsi="Arial" w:cs="Arial"/>
        </w:rPr>
        <w:t xml:space="preserve">and complex. </w:t>
      </w:r>
    </w:p>
    <w:p w14:paraId="5E0C7A0A" w14:textId="77777777" w:rsidR="000B5853" w:rsidRPr="004D099F" w:rsidRDefault="000B5853" w:rsidP="000B5853">
      <w:pPr>
        <w:pStyle w:val="BodyText2"/>
        <w:ind w:left="360" w:firstLine="30"/>
        <w:rPr>
          <w:b w:val="0"/>
        </w:rPr>
      </w:pPr>
    </w:p>
    <w:p w14:paraId="1FB2B25E" w14:textId="094DE5D5" w:rsidR="000B5853" w:rsidRPr="004D099F" w:rsidRDefault="000B5853" w:rsidP="000B5853">
      <w:pPr>
        <w:pStyle w:val="BodyText2"/>
        <w:rPr>
          <w:b w:val="0"/>
        </w:rPr>
      </w:pPr>
      <w:r w:rsidRPr="004D099F">
        <w:rPr>
          <w:b w:val="0"/>
        </w:rPr>
        <w:t xml:space="preserve">While user charging is established for other infrastructure </w:t>
      </w:r>
      <w:r w:rsidRPr="004D099F">
        <w:rPr>
          <w:b w:val="0"/>
          <w:szCs w:val="22"/>
        </w:rPr>
        <w:t xml:space="preserve">such as electricity, telecommunications, gas and water, roads are not a typical utility. Specific work </w:t>
      </w:r>
      <w:r w:rsidR="00AA560C">
        <w:rPr>
          <w:b w:val="0"/>
          <w:szCs w:val="22"/>
        </w:rPr>
        <w:t>on</w:t>
      </w:r>
      <w:r w:rsidRPr="004D099F">
        <w:rPr>
          <w:b w:val="0"/>
          <w:szCs w:val="22"/>
        </w:rPr>
        <w:t xml:space="preserve"> user charges has separated light and heavy vehicles. The effect of this has meant that for either of these vehicle types the government will be dealing with a partial market and will continue to do so given the different demands those vehicles types require. </w:t>
      </w:r>
    </w:p>
    <w:p w14:paraId="5E2AD705" w14:textId="77777777" w:rsidR="005B4BBD" w:rsidRPr="004D099F" w:rsidRDefault="005B4BBD" w:rsidP="000B5853">
      <w:pPr>
        <w:pStyle w:val="BodyText2"/>
        <w:rPr>
          <w:b w:val="0"/>
          <w:szCs w:val="22"/>
        </w:rPr>
      </w:pPr>
    </w:p>
    <w:p w14:paraId="0F4A91D2" w14:textId="66C367DA" w:rsidR="000B5853" w:rsidRPr="004D099F" w:rsidRDefault="000B5853" w:rsidP="000B5853">
      <w:pPr>
        <w:rPr>
          <w:rFonts w:ascii="Arial" w:eastAsia="Times New Roman" w:hAnsi="Arial" w:cs="Arial"/>
          <w:bCs/>
        </w:rPr>
      </w:pPr>
      <w:r w:rsidRPr="004D099F">
        <w:rPr>
          <w:rFonts w:ascii="Arial" w:eastAsia="Times New Roman" w:hAnsi="Arial" w:cs="Arial"/>
          <w:bCs/>
        </w:rPr>
        <w:t xml:space="preserve">The two main parameters of road investment are </w:t>
      </w:r>
      <w:r w:rsidRPr="004D099F">
        <w:rPr>
          <w:rFonts w:ascii="Arial" w:eastAsia="Times New Roman" w:hAnsi="Arial" w:cs="Arial"/>
          <w:bCs/>
          <w:i/>
        </w:rPr>
        <w:t>durability</w:t>
      </w:r>
      <w:r w:rsidRPr="004D099F">
        <w:rPr>
          <w:rFonts w:ascii="Arial" w:eastAsia="Times New Roman" w:hAnsi="Arial" w:cs="Arial"/>
          <w:bCs/>
        </w:rPr>
        <w:t xml:space="preserve"> and </w:t>
      </w:r>
      <w:r w:rsidRPr="004D099F">
        <w:rPr>
          <w:rFonts w:ascii="Arial" w:eastAsia="Times New Roman" w:hAnsi="Arial" w:cs="Arial"/>
          <w:bCs/>
          <w:i/>
        </w:rPr>
        <w:t>capacity</w:t>
      </w:r>
      <w:r w:rsidRPr="004D099F">
        <w:rPr>
          <w:rFonts w:ascii="Arial" w:eastAsia="Times New Roman" w:hAnsi="Arial" w:cs="Arial"/>
          <w:bCs/>
        </w:rPr>
        <w:t xml:space="preserve">. Generally, durability specifications will be based on anticipated heavy vehicle usage while capacity will be based on demand by light vehicles. </w:t>
      </w:r>
      <w:r w:rsidRPr="004D099F">
        <w:rPr>
          <w:rFonts w:ascii="Arial" w:hAnsi="Arial" w:cs="Arial"/>
        </w:rPr>
        <w:t xml:space="preserve">Heavy vehicles also require off road requirements such as rest areas, pull over lanes and de-coupling bays. These different demands automatically mean </w:t>
      </w:r>
      <w:r w:rsidR="00467AA4">
        <w:rPr>
          <w:rFonts w:ascii="Arial" w:hAnsi="Arial" w:cs="Arial"/>
        </w:rPr>
        <w:t>a common</w:t>
      </w:r>
      <w:r w:rsidRPr="004D099F">
        <w:rPr>
          <w:rFonts w:ascii="Arial" w:hAnsi="Arial" w:cs="Arial"/>
        </w:rPr>
        <w:t xml:space="preserve"> direct user charging system will not work or achieve the same outcomes. </w:t>
      </w:r>
    </w:p>
    <w:p w14:paraId="3AC8EF9E" w14:textId="77777777" w:rsidR="000B5853" w:rsidRPr="004D099F" w:rsidRDefault="000B5853" w:rsidP="000B5853">
      <w:pPr>
        <w:pStyle w:val="BodyText2"/>
        <w:rPr>
          <w:b w:val="0"/>
          <w:szCs w:val="22"/>
        </w:rPr>
      </w:pPr>
    </w:p>
    <w:p w14:paraId="499D616E" w14:textId="1098A965" w:rsidR="000B5853" w:rsidRPr="004D099F" w:rsidRDefault="000B5853" w:rsidP="000B5853">
      <w:pPr>
        <w:pStyle w:val="BodyText2"/>
        <w:rPr>
          <w:b w:val="0"/>
          <w:szCs w:val="22"/>
        </w:rPr>
      </w:pPr>
      <w:r w:rsidRPr="004D099F">
        <w:rPr>
          <w:b w:val="0"/>
          <w:szCs w:val="22"/>
        </w:rPr>
        <w:t xml:space="preserve">The current system is a ‘one size fits all’ registration and excise charge for light and heavy vehicles. There </w:t>
      </w:r>
      <w:r w:rsidR="00461052">
        <w:rPr>
          <w:b w:val="0"/>
          <w:szCs w:val="22"/>
        </w:rPr>
        <w:t xml:space="preserve">is no way </w:t>
      </w:r>
      <w:r w:rsidRPr="004D099F">
        <w:rPr>
          <w:b w:val="0"/>
          <w:szCs w:val="22"/>
        </w:rPr>
        <w:t xml:space="preserve">for users to avoid paying a fair share of costs. </w:t>
      </w:r>
    </w:p>
    <w:p w14:paraId="35AF9B6B" w14:textId="77777777" w:rsidR="000B5853" w:rsidRPr="004D099F" w:rsidRDefault="000B5853" w:rsidP="000B5853">
      <w:pPr>
        <w:pStyle w:val="BodyText2"/>
        <w:rPr>
          <w:b w:val="0"/>
          <w:szCs w:val="22"/>
        </w:rPr>
      </w:pPr>
    </w:p>
    <w:p w14:paraId="7B675C2A" w14:textId="0B12AB6E" w:rsidR="006D2BCA" w:rsidRPr="004D099F" w:rsidRDefault="000B5853" w:rsidP="000B5853">
      <w:pPr>
        <w:pStyle w:val="BodyText2"/>
        <w:rPr>
          <w:b w:val="0"/>
          <w:szCs w:val="22"/>
        </w:rPr>
      </w:pPr>
      <w:r w:rsidRPr="004D099F">
        <w:rPr>
          <w:b w:val="0"/>
          <w:szCs w:val="22"/>
        </w:rPr>
        <w:t xml:space="preserve">Mass, distance, location charging (MDL) was debated through </w:t>
      </w:r>
      <w:r w:rsidR="00467AA4">
        <w:rPr>
          <w:b w:val="0"/>
          <w:szCs w:val="22"/>
        </w:rPr>
        <w:t>HVCI</w:t>
      </w:r>
      <w:r w:rsidR="00461052">
        <w:rPr>
          <w:b w:val="0"/>
          <w:szCs w:val="22"/>
        </w:rPr>
        <w:t xml:space="preserve">. MDL pricing </w:t>
      </w:r>
      <w:r w:rsidRPr="004D099F">
        <w:rPr>
          <w:b w:val="0"/>
          <w:szCs w:val="22"/>
        </w:rPr>
        <w:t xml:space="preserve">would see multiple charging systems implemented across the heavy vehicle fleet. </w:t>
      </w:r>
    </w:p>
    <w:p w14:paraId="2DA4BA42" w14:textId="77777777" w:rsidR="000B5853" w:rsidRPr="004D099F" w:rsidRDefault="000B5853" w:rsidP="000B5853">
      <w:pPr>
        <w:pStyle w:val="BodyText2"/>
        <w:rPr>
          <w:b w:val="0"/>
          <w:szCs w:val="22"/>
        </w:rPr>
      </w:pPr>
    </w:p>
    <w:p w14:paraId="238A48ED" w14:textId="3570180E" w:rsidR="000B5853" w:rsidRPr="004D099F" w:rsidRDefault="00467AA4" w:rsidP="000B5853">
      <w:pPr>
        <w:pStyle w:val="BodyText2"/>
        <w:rPr>
          <w:b w:val="0"/>
          <w:szCs w:val="22"/>
        </w:rPr>
      </w:pPr>
      <w:r>
        <w:rPr>
          <w:b w:val="0"/>
          <w:szCs w:val="22"/>
        </w:rPr>
        <w:t xml:space="preserve">Through the </w:t>
      </w:r>
      <w:r w:rsidR="000B5853" w:rsidRPr="004D099F">
        <w:rPr>
          <w:b w:val="0"/>
          <w:szCs w:val="22"/>
        </w:rPr>
        <w:t xml:space="preserve">HVCI </w:t>
      </w:r>
      <w:r>
        <w:rPr>
          <w:b w:val="0"/>
          <w:szCs w:val="22"/>
        </w:rPr>
        <w:t xml:space="preserve">process it was highlighted </w:t>
      </w:r>
      <w:r w:rsidR="000B5853" w:rsidRPr="004D099F">
        <w:rPr>
          <w:b w:val="0"/>
          <w:szCs w:val="22"/>
        </w:rPr>
        <w:t>that it was not cost effective for all trucks in Australia to have telematic devices in their vehicles. HVCI also recommended that specific sections of the industry and different sized operators would need alternative charging systems. This would result in varied compliance and enforcement burdens. Large operators with telematic capabilities cou</w:t>
      </w:r>
      <w:r w:rsidR="00AA560C">
        <w:rPr>
          <w:b w:val="0"/>
          <w:szCs w:val="22"/>
        </w:rPr>
        <w:t>ld use a fully automated system;</w:t>
      </w:r>
      <w:r w:rsidR="000B5853" w:rsidRPr="004D099F">
        <w:rPr>
          <w:b w:val="0"/>
          <w:szCs w:val="22"/>
        </w:rPr>
        <w:t xml:space="preserve"> however, an operator with a few trucks (which makes up 89% of the industry</w:t>
      </w:r>
      <w:r w:rsidR="000B5853" w:rsidRPr="004D099F">
        <w:rPr>
          <w:rStyle w:val="FootnoteReference"/>
          <w:rFonts w:cs="Arial"/>
          <w:b w:val="0"/>
          <w:szCs w:val="22"/>
        </w:rPr>
        <w:footnoteReference w:id="19"/>
      </w:r>
      <w:r w:rsidR="000B5853" w:rsidRPr="004D099F">
        <w:rPr>
          <w:b w:val="0"/>
          <w:szCs w:val="22"/>
        </w:rPr>
        <w:t xml:space="preserve">) would be </w:t>
      </w:r>
      <w:r w:rsidR="00903DA9">
        <w:rPr>
          <w:b w:val="0"/>
          <w:szCs w:val="22"/>
        </w:rPr>
        <w:t>expected to complete extra self-</w:t>
      </w:r>
      <w:r w:rsidR="000B5853" w:rsidRPr="004D099F">
        <w:rPr>
          <w:b w:val="0"/>
          <w:szCs w:val="22"/>
        </w:rPr>
        <w:t xml:space="preserve">declaration through additional paperwork and would undergo further compliance and enforcement burdens. </w:t>
      </w:r>
    </w:p>
    <w:p w14:paraId="0B1C6280" w14:textId="77777777" w:rsidR="000B5853" w:rsidRPr="004D099F" w:rsidRDefault="000B5853" w:rsidP="000B5853">
      <w:pPr>
        <w:pStyle w:val="BodyText2"/>
        <w:rPr>
          <w:b w:val="0"/>
          <w:szCs w:val="22"/>
        </w:rPr>
      </w:pPr>
    </w:p>
    <w:p w14:paraId="5AFB7707" w14:textId="0577F61C" w:rsidR="000B5853" w:rsidRPr="004D099F" w:rsidRDefault="000B5853" w:rsidP="000B5853">
      <w:pPr>
        <w:pStyle w:val="BodyText2"/>
        <w:rPr>
          <w:b w:val="0"/>
          <w:szCs w:val="22"/>
        </w:rPr>
      </w:pPr>
      <w:r w:rsidRPr="004D099F">
        <w:rPr>
          <w:b w:val="0"/>
          <w:szCs w:val="22"/>
        </w:rPr>
        <w:t xml:space="preserve">HVCI MDL favours large operators and </w:t>
      </w:r>
      <w:r w:rsidR="00461052">
        <w:rPr>
          <w:b w:val="0"/>
          <w:szCs w:val="22"/>
        </w:rPr>
        <w:t>would</w:t>
      </w:r>
      <w:r w:rsidRPr="004D099F">
        <w:rPr>
          <w:b w:val="0"/>
          <w:szCs w:val="22"/>
        </w:rPr>
        <w:t xml:space="preserve"> overburden smaller operators and small business. Compare this to the current system where the </w:t>
      </w:r>
      <w:r w:rsidR="00467AA4">
        <w:rPr>
          <w:b w:val="0"/>
          <w:szCs w:val="22"/>
        </w:rPr>
        <w:t>ATO</w:t>
      </w:r>
      <w:r w:rsidRPr="004D099F">
        <w:rPr>
          <w:b w:val="0"/>
          <w:szCs w:val="22"/>
        </w:rPr>
        <w:t xml:space="preserve"> affords small businesses additional assistance.</w:t>
      </w:r>
      <w:r w:rsidR="00467AA4">
        <w:rPr>
          <w:b w:val="0"/>
          <w:szCs w:val="22"/>
        </w:rPr>
        <w:t xml:space="preserve"> Moving to a fee for service </w:t>
      </w:r>
      <w:r w:rsidRPr="004D099F">
        <w:rPr>
          <w:b w:val="0"/>
          <w:szCs w:val="22"/>
        </w:rPr>
        <w:t xml:space="preserve">risks leaving small business exposed to a greater extent financially.  One currently cheats the ATO at one’s own peril and benchmarks set by the ATO to identify at risk businesses are a better way to assess risk of default than simply arbitrarily dividing up the industry. </w:t>
      </w:r>
    </w:p>
    <w:p w14:paraId="7C124006" w14:textId="77777777" w:rsidR="000B5853" w:rsidRPr="004D099F" w:rsidRDefault="000B5853" w:rsidP="000B5853">
      <w:pPr>
        <w:pStyle w:val="NormalWeb"/>
        <w:spacing w:before="0" w:beforeAutospacing="0" w:after="0" w:afterAutospacing="0"/>
        <w:rPr>
          <w:rFonts w:ascii="Arial" w:hAnsi="Arial" w:cs="Arial"/>
          <w:iCs/>
          <w:sz w:val="22"/>
          <w:szCs w:val="22"/>
        </w:rPr>
      </w:pPr>
    </w:p>
    <w:p w14:paraId="632F2961" w14:textId="77777777" w:rsidR="000B5853" w:rsidRPr="004D099F" w:rsidRDefault="000B5853" w:rsidP="000B5853">
      <w:pPr>
        <w:pStyle w:val="NormalWeb"/>
        <w:spacing w:before="0" w:beforeAutospacing="0" w:after="0" w:afterAutospacing="0"/>
        <w:rPr>
          <w:rFonts w:ascii="Arial" w:hAnsi="Arial" w:cs="Arial"/>
          <w:iCs/>
          <w:sz w:val="22"/>
          <w:szCs w:val="22"/>
        </w:rPr>
      </w:pPr>
      <w:r w:rsidRPr="004D099F">
        <w:rPr>
          <w:rFonts w:ascii="Arial" w:hAnsi="Arial" w:cs="Arial"/>
          <w:iCs/>
          <w:sz w:val="22"/>
          <w:szCs w:val="22"/>
        </w:rPr>
        <w:t xml:space="preserve">It must also be remembered that if MDL pricing is implemented, operators will still have to purchase fuel and claim a full fuel tax credit. This will have a significant effect on cash flows for operators. Operators will have two charges systems, two sets of administrative burdens and two sets of compliance processes. </w:t>
      </w:r>
    </w:p>
    <w:p w14:paraId="3EF1417D" w14:textId="77777777" w:rsidR="00467AA4" w:rsidRPr="004D099F" w:rsidRDefault="00467AA4" w:rsidP="000B5853">
      <w:pPr>
        <w:pStyle w:val="NormalWeb"/>
        <w:spacing w:before="0" w:beforeAutospacing="0" w:after="0" w:afterAutospacing="0"/>
        <w:rPr>
          <w:rFonts w:ascii="Arial" w:hAnsi="Arial" w:cs="Arial"/>
          <w:iCs/>
          <w:sz w:val="22"/>
          <w:szCs w:val="22"/>
        </w:rPr>
      </w:pPr>
    </w:p>
    <w:p w14:paraId="4D517551" w14:textId="77777777" w:rsidR="000B5853" w:rsidRPr="004D099F" w:rsidRDefault="000B5853" w:rsidP="000B5853">
      <w:pPr>
        <w:pStyle w:val="NormalWeb"/>
        <w:spacing w:before="0" w:beforeAutospacing="0" w:after="0" w:afterAutospacing="0"/>
        <w:rPr>
          <w:rFonts w:ascii="Arial" w:hAnsi="Arial" w:cs="Arial"/>
          <w:iCs/>
          <w:sz w:val="22"/>
          <w:szCs w:val="22"/>
        </w:rPr>
      </w:pPr>
      <w:r w:rsidRPr="004D099F">
        <w:rPr>
          <w:rFonts w:ascii="Arial" w:hAnsi="Arial" w:cs="Arial"/>
          <w:iCs/>
          <w:sz w:val="22"/>
          <w:szCs w:val="22"/>
        </w:rPr>
        <w:t>MDL would greatly increase the cost of transporting freight in rural and regional areas, because roads in these locations are built to a lighter standard than major highways. To meet the cost of road wear, charges for local roads in rural areas would need to be 25 times higher than the charges for freeways</w:t>
      </w:r>
      <w:r w:rsidRPr="004D099F">
        <w:rPr>
          <w:rStyle w:val="FootnoteReference"/>
          <w:rFonts w:ascii="Arial" w:hAnsi="Arial" w:cs="Arial"/>
          <w:iCs/>
          <w:sz w:val="22"/>
          <w:szCs w:val="22"/>
        </w:rPr>
        <w:footnoteReference w:id="20"/>
      </w:r>
      <w:r w:rsidRPr="004D099F">
        <w:rPr>
          <w:rFonts w:ascii="Arial" w:hAnsi="Arial" w:cs="Arial"/>
          <w:iCs/>
          <w:sz w:val="22"/>
          <w:szCs w:val="22"/>
        </w:rPr>
        <w:t>.</w:t>
      </w:r>
    </w:p>
    <w:p w14:paraId="490E7D84" w14:textId="77777777" w:rsidR="000B5853" w:rsidRPr="004D099F" w:rsidRDefault="000B5853" w:rsidP="000B5853">
      <w:pPr>
        <w:pStyle w:val="BodyText2"/>
        <w:rPr>
          <w:b w:val="0"/>
          <w:szCs w:val="22"/>
        </w:rPr>
      </w:pPr>
    </w:p>
    <w:p w14:paraId="4BF209AB" w14:textId="2F043DAD" w:rsidR="000B5853" w:rsidRPr="004D099F" w:rsidRDefault="00467AA4" w:rsidP="000B5853">
      <w:pPr>
        <w:pStyle w:val="BodyText2"/>
        <w:rPr>
          <w:b w:val="0"/>
          <w:szCs w:val="22"/>
        </w:rPr>
      </w:pPr>
      <w:r>
        <w:rPr>
          <w:b w:val="0"/>
          <w:szCs w:val="22"/>
        </w:rPr>
        <w:t xml:space="preserve">It has been stated by multiple government agencies that the implementation of road user </w:t>
      </w:r>
      <w:r w:rsidR="000B5853" w:rsidRPr="004D099F">
        <w:rPr>
          <w:b w:val="0"/>
          <w:szCs w:val="22"/>
        </w:rPr>
        <w:t xml:space="preserve">charges should have a neutral revenue effect; however, this </w:t>
      </w:r>
      <w:r w:rsidR="00461052">
        <w:rPr>
          <w:b w:val="0"/>
          <w:szCs w:val="22"/>
        </w:rPr>
        <w:t>would</w:t>
      </w:r>
      <w:r w:rsidR="000B5853" w:rsidRPr="004D099F">
        <w:rPr>
          <w:b w:val="0"/>
          <w:szCs w:val="22"/>
        </w:rPr>
        <w:t xml:space="preserve"> not be possible </w:t>
      </w:r>
      <w:r w:rsidR="00461052">
        <w:rPr>
          <w:b w:val="0"/>
          <w:szCs w:val="22"/>
        </w:rPr>
        <w:t xml:space="preserve">at present </w:t>
      </w:r>
      <w:r w:rsidR="000B5853" w:rsidRPr="004D099F">
        <w:rPr>
          <w:b w:val="0"/>
          <w:szCs w:val="22"/>
        </w:rPr>
        <w:t>given the large shifts in technology requirements needed for distance and location charges for light vehicles a</w:t>
      </w:r>
      <w:r w:rsidR="004B17AA">
        <w:rPr>
          <w:b w:val="0"/>
          <w:szCs w:val="22"/>
        </w:rPr>
        <w:t>nd MDL charging devices or self-</w:t>
      </w:r>
      <w:r w:rsidR="000B5853" w:rsidRPr="004D099F">
        <w:rPr>
          <w:b w:val="0"/>
          <w:szCs w:val="22"/>
        </w:rPr>
        <w:t xml:space="preserve">declaration for heavy vehicles. </w:t>
      </w:r>
    </w:p>
    <w:p w14:paraId="1F69C15C" w14:textId="77777777" w:rsidR="000B5853" w:rsidRPr="004D099F" w:rsidRDefault="000B5853" w:rsidP="000B5853">
      <w:pPr>
        <w:pStyle w:val="BodyText2"/>
        <w:rPr>
          <w:b w:val="0"/>
        </w:rPr>
      </w:pPr>
    </w:p>
    <w:p w14:paraId="372BB0E7" w14:textId="055FE91C" w:rsidR="000B5853" w:rsidRPr="004D099F" w:rsidRDefault="000B5853" w:rsidP="000B5853">
      <w:pPr>
        <w:pStyle w:val="BodyText2"/>
        <w:rPr>
          <w:b w:val="0"/>
        </w:rPr>
      </w:pPr>
      <w:r w:rsidRPr="004D099F">
        <w:rPr>
          <w:b w:val="0"/>
        </w:rPr>
        <w:t xml:space="preserve">User charges must go hand in hand with the hypothecation of that tax, regardless of a user charge the money raised from that enterprise should go into specific revenue via a road fund </w:t>
      </w:r>
      <w:r w:rsidR="00461052">
        <w:rPr>
          <w:b w:val="0"/>
        </w:rPr>
        <w:t>or equivalent</w:t>
      </w:r>
      <w:r w:rsidRPr="004D099F">
        <w:rPr>
          <w:b w:val="0"/>
        </w:rPr>
        <w:t>. This is the only way the public or interest group</w:t>
      </w:r>
      <w:r w:rsidR="00461052">
        <w:rPr>
          <w:b w:val="0"/>
        </w:rPr>
        <w:t>s</w:t>
      </w:r>
      <w:r w:rsidRPr="004D099F">
        <w:rPr>
          <w:b w:val="0"/>
        </w:rPr>
        <w:t xml:space="preserve"> </w:t>
      </w:r>
      <w:r w:rsidR="00461052">
        <w:rPr>
          <w:b w:val="0"/>
        </w:rPr>
        <w:t>would</w:t>
      </w:r>
      <w:r w:rsidRPr="004D099F">
        <w:rPr>
          <w:b w:val="0"/>
        </w:rPr>
        <w:t xml:space="preserve"> support or have buy in to user charges. </w:t>
      </w:r>
    </w:p>
    <w:p w14:paraId="40EADC31" w14:textId="77777777" w:rsidR="00D74127" w:rsidRDefault="00D74127" w:rsidP="000B5853">
      <w:pPr>
        <w:pStyle w:val="BodyText2"/>
      </w:pPr>
    </w:p>
    <w:p w14:paraId="5646E120" w14:textId="62EE0474" w:rsidR="00D74127" w:rsidRPr="004D099F" w:rsidRDefault="00D74127" w:rsidP="00D74127">
      <w:pPr>
        <w:pStyle w:val="BodyText2"/>
      </w:pPr>
      <w:r w:rsidRPr="004D099F">
        <w:t xml:space="preserve">Recommendation </w:t>
      </w:r>
      <w:r w:rsidR="006975D4">
        <w:t>4</w:t>
      </w:r>
    </w:p>
    <w:p w14:paraId="78377172" w14:textId="77777777" w:rsidR="00D74127" w:rsidRPr="004D099F" w:rsidRDefault="00D74127" w:rsidP="00D74127">
      <w:pPr>
        <w:pStyle w:val="BodyText2"/>
      </w:pPr>
    </w:p>
    <w:p w14:paraId="0208270B" w14:textId="77777777" w:rsidR="00D74127" w:rsidRPr="004D099F" w:rsidRDefault="00D74127" w:rsidP="00D74127">
      <w:pPr>
        <w:rPr>
          <w:rFonts w:ascii="Arial" w:hAnsi="Arial" w:cs="Arial"/>
        </w:rPr>
      </w:pPr>
      <w:r w:rsidRPr="004D099F">
        <w:rPr>
          <w:rFonts w:ascii="Arial" w:hAnsi="Arial" w:cs="Arial"/>
        </w:rPr>
        <w:t xml:space="preserve">The Government should not implement direct road user charges until it can be proven that the exercise will be revenue neutral and the warranted complexity does not burden the heavy vehicle industry. </w:t>
      </w:r>
    </w:p>
    <w:p w14:paraId="7F13129D" w14:textId="77777777" w:rsidR="006975D4" w:rsidRDefault="006975D4" w:rsidP="000B5853">
      <w:pPr>
        <w:pStyle w:val="BodyText2"/>
      </w:pPr>
    </w:p>
    <w:p w14:paraId="462A9CED" w14:textId="77777777" w:rsidR="00D74127" w:rsidRDefault="00D74127" w:rsidP="000B5853">
      <w:pPr>
        <w:pStyle w:val="BodyText2"/>
      </w:pPr>
    </w:p>
    <w:p w14:paraId="3B878010" w14:textId="0D62E2B1" w:rsidR="00D74127" w:rsidRPr="00D74127" w:rsidRDefault="00D74127" w:rsidP="009D5312">
      <w:pPr>
        <w:pStyle w:val="Heading1"/>
        <w:keepNext/>
        <w:rPr>
          <w:szCs w:val="22"/>
        </w:rPr>
      </w:pPr>
      <w:bookmarkStart w:id="9" w:name="_Toc420922103"/>
      <w:r w:rsidRPr="00D74127">
        <w:rPr>
          <w:szCs w:val="22"/>
        </w:rPr>
        <w:lastRenderedPageBreak/>
        <w:t>Supply side reform</w:t>
      </w:r>
      <w:bookmarkEnd w:id="9"/>
    </w:p>
    <w:p w14:paraId="70B3B856" w14:textId="77777777" w:rsidR="00D74127" w:rsidRDefault="00D74127" w:rsidP="009D5312">
      <w:pPr>
        <w:pStyle w:val="BodyText2"/>
        <w:keepNext/>
      </w:pPr>
    </w:p>
    <w:p w14:paraId="42D37C1D" w14:textId="023DF10F" w:rsidR="00D74127" w:rsidRDefault="00D74127" w:rsidP="009D5312">
      <w:pPr>
        <w:pStyle w:val="BodyText2"/>
        <w:keepNext/>
        <w:rPr>
          <w:b w:val="0"/>
        </w:rPr>
      </w:pPr>
      <w:r w:rsidRPr="00461052">
        <w:rPr>
          <w:b w:val="0"/>
        </w:rPr>
        <w:t xml:space="preserve">While road user charges may be seen as an economically sound argument </w:t>
      </w:r>
      <w:r>
        <w:rPr>
          <w:b w:val="0"/>
        </w:rPr>
        <w:t xml:space="preserve">the greatest productivity benefits will be found in supply side reform. </w:t>
      </w:r>
    </w:p>
    <w:p w14:paraId="39B3A32B" w14:textId="77777777" w:rsidR="00D74127" w:rsidRPr="004B17AA" w:rsidRDefault="00D74127" w:rsidP="004B17AA">
      <w:pPr>
        <w:pStyle w:val="Heading2"/>
        <w:spacing w:before="0"/>
        <w:rPr>
          <w:rFonts w:ascii="Arial" w:hAnsi="Arial" w:cs="Arial"/>
          <w:color w:val="002060"/>
          <w:sz w:val="22"/>
          <w:szCs w:val="22"/>
        </w:rPr>
      </w:pPr>
    </w:p>
    <w:p w14:paraId="5345F532" w14:textId="76C67D4E" w:rsidR="00461052" w:rsidRPr="004B17AA" w:rsidRDefault="004B17AA" w:rsidP="004B17AA">
      <w:pPr>
        <w:pStyle w:val="Heading2"/>
        <w:spacing w:before="0"/>
        <w:rPr>
          <w:rFonts w:ascii="Arial" w:hAnsi="Arial" w:cs="Arial"/>
          <w:color w:val="002060"/>
          <w:sz w:val="22"/>
          <w:szCs w:val="22"/>
        </w:rPr>
      </w:pPr>
      <w:bookmarkStart w:id="10" w:name="_Toc420922104"/>
      <w:r w:rsidRPr="004B17AA">
        <w:rPr>
          <w:rFonts w:ascii="Arial" w:hAnsi="Arial" w:cs="Arial"/>
          <w:color w:val="002060"/>
          <w:sz w:val="22"/>
          <w:szCs w:val="22"/>
        </w:rPr>
        <w:t xml:space="preserve">7.1 </w:t>
      </w:r>
      <w:r w:rsidR="00D74127" w:rsidRPr="004B17AA">
        <w:rPr>
          <w:rFonts w:ascii="Arial" w:hAnsi="Arial" w:cs="Arial"/>
          <w:color w:val="002060"/>
          <w:sz w:val="22"/>
          <w:szCs w:val="22"/>
        </w:rPr>
        <w:t>Short term s</w:t>
      </w:r>
      <w:r w:rsidR="00461052" w:rsidRPr="004B17AA">
        <w:rPr>
          <w:rFonts w:ascii="Arial" w:hAnsi="Arial" w:cs="Arial"/>
          <w:color w:val="002060"/>
          <w:sz w:val="22"/>
          <w:szCs w:val="22"/>
        </w:rPr>
        <w:t>upply side reform</w:t>
      </w:r>
      <w:bookmarkEnd w:id="10"/>
    </w:p>
    <w:p w14:paraId="148C22EB" w14:textId="77777777" w:rsidR="00281242" w:rsidRDefault="00281242" w:rsidP="009D5312">
      <w:pPr>
        <w:pStyle w:val="BodyText2"/>
        <w:keepNext/>
        <w:rPr>
          <w:b w:val="0"/>
        </w:rPr>
      </w:pPr>
    </w:p>
    <w:p w14:paraId="10E1A2EF" w14:textId="2594FA0F" w:rsidR="00281242" w:rsidRDefault="00281242" w:rsidP="009D5312">
      <w:pPr>
        <w:pStyle w:val="BodyText2"/>
        <w:keepNext/>
        <w:rPr>
          <w:b w:val="0"/>
        </w:rPr>
      </w:pPr>
      <w:r>
        <w:rPr>
          <w:b w:val="0"/>
        </w:rPr>
        <w:t>When HVCI was shut down</w:t>
      </w:r>
      <w:r w:rsidR="0012381A">
        <w:rPr>
          <w:b w:val="0"/>
        </w:rPr>
        <w:t xml:space="preserve"> in 2014 the policy issues were transferred to the Department of Infrastructure and Regional Development </w:t>
      </w:r>
      <w:r w:rsidR="00D74127">
        <w:rPr>
          <w:b w:val="0"/>
        </w:rPr>
        <w:t xml:space="preserve">(DIRD) </w:t>
      </w:r>
      <w:r w:rsidR="0012381A">
        <w:rPr>
          <w:b w:val="0"/>
        </w:rPr>
        <w:t xml:space="preserve">who recommended a range of short term immediate measures to improve the productivity of road supply, this included: </w:t>
      </w:r>
    </w:p>
    <w:p w14:paraId="18CFAEF3" w14:textId="77777777" w:rsidR="0012381A" w:rsidRDefault="0012381A" w:rsidP="000B5853">
      <w:pPr>
        <w:pStyle w:val="BodyText2"/>
        <w:rPr>
          <w:b w:val="0"/>
        </w:rPr>
      </w:pPr>
    </w:p>
    <w:p w14:paraId="51BA9F56" w14:textId="77777777" w:rsidR="0012381A" w:rsidRPr="0012381A" w:rsidRDefault="0012381A" w:rsidP="0012381A">
      <w:pPr>
        <w:pStyle w:val="ListParagraph"/>
        <w:numPr>
          <w:ilvl w:val="0"/>
          <w:numId w:val="15"/>
        </w:numPr>
        <w:spacing w:after="0" w:line="240" w:lineRule="auto"/>
        <w:rPr>
          <w:rFonts w:ascii="Arial" w:hAnsi="Arial" w:cs="Arial"/>
          <w:szCs w:val="20"/>
          <w:lang w:val="en-US"/>
        </w:rPr>
      </w:pPr>
      <w:r w:rsidRPr="0012381A">
        <w:rPr>
          <w:rFonts w:ascii="Arial" w:hAnsi="Arial" w:cs="Arial"/>
          <w:szCs w:val="20"/>
          <w:lang w:val="en-US"/>
        </w:rPr>
        <w:t xml:space="preserve">establishing asset registers including condition, </w:t>
      </w:r>
    </w:p>
    <w:p w14:paraId="5872E209" w14:textId="77777777" w:rsidR="0012381A" w:rsidRPr="0012381A" w:rsidRDefault="0012381A" w:rsidP="0012381A">
      <w:pPr>
        <w:pStyle w:val="ListParagraph"/>
        <w:numPr>
          <w:ilvl w:val="0"/>
          <w:numId w:val="15"/>
        </w:numPr>
        <w:spacing w:after="0" w:line="240" w:lineRule="auto"/>
        <w:rPr>
          <w:rFonts w:ascii="Arial" w:hAnsi="Arial" w:cs="Arial"/>
          <w:szCs w:val="20"/>
          <w:lang w:val="en-US"/>
        </w:rPr>
      </w:pPr>
      <w:r w:rsidRPr="0012381A">
        <w:rPr>
          <w:rFonts w:ascii="Arial" w:hAnsi="Arial" w:cs="Arial"/>
          <w:szCs w:val="20"/>
          <w:lang w:val="en-US"/>
        </w:rPr>
        <w:t>using road usage data for demand forecasting,</w:t>
      </w:r>
    </w:p>
    <w:p w14:paraId="6A5341F4" w14:textId="77777777" w:rsidR="0012381A" w:rsidRDefault="0012381A" w:rsidP="0012381A">
      <w:pPr>
        <w:pStyle w:val="ListParagraph"/>
        <w:numPr>
          <w:ilvl w:val="0"/>
          <w:numId w:val="15"/>
        </w:numPr>
        <w:spacing w:after="0" w:line="240" w:lineRule="auto"/>
        <w:rPr>
          <w:rFonts w:ascii="Arial" w:hAnsi="Arial" w:cs="Arial"/>
          <w:szCs w:val="20"/>
          <w:lang w:val="en-US"/>
        </w:rPr>
      </w:pPr>
      <w:r w:rsidRPr="0012381A">
        <w:rPr>
          <w:rFonts w:ascii="Arial" w:hAnsi="Arial" w:cs="Arial"/>
          <w:szCs w:val="20"/>
          <w:lang w:val="en-US"/>
        </w:rPr>
        <w:t xml:space="preserve">public annual expenditure plans, </w:t>
      </w:r>
    </w:p>
    <w:p w14:paraId="6B4F030D" w14:textId="171624B4" w:rsidR="0012381A" w:rsidRPr="0012381A" w:rsidRDefault="0012381A" w:rsidP="0012381A">
      <w:pPr>
        <w:pStyle w:val="ListParagraph"/>
        <w:numPr>
          <w:ilvl w:val="0"/>
          <w:numId w:val="15"/>
        </w:numPr>
        <w:spacing w:after="0" w:line="240" w:lineRule="auto"/>
        <w:rPr>
          <w:rFonts w:ascii="Arial" w:hAnsi="Arial" w:cs="Arial"/>
          <w:szCs w:val="20"/>
          <w:lang w:val="en-US"/>
        </w:rPr>
      </w:pPr>
      <w:r w:rsidRPr="0012381A">
        <w:rPr>
          <w:rFonts w:ascii="Arial" w:hAnsi="Arial" w:cs="Arial"/>
          <w:szCs w:val="20"/>
          <w:lang w:val="en-US"/>
        </w:rPr>
        <w:t>industry being able to negotiate with local government for h</w:t>
      </w:r>
      <w:r>
        <w:rPr>
          <w:rFonts w:ascii="Arial" w:hAnsi="Arial" w:cs="Arial"/>
          <w:szCs w:val="20"/>
          <w:lang w:val="en-US"/>
        </w:rPr>
        <w:t xml:space="preserve">igh productivity vehicle access, </w:t>
      </w:r>
      <w:r w:rsidRPr="0012381A">
        <w:rPr>
          <w:rFonts w:ascii="Arial" w:hAnsi="Arial" w:cs="Arial"/>
          <w:szCs w:val="20"/>
          <w:lang w:val="en-US"/>
        </w:rPr>
        <w:t>and</w:t>
      </w:r>
    </w:p>
    <w:p w14:paraId="5588CBF4" w14:textId="76565DA4" w:rsidR="0012381A" w:rsidRDefault="0012381A" w:rsidP="0012381A">
      <w:pPr>
        <w:pStyle w:val="ListParagraph"/>
        <w:numPr>
          <w:ilvl w:val="0"/>
          <w:numId w:val="15"/>
        </w:numPr>
        <w:spacing w:after="0" w:line="240" w:lineRule="auto"/>
        <w:rPr>
          <w:rFonts w:ascii="Arial" w:hAnsi="Arial" w:cs="Arial"/>
          <w:szCs w:val="20"/>
          <w:lang w:val="en-US"/>
        </w:rPr>
      </w:pPr>
      <w:r w:rsidRPr="0012381A">
        <w:rPr>
          <w:rFonts w:ascii="Arial" w:hAnsi="Arial" w:cs="Arial"/>
          <w:szCs w:val="20"/>
          <w:lang w:val="en-US"/>
        </w:rPr>
        <w:t xml:space="preserve">how to get private sector interested in the road investment. </w:t>
      </w:r>
    </w:p>
    <w:p w14:paraId="2C7AAF62" w14:textId="77777777" w:rsidR="00D74127" w:rsidRDefault="00D74127" w:rsidP="0012381A">
      <w:pPr>
        <w:rPr>
          <w:rFonts w:ascii="Arial" w:hAnsi="Arial" w:cs="Arial"/>
          <w:szCs w:val="20"/>
          <w:lang w:val="en-US"/>
        </w:rPr>
      </w:pPr>
    </w:p>
    <w:p w14:paraId="53A7F903" w14:textId="64872093" w:rsidR="0012381A" w:rsidRDefault="0012381A" w:rsidP="0012381A">
      <w:pPr>
        <w:rPr>
          <w:rFonts w:ascii="Arial" w:hAnsi="Arial" w:cs="Arial"/>
          <w:szCs w:val="20"/>
          <w:lang w:val="en-US"/>
        </w:rPr>
      </w:pPr>
      <w:r>
        <w:rPr>
          <w:rFonts w:ascii="Arial" w:hAnsi="Arial" w:cs="Arial"/>
          <w:szCs w:val="20"/>
          <w:lang w:val="en-US"/>
        </w:rPr>
        <w:t xml:space="preserve">The </w:t>
      </w:r>
      <w:r w:rsidR="00D74127">
        <w:rPr>
          <w:rFonts w:ascii="Arial" w:hAnsi="Arial" w:cs="Arial"/>
          <w:szCs w:val="20"/>
          <w:lang w:val="en-US"/>
        </w:rPr>
        <w:t xml:space="preserve">ATA supports the DIRD recommendations are a sensible short term approach to supply side road reform. </w:t>
      </w:r>
    </w:p>
    <w:p w14:paraId="7A16EF43" w14:textId="77777777" w:rsidR="0012381A" w:rsidRPr="0012381A" w:rsidRDefault="0012381A" w:rsidP="0012381A">
      <w:pPr>
        <w:rPr>
          <w:rFonts w:ascii="Arial" w:hAnsi="Arial" w:cs="Arial"/>
          <w:szCs w:val="20"/>
          <w:lang w:val="en-US"/>
        </w:rPr>
      </w:pPr>
    </w:p>
    <w:p w14:paraId="0DF5275F" w14:textId="6B08DBDC" w:rsidR="0012381A" w:rsidRPr="004B17AA" w:rsidRDefault="004B17AA" w:rsidP="004B17AA">
      <w:pPr>
        <w:pStyle w:val="Heading2"/>
        <w:spacing w:before="0"/>
        <w:rPr>
          <w:rFonts w:ascii="Arial" w:hAnsi="Arial" w:cs="Arial"/>
          <w:color w:val="002060"/>
          <w:sz w:val="22"/>
          <w:szCs w:val="22"/>
        </w:rPr>
      </w:pPr>
      <w:bookmarkStart w:id="11" w:name="_Toc420922105"/>
      <w:r w:rsidRPr="004B17AA">
        <w:rPr>
          <w:rFonts w:ascii="Arial" w:hAnsi="Arial" w:cs="Arial"/>
          <w:color w:val="002060"/>
          <w:sz w:val="22"/>
          <w:szCs w:val="22"/>
        </w:rPr>
        <w:t xml:space="preserve">7.2 </w:t>
      </w:r>
      <w:r w:rsidR="00D74127" w:rsidRPr="004B17AA">
        <w:rPr>
          <w:rFonts w:ascii="Arial" w:hAnsi="Arial" w:cs="Arial"/>
          <w:color w:val="002060"/>
          <w:sz w:val="22"/>
          <w:szCs w:val="22"/>
        </w:rPr>
        <w:t>Medium term supply side reform</w:t>
      </w:r>
      <w:bookmarkEnd w:id="11"/>
    </w:p>
    <w:p w14:paraId="1A5F1192" w14:textId="77777777" w:rsidR="00D74127" w:rsidRPr="0012381A" w:rsidRDefault="00D74127" w:rsidP="000B5853">
      <w:pPr>
        <w:pStyle w:val="BodyText2"/>
        <w:rPr>
          <w:sz w:val="24"/>
        </w:rPr>
      </w:pPr>
    </w:p>
    <w:p w14:paraId="322E3FE6" w14:textId="680BDB21" w:rsidR="0012381A" w:rsidRPr="0012381A" w:rsidRDefault="0012381A" w:rsidP="0012381A">
      <w:pPr>
        <w:pStyle w:val="BodyText2"/>
        <w:rPr>
          <w:b w:val="0"/>
        </w:rPr>
      </w:pPr>
      <w:r w:rsidRPr="0012381A">
        <w:rPr>
          <w:b w:val="0"/>
        </w:rPr>
        <w:t>Later in 2014 the Productivity Commission also recommend</w:t>
      </w:r>
      <w:r>
        <w:rPr>
          <w:b w:val="0"/>
        </w:rPr>
        <w:t>ed</w:t>
      </w:r>
      <w:r w:rsidRPr="0012381A">
        <w:rPr>
          <w:b w:val="0"/>
        </w:rPr>
        <w:t xml:space="preserve"> reforms to supply side and road provision</w:t>
      </w:r>
      <w:r w:rsidR="00D74127">
        <w:rPr>
          <w:b w:val="0"/>
        </w:rPr>
        <w:t xml:space="preserve"> </w:t>
      </w:r>
      <w:r w:rsidR="00D74127" w:rsidRPr="00D74127">
        <w:rPr>
          <w:b w:val="0"/>
        </w:rPr>
        <w:t>reform of road agencies</w:t>
      </w:r>
      <w:r w:rsidR="00D74127" w:rsidRPr="00D74127">
        <w:t xml:space="preserve"> </w:t>
      </w:r>
      <w:r w:rsidR="00D74127">
        <w:rPr>
          <w:b w:val="0"/>
        </w:rPr>
        <w:t>that could be applied in the medium to long term</w:t>
      </w:r>
      <w:r w:rsidRPr="0012381A">
        <w:rPr>
          <w:b w:val="0"/>
        </w:rPr>
        <w:t xml:space="preserve">. </w:t>
      </w:r>
      <w:r>
        <w:rPr>
          <w:b w:val="0"/>
        </w:rPr>
        <w:t xml:space="preserve">The industry supports the following </w:t>
      </w:r>
      <w:r w:rsidRPr="0012381A">
        <w:rPr>
          <w:b w:val="0"/>
        </w:rPr>
        <w:t xml:space="preserve">Productivity Commission recommendations </w:t>
      </w:r>
      <w:r>
        <w:rPr>
          <w:b w:val="0"/>
        </w:rPr>
        <w:t>being</w:t>
      </w:r>
      <w:r w:rsidRPr="0012381A">
        <w:rPr>
          <w:b w:val="0"/>
        </w:rPr>
        <w:t xml:space="preserve"> adopted. </w:t>
      </w:r>
    </w:p>
    <w:p w14:paraId="4C3F4CF9" w14:textId="77777777" w:rsidR="0012381A" w:rsidRDefault="0012381A" w:rsidP="0012381A">
      <w:pPr>
        <w:rPr>
          <w:rFonts w:ascii="Arial" w:eastAsiaTheme="minorHAnsi" w:hAnsi="Arial" w:cs="Arial"/>
        </w:rPr>
      </w:pPr>
    </w:p>
    <w:p w14:paraId="3356252F" w14:textId="77777777" w:rsidR="0012381A" w:rsidRPr="00D74127" w:rsidRDefault="0012381A" w:rsidP="0012381A">
      <w:pPr>
        <w:rPr>
          <w:rFonts w:ascii="Arial" w:eastAsiaTheme="minorHAnsi" w:hAnsi="Arial" w:cs="Arial"/>
          <w:i/>
        </w:rPr>
      </w:pPr>
      <w:r w:rsidRPr="00D74127">
        <w:rPr>
          <w:rFonts w:ascii="Arial" w:eastAsiaTheme="minorHAnsi" w:hAnsi="Arial" w:cs="Arial"/>
          <w:i/>
        </w:rPr>
        <w:t>Conditional funding for states</w:t>
      </w:r>
    </w:p>
    <w:p w14:paraId="0ADD529F" w14:textId="77777777" w:rsidR="0012381A" w:rsidRPr="00CF7294" w:rsidRDefault="0012381A" w:rsidP="0012381A">
      <w:pPr>
        <w:rPr>
          <w:rFonts w:ascii="Arial" w:eastAsiaTheme="minorHAnsi" w:hAnsi="Arial" w:cs="Arial"/>
          <w:b/>
        </w:rPr>
      </w:pPr>
    </w:p>
    <w:p w14:paraId="67B7495E" w14:textId="77777777" w:rsidR="0012381A" w:rsidRPr="00CF7294" w:rsidRDefault="0012381A" w:rsidP="0012381A">
      <w:pPr>
        <w:rPr>
          <w:rFonts w:ascii="Arial" w:eastAsiaTheme="minorHAnsi" w:hAnsi="Arial" w:cs="Arial"/>
          <w:bCs/>
        </w:rPr>
      </w:pPr>
      <w:r w:rsidRPr="00CF7294">
        <w:rPr>
          <w:rFonts w:ascii="Arial" w:eastAsiaTheme="minorHAnsi" w:hAnsi="Arial" w:cs="Arial"/>
          <w:bCs/>
        </w:rPr>
        <w:t>Australian Government funding or other forms of assistance (such as loans and government guarantees) for public infrastructure that is provided to local, state and territory governments should be conditional. Grants currently given by the Commonwealth to states and local governments are not made on a conditional basis. This means that there are loose guidelines governing where monies originally earmarked for roads are spent.</w:t>
      </w:r>
    </w:p>
    <w:p w14:paraId="7D869068" w14:textId="77777777" w:rsidR="0012381A" w:rsidRDefault="0012381A" w:rsidP="0012381A">
      <w:pPr>
        <w:rPr>
          <w:rFonts w:ascii="Arial" w:eastAsiaTheme="minorHAnsi" w:hAnsi="Arial" w:cs="Arial"/>
          <w:bCs/>
        </w:rPr>
      </w:pPr>
    </w:p>
    <w:p w14:paraId="2E5EF040" w14:textId="77777777" w:rsidR="0012381A" w:rsidRDefault="0012381A" w:rsidP="0012381A">
      <w:pPr>
        <w:rPr>
          <w:rFonts w:ascii="Arial" w:eastAsiaTheme="minorHAnsi" w:hAnsi="Arial" w:cs="Arial"/>
          <w:bCs/>
        </w:rPr>
      </w:pPr>
      <w:r>
        <w:rPr>
          <w:rFonts w:ascii="Arial" w:eastAsiaTheme="minorHAnsi" w:hAnsi="Arial" w:cs="Arial"/>
          <w:bCs/>
        </w:rPr>
        <w:t>The ATA supports the Productivity Commission’s recommendation 7.3 which endorses:</w:t>
      </w:r>
    </w:p>
    <w:p w14:paraId="0B339481" w14:textId="77777777" w:rsidR="0012381A" w:rsidRDefault="0012381A" w:rsidP="0012381A">
      <w:pPr>
        <w:rPr>
          <w:rFonts w:ascii="Arial" w:eastAsiaTheme="minorHAnsi" w:hAnsi="Arial" w:cs="Arial"/>
          <w:bCs/>
        </w:rPr>
      </w:pPr>
    </w:p>
    <w:p w14:paraId="54D4D6C1" w14:textId="77777777" w:rsidR="0012381A" w:rsidRDefault="0012381A" w:rsidP="0012381A">
      <w:pPr>
        <w:pStyle w:val="ListParagraph"/>
        <w:numPr>
          <w:ilvl w:val="0"/>
          <w:numId w:val="10"/>
        </w:numPr>
        <w:rPr>
          <w:rFonts w:ascii="Arial" w:eastAsiaTheme="minorHAnsi" w:hAnsi="Arial" w:cs="Arial"/>
          <w:bCs/>
        </w:rPr>
      </w:pPr>
      <w:r w:rsidRPr="009A21E3">
        <w:rPr>
          <w:rFonts w:ascii="Arial" w:eastAsiaTheme="minorHAnsi" w:hAnsi="Arial" w:cs="Arial"/>
          <w:bCs/>
        </w:rPr>
        <w:t>Australian Government funding or other forms of financial assistance (including incentive payments under Commonwealth–State agreements) for public infrastructure that is provided to State and Territory and Local Governments shoul</w:t>
      </w:r>
      <w:r>
        <w:rPr>
          <w:rFonts w:ascii="Arial" w:eastAsiaTheme="minorHAnsi" w:hAnsi="Arial" w:cs="Arial"/>
          <w:bCs/>
        </w:rPr>
        <w:t>d be conditional on the adoption</w:t>
      </w:r>
      <w:r w:rsidRPr="009A21E3">
        <w:rPr>
          <w:rFonts w:ascii="Arial" w:eastAsiaTheme="minorHAnsi" w:hAnsi="Arial" w:cs="Arial"/>
          <w:bCs/>
        </w:rPr>
        <w:t xml:space="preserve"> of the governance arrangements outlined in recommendation 7.1.</w:t>
      </w:r>
    </w:p>
    <w:p w14:paraId="043F854E" w14:textId="77777777" w:rsidR="0012381A" w:rsidRPr="009A21E3" w:rsidRDefault="0012381A" w:rsidP="0012381A">
      <w:pPr>
        <w:pStyle w:val="ListParagraph"/>
        <w:numPr>
          <w:ilvl w:val="0"/>
          <w:numId w:val="10"/>
        </w:numPr>
        <w:rPr>
          <w:rFonts w:ascii="Arial" w:eastAsiaTheme="minorHAnsi" w:hAnsi="Arial" w:cs="Arial"/>
        </w:rPr>
      </w:pPr>
      <w:r w:rsidRPr="009A21E3">
        <w:rPr>
          <w:rFonts w:ascii="Arial" w:eastAsiaTheme="minorHAnsi" w:hAnsi="Arial" w:cs="Arial"/>
          <w:bCs/>
        </w:rPr>
        <w:t>This assistance should only be provided where there is evidence of a demonstrable net public benefit from the project that would otherwise not be obtainable without Australian Government support.</w:t>
      </w:r>
      <w:r w:rsidRPr="009A21E3">
        <w:rPr>
          <w:rFonts w:ascii="Arial" w:eastAsiaTheme="minorHAnsi" w:hAnsi="Arial" w:cs="Arial"/>
          <w:bCs/>
          <w:vertAlign w:val="superscript"/>
        </w:rPr>
        <w:t xml:space="preserve"> </w:t>
      </w:r>
      <w:r w:rsidRPr="00CF7294">
        <w:rPr>
          <w:rFonts w:ascii="Arial" w:eastAsiaTheme="minorHAnsi" w:hAnsi="Arial" w:cs="Arial"/>
          <w:bCs/>
          <w:vertAlign w:val="superscript"/>
        </w:rPr>
        <w:footnoteReference w:id="21"/>
      </w:r>
    </w:p>
    <w:p w14:paraId="13E9B6FD" w14:textId="77777777" w:rsidR="0012381A" w:rsidRPr="00D74127" w:rsidRDefault="0012381A" w:rsidP="0012381A">
      <w:pPr>
        <w:rPr>
          <w:rFonts w:ascii="Arial" w:eastAsiaTheme="minorHAnsi" w:hAnsi="Arial" w:cs="Arial"/>
          <w:i/>
        </w:rPr>
      </w:pPr>
      <w:r w:rsidRPr="00D74127">
        <w:rPr>
          <w:rFonts w:ascii="Arial" w:eastAsiaTheme="minorHAnsi" w:hAnsi="Arial" w:cs="Arial"/>
          <w:i/>
        </w:rPr>
        <w:t>Improved governance arrangements</w:t>
      </w:r>
    </w:p>
    <w:p w14:paraId="081DBD7D" w14:textId="77777777" w:rsidR="0012381A" w:rsidRPr="00CF7294" w:rsidRDefault="0012381A" w:rsidP="0012381A">
      <w:pPr>
        <w:rPr>
          <w:rFonts w:ascii="Arial" w:eastAsiaTheme="minorHAnsi" w:hAnsi="Arial" w:cs="Arial"/>
        </w:rPr>
      </w:pPr>
    </w:p>
    <w:p w14:paraId="77FB1303" w14:textId="77777777" w:rsidR="0012381A" w:rsidRDefault="0012381A" w:rsidP="0012381A">
      <w:pPr>
        <w:rPr>
          <w:rFonts w:ascii="Arial" w:eastAsiaTheme="minorHAnsi" w:hAnsi="Arial" w:cs="Arial"/>
        </w:rPr>
      </w:pPr>
      <w:r w:rsidRPr="00CF7294">
        <w:rPr>
          <w:rFonts w:ascii="Arial" w:eastAsiaTheme="minorHAnsi" w:hAnsi="Arial" w:cs="Arial"/>
        </w:rPr>
        <w:t xml:space="preserve">The ATA supports improved governance arrangements suggested by the Productivity Commission </w:t>
      </w:r>
      <w:r>
        <w:rPr>
          <w:rFonts w:ascii="Arial" w:eastAsiaTheme="minorHAnsi" w:hAnsi="Arial" w:cs="Arial"/>
        </w:rPr>
        <w:t>(</w:t>
      </w:r>
      <w:r>
        <w:rPr>
          <w:rFonts w:ascii="Arial" w:eastAsiaTheme="minorHAnsi" w:hAnsi="Arial" w:cs="Arial"/>
          <w:bCs/>
        </w:rPr>
        <w:t>r</w:t>
      </w:r>
      <w:r w:rsidRPr="009A21E3">
        <w:rPr>
          <w:rFonts w:ascii="Arial" w:eastAsiaTheme="minorHAnsi" w:hAnsi="Arial" w:cs="Arial"/>
          <w:bCs/>
        </w:rPr>
        <w:t>ecommendation 7.1</w:t>
      </w:r>
      <w:r>
        <w:rPr>
          <w:rFonts w:ascii="Arial" w:eastAsiaTheme="minorHAnsi" w:hAnsi="Arial" w:cs="Arial"/>
          <w:bCs/>
        </w:rPr>
        <w:t>)</w:t>
      </w:r>
      <w:r w:rsidRPr="009A21E3">
        <w:rPr>
          <w:rFonts w:ascii="Arial" w:eastAsiaTheme="minorHAnsi" w:hAnsi="Arial" w:cs="Arial"/>
          <w:bCs/>
        </w:rPr>
        <w:t xml:space="preserve"> </w:t>
      </w:r>
      <w:r w:rsidRPr="00CF7294">
        <w:rPr>
          <w:rFonts w:ascii="Arial" w:eastAsiaTheme="minorHAnsi" w:hAnsi="Arial" w:cs="Arial"/>
        </w:rPr>
        <w:t>for road agencies such as:</w:t>
      </w:r>
    </w:p>
    <w:p w14:paraId="7615598A" w14:textId="77777777" w:rsidR="0012381A" w:rsidRPr="009A21E3" w:rsidRDefault="0012381A" w:rsidP="0012381A">
      <w:pPr>
        <w:rPr>
          <w:rFonts w:ascii="Arial" w:eastAsiaTheme="minorHAnsi" w:hAnsi="Arial" w:cs="Arial"/>
          <w:bCs/>
        </w:rPr>
      </w:pPr>
    </w:p>
    <w:p w14:paraId="2C19024A" w14:textId="77777777" w:rsidR="0012381A" w:rsidRPr="009A21E3" w:rsidRDefault="0012381A" w:rsidP="0012381A">
      <w:pPr>
        <w:numPr>
          <w:ilvl w:val="0"/>
          <w:numId w:val="11"/>
        </w:numPr>
        <w:rPr>
          <w:rFonts w:ascii="Arial" w:eastAsiaTheme="minorHAnsi" w:hAnsi="Arial" w:cs="Arial"/>
          <w:bCs/>
        </w:rPr>
      </w:pPr>
      <w:r w:rsidRPr="009A21E3">
        <w:rPr>
          <w:rFonts w:ascii="Arial" w:eastAsiaTheme="minorHAnsi" w:hAnsi="Arial" w:cs="Arial"/>
          <w:bCs/>
        </w:rPr>
        <w:t>clearly defining the principal objective of ensuring that decisions are undertaken in the public interest, taken to be the wellbeing of the community as a whole</w:t>
      </w:r>
    </w:p>
    <w:p w14:paraId="56798DCC" w14:textId="77777777" w:rsidR="0012381A" w:rsidRPr="009A21E3" w:rsidRDefault="0012381A" w:rsidP="0012381A">
      <w:pPr>
        <w:numPr>
          <w:ilvl w:val="0"/>
          <w:numId w:val="11"/>
        </w:numPr>
        <w:rPr>
          <w:rFonts w:ascii="Arial" w:eastAsiaTheme="minorHAnsi" w:hAnsi="Arial" w:cs="Arial"/>
          <w:bCs/>
        </w:rPr>
      </w:pPr>
      <w:r w:rsidRPr="009A21E3">
        <w:rPr>
          <w:rFonts w:ascii="Arial" w:eastAsiaTheme="minorHAnsi" w:hAnsi="Arial" w:cs="Arial"/>
          <w:bCs/>
        </w:rPr>
        <w:t xml:space="preserve">setting clear and transparent public infrastructure service standards </w:t>
      </w:r>
    </w:p>
    <w:p w14:paraId="1041BECD" w14:textId="77777777" w:rsidR="0012381A" w:rsidRPr="009A21E3" w:rsidRDefault="0012381A" w:rsidP="0012381A">
      <w:pPr>
        <w:numPr>
          <w:ilvl w:val="0"/>
          <w:numId w:val="11"/>
        </w:numPr>
        <w:rPr>
          <w:rFonts w:ascii="Arial" w:eastAsiaTheme="minorHAnsi" w:hAnsi="Arial" w:cs="Arial"/>
          <w:bCs/>
        </w:rPr>
      </w:pPr>
      <w:r w:rsidRPr="009A21E3">
        <w:rPr>
          <w:rFonts w:ascii="Arial" w:eastAsiaTheme="minorHAnsi" w:hAnsi="Arial" w:cs="Arial"/>
          <w:bCs/>
        </w:rPr>
        <w:lastRenderedPageBreak/>
        <w:t>instituting effective processes, procedures and policy guidelines for planning and selecting public infrastructure projects, including rigorous and transparent use of cost–benefit analysis and evaluations, public consultation, and public reporting of the decision</w:t>
      </w:r>
    </w:p>
    <w:p w14:paraId="45418355" w14:textId="5DEADD14" w:rsidR="0012381A" w:rsidRPr="009A21E3" w:rsidRDefault="0012381A" w:rsidP="0012381A">
      <w:pPr>
        <w:numPr>
          <w:ilvl w:val="0"/>
          <w:numId w:val="11"/>
        </w:numPr>
        <w:rPr>
          <w:rFonts w:ascii="Arial" w:eastAsiaTheme="minorHAnsi" w:hAnsi="Arial" w:cs="Arial"/>
          <w:bCs/>
        </w:rPr>
      </w:pPr>
      <w:r w:rsidRPr="009A21E3">
        <w:rPr>
          <w:rFonts w:ascii="Arial" w:eastAsiaTheme="minorHAnsi" w:hAnsi="Arial" w:cs="Arial"/>
          <w:bCs/>
        </w:rPr>
        <w:t>use of transparent, innovative, and competitive processes for the selection of private sector partners for the design, financing, construction, maintenance and/or operation of public infrastructure</w:t>
      </w:r>
    </w:p>
    <w:p w14:paraId="7D582AF1" w14:textId="77777777" w:rsidR="0012381A" w:rsidRPr="009A21E3" w:rsidRDefault="0012381A" w:rsidP="0012381A">
      <w:pPr>
        <w:numPr>
          <w:ilvl w:val="0"/>
          <w:numId w:val="11"/>
        </w:numPr>
        <w:rPr>
          <w:rFonts w:ascii="Arial" w:eastAsiaTheme="minorHAnsi" w:hAnsi="Arial" w:cs="Arial"/>
          <w:bCs/>
        </w:rPr>
      </w:pPr>
      <w:r w:rsidRPr="009A21E3">
        <w:rPr>
          <w:rFonts w:ascii="Arial" w:eastAsiaTheme="minorHAnsi" w:hAnsi="Arial" w:cs="Arial"/>
          <w:bCs/>
        </w:rPr>
        <w:t>ensuring efficient allocation and subsequent monitoring of project risks between government and the private sector</w:t>
      </w:r>
    </w:p>
    <w:p w14:paraId="3A74624D" w14:textId="77777777" w:rsidR="0012381A" w:rsidRPr="009A21E3" w:rsidRDefault="0012381A" w:rsidP="0012381A">
      <w:pPr>
        <w:numPr>
          <w:ilvl w:val="0"/>
          <w:numId w:val="11"/>
        </w:numPr>
        <w:rPr>
          <w:rFonts w:ascii="Arial" w:eastAsiaTheme="minorHAnsi" w:hAnsi="Arial" w:cs="Arial"/>
          <w:bCs/>
        </w:rPr>
      </w:pPr>
      <w:r w:rsidRPr="009A21E3">
        <w:rPr>
          <w:rFonts w:ascii="Arial" w:eastAsiaTheme="minorHAnsi" w:hAnsi="Arial" w:cs="Arial"/>
          <w:bCs/>
        </w:rPr>
        <w:t>monitoring of project performance and ex-post independent evaluation and publication of project outcomes (including periodic reporting of benchmark costs by Infrastructure Australia)</w:t>
      </w:r>
    </w:p>
    <w:p w14:paraId="1DEBFC77" w14:textId="77777777" w:rsidR="0012381A" w:rsidRPr="009A21E3" w:rsidRDefault="0012381A" w:rsidP="0012381A">
      <w:pPr>
        <w:numPr>
          <w:ilvl w:val="0"/>
          <w:numId w:val="11"/>
        </w:numPr>
        <w:rPr>
          <w:rFonts w:ascii="Arial" w:eastAsiaTheme="minorHAnsi" w:hAnsi="Arial" w:cs="Arial"/>
          <w:bCs/>
        </w:rPr>
      </w:pPr>
      <w:r w:rsidRPr="009A21E3">
        <w:rPr>
          <w:rFonts w:ascii="Arial" w:eastAsiaTheme="minorHAnsi" w:hAnsi="Arial" w:cs="Arial"/>
          <w:bCs/>
        </w:rPr>
        <w:t>retaining sufficiently skilled public sector employees to be responsible and accountable for performing these functions</w:t>
      </w:r>
    </w:p>
    <w:p w14:paraId="01412891" w14:textId="77777777" w:rsidR="0012381A" w:rsidRPr="009A21E3" w:rsidRDefault="0012381A" w:rsidP="0012381A">
      <w:pPr>
        <w:numPr>
          <w:ilvl w:val="0"/>
          <w:numId w:val="11"/>
        </w:numPr>
        <w:rPr>
          <w:rFonts w:ascii="Arial" w:eastAsiaTheme="minorHAnsi" w:hAnsi="Arial" w:cs="Arial"/>
          <w:bCs/>
        </w:rPr>
      </w:pPr>
      <w:r w:rsidRPr="009A21E3">
        <w:rPr>
          <w:rFonts w:ascii="Arial" w:eastAsiaTheme="minorHAnsi" w:hAnsi="Arial" w:cs="Arial"/>
          <w:bCs/>
        </w:rPr>
        <w:t>establishing mechanisms for transparent review or audit of the decision-making process by an independent body, for example, an Auditor-Gene</w:t>
      </w:r>
      <w:r>
        <w:rPr>
          <w:rFonts w:ascii="Arial" w:eastAsiaTheme="minorHAnsi" w:hAnsi="Arial" w:cs="Arial"/>
          <w:bCs/>
        </w:rPr>
        <w:t>ral or Infrastructure Australia</w:t>
      </w:r>
      <w:r w:rsidRPr="009A21E3">
        <w:rPr>
          <w:rFonts w:ascii="Arial" w:eastAsiaTheme="minorHAnsi" w:hAnsi="Arial" w:cs="Arial"/>
          <w:bCs/>
        </w:rPr>
        <w:t>.</w:t>
      </w:r>
      <w:r w:rsidRPr="009A21E3">
        <w:rPr>
          <w:rFonts w:ascii="Arial" w:eastAsiaTheme="minorHAnsi" w:hAnsi="Arial" w:cs="Arial"/>
          <w:bCs/>
          <w:vertAlign w:val="superscript"/>
        </w:rPr>
        <w:footnoteReference w:id="22"/>
      </w:r>
    </w:p>
    <w:p w14:paraId="6B9BD0D9" w14:textId="77777777" w:rsidR="0012381A" w:rsidRDefault="0012381A" w:rsidP="0012381A">
      <w:pPr>
        <w:rPr>
          <w:rFonts w:ascii="Arial" w:eastAsiaTheme="minorHAnsi" w:hAnsi="Arial" w:cs="Arial"/>
          <w:b/>
        </w:rPr>
      </w:pPr>
    </w:p>
    <w:p w14:paraId="01260D05" w14:textId="77777777" w:rsidR="0012381A" w:rsidRPr="00D74127" w:rsidRDefault="0012381A" w:rsidP="0012381A">
      <w:pPr>
        <w:rPr>
          <w:rFonts w:ascii="Arial" w:eastAsiaTheme="minorHAnsi" w:hAnsi="Arial" w:cs="Arial"/>
          <w:i/>
        </w:rPr>
      </w:pPr>
      <w:r w:rsidRPr="00D74127">
        <w:rPr>
          <w:rFonts w:ascii="Arial" w:eastAsiaTheme="minorHAnsi" w:hAnsi="Arial" w:cs="Arial"/>
          <w:i/>
        </w:rPr>
        <w:t>Project benchmarking</w:t>
      </w:r>
    </w:p>
    <w:p w14:paraId="2BCE1C55" w14:textId="77777777" w:rsidR="0012381A" w:rsidRPr="00CF7294" w:rsidRDefault="0012381A" w:rsidP="0012381A">
      <w:pPr>
        <w:pStyle w:val="BodyText2"/>
        <w:rPr>
          <w:b w:val="0"/>
        </w:rPr>
      </w:pPr>
    </w:p>
    <w:p w14:paraId="1D21C678" w14:textId="7BF0BF61" w:rsidR="0012381A" w:rsidRPr="00CF7294" w:rsidRDefault="0012381A" w:rsidP="0012381A">
      <w:pPr>
        <w:pStyle w:val="BodyText2"/>
        <w:rPr>
          <w:b w:val="0"/>
        </w:rPr>
      </w:pPr>
      <w:r w:rsidRPr="00CF7294">
        <w:rPr>
          <w:b w:val="0"/>
          <w:szCs w:val="22"/>
        </w:rPr>
        <w:t xml:space="preserve">The provision of data to support a benchmarking framework should be a requirement attached to all Australian Government funding for major infrastructure projects. Ongoing benchmarking must be seen to be independent of both government and industry influence and also be seen as technically </w:t>
      </w:r>
      <w:r w:rsidRPr="0012381A">
        <w:rPr>
          <w:b w:val="0"/>
          <w:szCs w:val="22"/>
        </w:rPr>
        <w:t xml:space="preserve">robust and credible. However, we understand that the because of Australia’s differing </w:t>
      </w:r>
      <w:r w:rsidRPr="0012381A">
        <w:rPr>
          <w:b w:val="0"/>
        </w:rPr>
        <w:t>soil and weather conditions which will impact road build in some areas, as roads need to designe</w:t>
      </w:r>
      <w:r w:rsidR="00B93548">
        <w:rPr>
          <w:b w:val="0"/>
        </w:rPr>
        <w:t>d and built for the condition e.g.</w:t>
      </w:r>
      <w:r w:rsidRPr="0012381A">
        <w:rPr>
          <w:b w:val="0"/>
        </w:rPr>
        <w:t xml:space="preserve"> QLD black soil and storms, vs WA sand and steady rain.</w:t>
      </w:r>
    </w:p>
    <w:p w14:paraId="33C7A38D" w14:textId="77777777" w:rsidR="0012381A" w:rsidRDefault="0012381A" w:rsidP="0012381A">
      <w:pPr>
        <w:pStyle w:val="BodyText2"/>
        <w:rPr>
          <w:b w:val="0"/>
          <w:szCs w:val="22"/>
        </w:rPr>
      </w:pPr>
    </w:p>
    <w:p w14:paraId="0CDA3207" w14:textId="663D67D2" w:rsidR="0012381A" w:rsidRPr="00CF7294" w:rsidRDefault="0012381A" w:rsidP="0012381A">
      <w:pPr>
        <w:pStyle w:val="BodyText2"/>
        <w:rPr>
          <w:b w:val="0"/>
          <w:szCs w:val="22"/>
        </w:rPr>
      </w:pPr>
      <w:r>
        <w:rPr>
          <w:b w:val="0"/>
          <w:szCs w:val="22"/>
        </w:rPr>
        <w:t xml:space="preserve">In recommendation 14.1, the </w:t>
      </w:r>
      <w:r w:rsidR="00AA560C">
        <w:rPr>
          <w:b w:val="0"/>
          <w:szCs w:val="22"/>
        </w:rPr>
        <w:t>P</w:t>
      </w:r>
      <w:r>
        <w:rPr>
          <w:b w:val="0"/>
          <w:szCs w:val="22"/>
        </w:rPr>
        <w:t xml:space="preserve">roductivity Commission supported the </w:t>
      </w:r>
      <w:r w:rsidRPr="009A21E3">
        <w:rPr>
          <w:b w:val="0"/>
          <w:szCs w:val="22"/>
        </w:rPr>
        <w:t xml:space="preserve">Department of Industry </w:t>
      </w:r>
      <w:r>
        <w:rPr>
          <w:b w:val="0"/>
          <w:szCs w:val="22"/>
        </w:rPr>
        <w:t xml:space="preserve">making and publishing </w:t>
      </w:r>
      <w:r w:rsidRPr="009A21E3">
        <w:rPr>
          <w:b w:val="0"/>
          <w:szCs w:val="22"/>
        </w:rPr>
        <w:t>regular projections of</w:t>
      </w:r>
      <w:r>
        <w:rPr>
          <w:b w:val="0"/>
          <w:szCs w:val="22"/>
        </w:rPr>
        <w:t xml:space="preserve"> </w:t>
      </w:r>
      <w:r w:rsidRPr="009A21E3">
        <w:rPr>
          <w:b w:val="0"/>
          <w:szCs w:val="22"/>
        </w:rPr>
        <w:t>labour demand from pub</w:t>
      </w:r>
      <w:r>
        <w:rPr>
          <w:b w:val="0"/>
          <w:szCs w:val="22"/>
        </w:rPr>
        <w:t>lic infrastructure construction and i</w:t>
      </w:r>
      <w:r w:rsidRPr="009A21E3">
        <w:rPr>
          <w:b w:val="0"/>
          <w:szCs w:val="22"/>
        </w:rPr>
        <w:t>nformation collected</w:t>
      </w:r>
      <w:r>
        <w:rPr>
          <w:b w:val="0"/>
          <w:szCs w:val="22"/>
        </w:rPr>
        <w:t xml:space="preserve"> </w:t>
      </w:r>
      <w:r w:rsidRPr="009A21E3">
        <w:rPr>
          <w:b w:val="0"/>
          <w:szCs w:val="22"/>
        </w:rPr>
        <w:t>and produced as part of the proposed benchmarking activities</w:t>
      </w:r>
      <w:r>
        <w:rPr>
          <w:b w:val="0"/>
          <w:szCs w:val="22"/>
        </w:rPr>
        <w:t>.</w:t>
      </w:r>
      <w:r>
        <w:rPr>
          <w:rStyle w:val="FootnoteReference"/>
          <w:b w:val="0"/>
          <w:szCs w:val="22"/>
        </w:rPr>
        <w:footnoteReference w:id="23"/>
      </w:r>
    </w:p>
    <w:p w14:paraId="29BDF18D" w14:textId="77777777" w:rsidR="0012381A" w:rsidRPr="00CF7294" w:rsidRDefault="0012381A" w:rsidP="0012381A">
      <w:pPr>
        <w:pStyle w:val="BodyText2"/>
        <w:rPr>
          <w:b w:val="0"/>
          <w:szCs w:val="22"/>
        </w:rPr>
      </w:pPr>
    </w:p>
    <w:p w14:paraId="76E8767D" w14:textId="77777777" w:rsidR="0012381A" w:rsidRDefault="0012381A" w:rsidP="0012381A">
      <w:pPr>
        <w:pStyle w:val="BodyText2"/>
        <w:rPr>
          <w:b w:val="0"/>
          <w:szCs w:val="22"/>
        </w:rPr>
      </w:pPr>
      <w:r>
        <w:rPr>
          <w:b w:val="0"/>
          <w:szCs w:val="22"/>
        </w:rPr>
        <w:t>In response to this</w:t>
      </w:r>
      <w:r w:rsidRPr="00CF7294">
        <w:rPr>
          <w:b w:val="0"/>
          <w:szCs w:val="22"/>
        </w:rPr>
        <w:t xml:space="preserve">, the Government </w:t>
      </w:r>
      <w:r>
        <w:rPr>
          <w:b w:val="0"/>
          <w:szCs w:val="22"/>
        </w:rPr>
        <w:t>has</w:t>
      </w:r>
      <w:r w:rsidRPr="00CF7294">
        <w:rPr>
          <w:b w:val="0"/>
          <w:szCs w:val="22"/>
        </w:rPr>
        <w:t xml:space="preserve"> agreed to the systematic collection of project information for land transport infrastructure, led by BITRE.</w:t>
      </w:r>
    </w:p>
    <w:p w14:paraId="4F168DD0" w14:textId="77777777" w:rsidR="0012381A" w:rsidRDefault="0012381A" w:rsidP="0012381A">
      <w:pPr>
        <w:pStyle w:val="BodyText2"/>
        <w:rPr>
          <w:b w:val="0"/>
          <w:szCs w:val="22"/>
        </w:rPr>
      </w:pPr>
    </w:p>
    <w:p w14:paraId="2F4B321D" w14:textId="77777777" w:rsidR="0012381A" w:rsidRDefault="0012381A" w:rsidP="0012381A">
      <w:pPr>
        <w:pStyle w:val="BodyText2"/>
        <w:rPr>
          <w:b w:val="0"/>
          <w:szCs w:val="22"/>
        </w:rPr>
      </w:pPr>
      <w:r w:rsidRPr="00CF7294">
        <w:rPr>
          <w:b w:val="0"/>
          <w:szCs w:val="22"/>
        </w:rPr>
        <w:t xml:space="preserve">Additionally, the Government wants to implement post build evaluations for Commonwealth funded land transport projects to ensure projects that are delivered with Australian government funds are completed </w:t>
      </w:r>
      <w:r>
        <w:rPr>
          <w:b w:val="0"/>
          <w:szCs w:val="22"/>
        </w:rPr>
        <w:t xml:space="preserve">to a </w:t>
      </w:r>
      <w:r w:rsidRPr="00CF7294">
        <w:rPr>
          <w:b w:val="0"/>
          <w:szCs w:val="22"/>
        </w:rPr>
        <w:t>satisfactory</w:t>
      </w:r>
      <w:r>
        <w:rPr>
          <w:b w:val="0"/>
          <w:szCs w:val="22"/>
        </w:rPr>
        <w:t xml:space="preserve"> level</w:t>
      </w:r>
      <w:r w:rsidRPr="00CF7294">
        <w:rPr>
          <w:b w:val="0"/>
          <w:szCs w:val="22"/>
        </w:rPr>
        <w:t>.</w:t>
      </w:r>
      <w:r>
        <w:rPr>
          <w:b w:val="0"/>
          <w:szCs w:val="22"/>
        </w:rPr>
        <w:t xml:space="preserve"> This includes, t</w:t>
      </w:r>
      <w:r w:rsidRPr="00CF7294">
        <w:rPr>
          <w:b w:val="0"/>
          <w:szCs w:val="22"/>
        </w:rPr>
        <w:t>esting variations from the original scope and timelines, comparison of cost estimates with final costs, and effectiveness and efficiency of particular delivery mechanisms such as PPP or Project Alliances. Evaluations will improve future delivery of projects can be made with more awareness of potential risks</w:t>
      </w:r>
      <w:r w:rsidRPr="00CF7294">
        <w:rPr>
          <w:rStyle w:val="FootnoteReference"/>
          <w:rFonts w:cs="Arial"/>
          <w:b w:val="0"/>
          <w:szCs w:val="22"/>
        </w:rPr>
        <w:footnoteReference w:id="24"/>
      </w:r>
      <w:r w:rsidRPr="00CF7294">
        <w:rPr>
          <w:b w:val="0"/>
          <w:szCs w:val="22"/>
        </w:rPr>
        <w:t>.</w:t>
      </w:r>
    </w:p>
    <w:p w14:paraId="72CE5C4C" w14:textId="77777777" w:rsidR="0012381A" w:rsidRPr="00CF7294" w:rsidRDefault="0012381A" w:rsidP="0012381A">
      <w:pPr>
        <w:rPr>
          <w:rFonts w:ascii="Arial" w:eastAsiaTheme="minorHAnsi" w:hAnsi="Arial" w:cs="Arial"/>
          <w:b/>
        </w:rPr>
      </w:pPr>
    </w:p>
    <w:p w14:paraId="71B7C0AC" w14:textId="77777777" w:rsidR="0012381A" w:rsidRPr="00D74127" w:rsidRDefault="0012381A" w:rsidP="0012381A">
      <w:pPr>
        <w:rPr>
          <w:rFonts w:ascii="Arial" w:eastAsiaTheme="minorHAnsi" w:hAnsi="Arial" w:cs="Arial"/>
          <w:i/>
        </w:rPr>
      </w:pPr>
      <w:bookmarkStart w:id="12" w:name="_Toc384105356"/>
      <w:r w:rsidRPr="00D74127">
        <w:rPr>
          <w:rFonts w:ascii="Arial" w:eastAsiaTheme="minorHAnsi" w:hAnsi="Arial" w:cs="Arial"/>
          <w:i/>
        </w:rPr>
        <w:t>Improved project selection</w:t>
      </w:r>
      <w:bookmarkEnd w:id="12"/>
    </w:p>
    <w:p w14:paraId="31678A6F" w14:textId="77777777" w:rsidR="0012381A" w:rsidRDefault="0012381A" w:rsidP="0012381A">
      <w:pPr>
        <w:pStyle w:val="BodyText2"/>
        <w:rPr>
          <w:rFonts w:eastAsia="Calibri"/>
          <w:b w:val="0"/>
          <w:bCs w:val="0"/>
          <w:szCs w:val="22"/>
        </w:rPr>
      </w:pPr>
    </w:p>
    <w:p w14:paraId="6C369937" w14:textId="77777777" w:rsidR="0012381A" w:rsidRPr="009D5312" w:rsidRDefault="0012381A" w:rsidP="009D5312">
      <w:pPr>
        <w:pStyle w:val="BodyText2"/>
        <w:ind w:left="720" w:right="720"/>
        <w:rPr>
          <w:rFonts w:eastAsia="Calibri"/>
          <w:b w:val="0"/>
          <w:bCs w:val="0"/>
          <w:sz w:val="18"/>
          <w:szCs w:val="18"/>
        </w:rPr>
      </w:pPr>
      <w:r w:rsidRPr="009D5312">
        <w:rPr>
          <w:rFonts w:eastAsia="Calibri"/>
          <w:b w:val="0"/>
          <w:bCs w:val="0"/>
          <w:sz w:val="18"/>
          <w:szCs w:val="18"/>
        </w:rPr>
        <w:t>Project selection is crucial to the overall efficiency of public infrastructure. If the wrong projects are selected the outcome for the community will be poor, even if these projects are efficiently funded and financed, and their costs well controlled</w:t>
      </w:r>
      <w:r w:rsidRPr="009D5312">
        <w:rPr>
          <w:rStyle w:val="FootnoteReference"/>
          <w:rFonts w:eastAsia="Calibri"/>
          <w:b w:val="0"/>
          <w:bCs w:val="0"/>
          <w:sz w:val="18"/>
          <w:szCs w:val="18"/>
        </w:rPr>
        <w:footnoteReference w:id="25"/>
      </w:r>
      <w:r w:rsidRPr="009D5312">
        <w:rPr>
          <w:rFonts w:eastAsia="Calibri"/>
          <w:b w:val="0"/>
          <w:bCs w:val="0"/>
          <w:sz w:val="18"/>
          <w:szCs w:val="18"/>
        </w:rPr>
        <w:t>.</w:t>
      </w:r>
    </w:p>
    <w:p w14:paraId="05A0CB78" w14:textId="77777777" w:rsidR="0012381A" w:rsidRPr="00CF7294" w:rsidRDefault="0012381A" w:rsidP="0012381A">
      <w:pPr>
        <w:pStyle w:val="BodyText2"/>
        <w:rPr>
          <w:b w:val="0"/>
          <w:szCs w:val="22"/>
        </w:rPr>
      </w:pPr>
    </w:p>
    <w:p w14:paraId="04AA7112" w14:textId="77777777" w:rsidR="0012381A" w:rsidRPr="00CF7294" w:rsidRDefault="0012381A" w:rsidP="0012381A">
      <w:pPr>
        <w:pStyle w:val="BodyText2"/>
        <w:rPr>
          <w:b w:val="0"/>
          <w:szCs w:val="22"/>
        </w:rPr>
      </w:pPr>
      <w:r w:rsidRPr="00CF7294">
        <w:rPr>
          <w:b w:val="0"/>
          <w:szCs w:val="22"/>
        </w:rPr>
        <w:t>Many major projects and ribbon cutting exercises come at the expense of periodic maintenance (to extend and exploit the asset lifecycle) and of small scale de-bottlenecking options that could postpone or even avoid the need for costly asset expansions.</w:t>
      </w:r>
    </w:p>
    <w:p w14:paraId="19C0750A" w14:textId="77777777" w:rsidR="0012381A" w:rsidRPr="00CF7294" w:rsidRDefault="0012381A" w:rsidP="0012381A">
      <w:pPr>
        <w:pStyle w:val="BodyText2"/>
        <w:rPr>
          <w:b w:val="0"/>
          <w:szCs w:val="22"/>
        </w:rPr>
      </w:pPr>
    </w:p>
    <w:p w14:paraId="0756CEA3" w14:textId="77777777" w:rsidR="0012381A" w:rsidRPr="00CF7294" w:rsidRDefault="0012381A" w:rsidP="0012381A">
      <w:pPr>
        <w:pStyle w:val="BodyText2"/>
        <w:rPr>
          <w:b w:val="0"/>
          <w:szCs w:val="22"/>
        </w:rPr>
      </w:pPr>
      <w:r w:rsidRPr="00CF7294">
        <w:rPr>
          <w:b w:val="0"/>
          <w:szCs w:val="22"/>
        </w:rPr>
        <w:lastRenderedPageBreak/>
        <w:t>The issue of periodic maintenance cannot be ignored if the road quality and stock of Australia is to improve. Budgets for maintenance are reducing over time and there is a need to address the issue of poor maintenance programs.</w:t>
      </w:r>
    </w:p>
    <w:p w14:paraId="2841FA10" w14:textId="77777777" w:rsidR="0012381A" w:rsidRPr="00CF7294" w:rsidRDefault="0012381A" w:rsidP="0012381A">
      <w:pPr>
        <w:pStyle w:val="BodyText2"/>
        <w:rPr>
          <w:b w:val="0"/>
          <w:szCs w:val="22"/>
        </w:rPr>
      </w:pPr>
    </w:p>
    <w:p w14:paraId="06231028" w14:textId="77777777" w:rsidR="0012381A" w:rsidRPr="00CF7294" w:rsidRDefault="0012381A" w:rsidP="0012381A">
      <w:pPr>
        <w:rPr>
          <w:rFonts w:ascii="Arial" w:hAnsi="Arial" w:cs="Arial"/>
        </w:rPr>
      </w:pPr>
      <w:r w:rsidRPr="00CF7294">
        <w:rPr>
          <w:rFonts w:ascii="Arial" w:hAnsi="Arial" w:cs="Arial"/>
        </w:rPr>
        <w:t xml:space="preserve">Having a consistent and accurate maintenance program is crucial to providing roads that do not cause industry undue cost. While it is not feasible </w:t>
      </w:r>
      <w:r w:rsidRPr="00CF7294">
        <w:rPr>
          <w:rFonts w:ascii="Arial" w:eastAsiaTheme="minorHAnsi" w:hAnsi="Arial" w:cs="Arial"/>
        </w:rPr>
        <w:t>to</w:t>
      </w:r>
      <w:r w:rsidRPr="00CF7294">
        <w:rPr>
          <w:rFonts w:ascii="Arial" w:hAnsi="Arial" w:cs="Arial"/>
        </w:rPr>
        <w:t xml:space="preserve"> upgrade every road in Australia to bitumen quality, poorly maintained roads cost users higher than necessary vehicle operating costs.</w:t>
      </w:r>
    </w:p>
    <w:p w14:paraId="0A2F87EE" w14:textId="77777777" w:rsidR="0012381A" w:rsidRPr="00CF7294" w:rsidRDefault="0012381A" w:rsidP="0012381A">
      <w:pPr>
        <w:pStyle w:val="BodyText2"/>
        <w:rPr>
          <w:b w:val="0"/>
          <w:szCs w:val="22"/>
        </w:rPr>
      </w:pPr>
    </w:p>
    <w:p w14:paraId="5C7E6E2E" w14:textId="77777777" w:rsidR="0012381A" w:rsidRDefault="0012381A" w:rsidP="0012381A">
      <w:pPr>
        <w:pStyle w:val="BodyText2"/>
        <w:rPr>
          <w:b w:val="0"/>
          <w:szCs w:val="22"/>
        </w:rPr>
      </w:pPr>
      <w:r w:rsidRPr="00CF7294">
        <w:rPr>
          <w:b w:val="0"/>
          <w:szCs w:val="22"/>
        </w:rPr>
        <w:t>We share the Productivity Commission’s view that correct project selection or provision is the most important aspect of achieving good outcomes for the community from public infrastructure irrespective of the financing approach ultimately chosen.</w:t>
      </w:r>
    </w:p>
    <w:p w14:paraId="7955C7CE" w14:textId="77777777" w:rsidR="0012381A" w:rsidRPr="00CF7294" w:rsidRDefault="0012381A" w:rsidP="0012381A">
      <w:pPr>
        <w:pStyle w:val="BodyText2"/>
        <w:rPr>
          <w:b w:val="0"/>
          <w:szCs w:val="22"/>
        </w:rPr>
      </w:pPr>
    </w:p>
    <w:p w14:paraId="6ADF15A8" w14:textId="77777777" w:rsidR="0012381A" w:rsidRPr="00CF7294" w:rsidRDefault="0012381A" w:rsidP="0012381A">
      <w:pPr>
        <w:pStyle w:val="BodyText2"/>
        <w:rPr>
          <w:b w:val="0"/>
          <w:szCs w:val="22"/>
        </w:rPr>
      </w:pPr>
      <w:r w:rsidRPr="00CF7294">
        <w:rPr>
          <w:b w:val="0"/>
          <w:szCs w:val="22"/>
        </w:rPr>
        <w:t>Along with good governance arrangements</w:t>
      </w:r>
      <w:r>
        <w:rPr>
          <w:b w:val="0"/>
          <w:szCs w:val="22"/>
        </w:rPr>
        <w:t>,</w:t>
      </w:r>
      <w:r w:rsidRPr="00CF7294">
        <w:rPr>
          <w:b w:val="0"/>
          <w:szCs w:val="22"/>
        </w:rPr>
        <w:t xml:space="preserve"> there should be a set of maintenance strategies, developed by engineers, to give road agencies a clear set of directives for maintenance of road infrastructure. While there is considerable discussion about road user charges to indicate usage figures for roads, a telematic device cannot tell a road agency where a pothole exists or where the road layer has subsided over time. Telematics will not solve the maintenance problems that persist.</w:t>
      </w:r>
    </w:p>
    <w:p w14:paraId="0B4EB68F" w14:textId="77777777" w:rsidR="0012381A" w:rsidRPr="00CF7294" w:rsidRDefault="0012381A" w:rsidP="0012381A">
      <w:pPr>
        <w:rPr>
          <w:rFonts w:ascii="Arial" w:eastAsiaTheme="minorHAnsi" w:hAnsi="Arial" w:cs="Arial"/>
          <w:b/>
        </w:rPr>
      </w:pPr>
    </w:p>
    <w:p w14:paraId="65BE4E69" w14:textId="77777777" w:rsidR="0012381A" w:rsidRPr="00D74127" w:rsidRDefault="0012381A" w:rsidP="0012381A">
      <w:pPr>
        <w:rPr>
          <w:rFonts w:ascii="Arial" w:eastAsiaTheme="minorHAnsi" w:hAnsi="Arial" w:cs="Arial"/>
          <w:i/>
        </w:rPr>
      </w:pPr>
      <w:bookmarkStart w:id="13" w:name="_Toc384105358"/>
      <w:r w:rsidRPr="00D74127">
        <w:rPr>
          <w:rFonts w:ascii="Arial" w:eastAsiaTheme="minorHAnsi" w:hAnsi="Arial" w:cs="Arial"/>
          <w:i/>
        </w:rPr>
        <w:t>Cost benefit analysis</w:t>
      </w:r>
      <w:bookmarkEnd w:id="13"/>
    </w:p>
    <w:p w14:paraId="50D2F067" w14:textId="77777777" w:rsidR="0012381A" w:rsidRPr="00CF7294" w:rsidRDefault="0012381A" w:rsidP="0012381A">
      <w:pPr>
        <w:pStyle w:val="BodyText2"/>
        <w:rPr>
          <w:b w:val="0"/>
          <w:szCs w:val="22"/>
          <w:u w:val="single"/>
        </w:rPr>
      </w:pPr>
    </w:p>
    <w:p w14:paraId="475D8C97" w14:textId="77777777" w:rsidR="0012381A" w:rsidRPr="00CF7294" w:rsidRDefault="0012381A" w:rsidP="0012381A">
      <w:pPr>
        <w:pStyle w:val="BodyText2"/>
        <w:rPr>
          <w:b w:val="0"/>
          <w:szCs w:val="22"/>
        </w:rPr>
      </w:pPr>
      <w:r w:rsidRPr="00CF7294">
        <w:rPr>
          <w:b w:val="0"/>
          <w:szCs w:val="22"/>
        </w:rPr>
        <w:t>The ATA supports the extension of appropriate cost benefit analyses (CBA) to ensure that benefits and costs are accurately assessed for significant projects. The Productivity Commission identified that a properly conducted CBA is an important starting point for guiding project selection and improving the transparency of decision making. This should be augmented with real options analysis where appropriate.</w:t>
      </w:r>
    </w:p>
    <w:p w14:paraId="6AE74948" w14:textId="77777777" w:rsidR="0012381A" w:rsidRPr="00CF7294" w:rsidRDefault="0012381A" w:rsidP="0012381A">
      <w:pPr>
        <w:pStyle w:val="BodyText2"/>
        <w:rPr>
          <w:b w:val="0"/>
          <w:szCs w:val="22"/>
        </w:rPr>
      </w:pPr>
    </w:p>
    <w:p w14:paraId="45F3337C" w14:textId="77777777" w:rsidR="0012381A" w:rsidRPr="00CF7294" w:rsidRDefault="0012381A" w:rsidP="0012381A">
      <w:pPr>
        <w:pStyle w:val="BodyText2"/>
        <w:rPr>
          <w:b w:val="0"/>
          <w:szCs w:val="22"/>
        </w:rPr>
      </w:pPr>
      <w:r w:rsidRPr="00CF7294">
        <w:rPr>
          <w:b w:val="0"/>
          <w:szCs w:val="22"/>
        </w:rPr>
        <w:t>We support the Productivity Commission recommendation of making CBAs public (with clearly documented assumptions) for both projects that have been selected, and those that have been rejected,</w:t>
      </w:r>
      <w:r>
        <w:rPr>
          <w:b w:val="0"/>
          <w:szCs w:val="22"/>
        </w:rPr>
        <w:t xml:space="preserve"> as this</w:t>
      </w:r>
      <w:r w:rsidRPr="00CF7294">
        <w:rPr>
          <w:b w:val="0"/>
          <w:szCs w:val="22"/>
        </w:rPr>
        <w:t xml:space="preserve"> greatly improves the transparency of decision making. It also allows particular estimates to be debated and the consequences of different estimates of the projects net benefits to be calculated.</w:t>
      </w:r>
      <w:r w:rsidRPr="00CF7294">
        <w:rPr>
          <w:rStyle w:val="FootnoteReference"/>
          <w:rFonts w:cs="Arial"/>
          <w:b w:val="0"/>
          <w:szCs w:val="22"/>
        </w:rPr>
        <w:footnoteReference w:id="26"/>
      </w:r>
      <w:r w:rsidRPr="00CF7294">
        <w:rPr>
          <w:b w:val="0"/>
          <w:szCs w:val="22"/>
        </w:rPr>
        <w:t xml:space="preserve"> </w:t>
      </w:r>
    </w:p>
    <w:p w14:paraId="1E0AFE48" w14:textId="77777777" w:rsidR="0012381A" w:rsidRPr="00CF7294" w:rsidRDefault="0012381A" w:rsidP="0012381A">
      <w:pPr>
        <w:pStyle w:val="BodyText2"/>
        <w:rPr>
          <w:b w:val="0"/>
          <w:szCs w:val="22"/>
        </w:rPr>
      </w:pPr>
    </w:p>
    <w:p w14:paraId="3AA46454" w14:textId="3CFEAE6F" w:rsidR="0012381A" w:rsidRPr="0012381A" w:rsidRDefault="0012381A" w:rsidP="0012381A">
      <w:pPr>
        <w:pStyle w:val="BodyText2"/>
        <w:rPr>
          <w:b w:val="0"/>
          <w:szCs w:val="22"/>
        </w:rPr>
      </w:pPr>
      <w:r w:rsidRPr="00CF7294">
        <w:rPr>
          <w:b w:val="0"/>
          <w:szCs w:val="22"/>
        </w:rPr>
        <w:t>The Government also concurs that improvement</w:t>
      </w:r>
      <w:r>
        <w:rPr>
          <w:b w:val="0"/>
          <w:szCs w:val="22"/>
        </w:rPr>
        <w:t>s</w:t>
      </w:r>
      <w:r w:rsidRPr="00CF7294">
        <w:rPr>
          <w:b w:val="0"/>
          <w:szCs w:val="22"/>
        </w:rPr>
        <w:t xml:space="preserve"> in the conduct of CBAs are necessary, recommending a best practice framework for evaluating project and a nationally consistent approach to CBAs.</w:t>
      </w:r>
      <w:r w:rsidRPr="00CF7294">
        <w:rPr>
          <w:rStyle w:val="FootnoteReference"/>
          <w:rFonts w:cs="Arial"/>
          <w:b w:val="0"/>
          <w:szCs w:val="22"/>
        </w:rPr>
        <w:footnoteReference w:id="27"/>
      </w:r>
      <w:r w:rsidRPr="00CF7294">
        <w:rPr>
          <w:b w:val="0"/>
          <w:szCs w:val="22"/>
        </w:rPr>
        <w:t xml:space="preserve"> </w:t>
      </w:r>
    </w:p>
    <w:p w14:paraId="4FA9C1CE" w14:textId="77777777" w:rsidR="0012381A" w:rsidRDefault="0012381A" w:rsidP="0012381A">
      <w:pPr>
        <w:pStyle w:val="BodyText2"/>
      </w:pPr>
    </w:p>
    <w:p w14:paraId="6DE84FFC" w14:textId="43C108AF" w:rsidR="00D74127" w:rsidRPr="004B17AA" w:rsidRDefault="004B17AA" w:rsidP="004B17AA">
      <w:pPr>
        <w:pStyle w:val="Heading2"/>
        <w:spacing w:before="0"/>
        <w:rPr>
          <w:rFonts w:ascii="Arial" w:hAnsi="Arial" w:cs="Arial"/>
          <w:color w:val="002060"/>
          <w:sz w:val="22"/>
          <w:szCs w:val="22"/>
        </w:rPr>
      </w:pPr>
      <w:bookmarkStart w:id="14" w:name="_Toc420922106"/>
      <w:r w:rsidRPr="004B17AA">
        <w:rPr>
          <w:rFonts w:ascii="Arial" w:hAnsi="Arial" w:cs="Arial"/>
          <w:color w:val="002060"/>
          <w:sz w:val="22"/>
          <w:szCs w:val="22"/>
        </w:rPr>
        <w:t xml:space="preserve">7.3 </w:t>
      </w:r>
      <w:r w:rsidR="00D74127" w:rsidRPr="004B17AA">
        <w:rPr>
          <w:rFonts w:ascii="Arial" w:hAnsi="Arial" w:cs="Arial"/>
          <w:color w:val="002060"/>
          <w:sz w:val="22"/>
          <w:szCs w:val="22"/>
        </w:rPr>
        <w:t>Holistic supply side reform</w:t>
      </w:r>
      <w:bookmarkEnd w:id="14"/>
    </w:p>
    <w:p w14:paraId="413A7878" w14:textId="77777777" w:rsidR="00D74127" w:rsidRDefault="00D74127" w:rsidP="0012381A">
      <w:pPr>
        <w:pStyle w:val="BodyText2"/>
      </w:pPr>
    </w:p>
    <w:p w14:paraId="4D69FD19" w14:textId="4D34C748" w:rsidR="00D74127" w:rsidRPr="00CF7294" w:rsidRDefault="00D74127" w:rsidP="00D74127">
      <w:pPr>
        <w:rPr>
          <w:rFonts w:ascii="Arial" w:eastAsiaTheme="minorHAnsi" w:hAnsi="Arial" w:cs="Arial"/>
          <w:iCs/>
        </w:rPr>
      </w:pPr>
      <w:r w:rsidRPr="00CF7294">
        <w:rPr>
          <w:rFonts w:ascii="Arial" w:eastAsiaTheme="minorHAnsi" w:hAnsi="Arial" w:cs="Arial"/>
          <w:iCs/>
        </w:rPr>
        <w:t xml:space="preserve">The PwC work: </w:t>
      </w:r>
      <w:r w:rsidRPr="00CF7294">
        <w:rPr>
          <w:rFonts w:ascii="Arial" w:eastAsiaTheme="minorHAnsi" w:hAnsi="Arial" w:cs="Arial"/>
          <w:i/>
          <w:iCs/>
        </w:rPr>
        <w:t>A future Strategy for Road Supply and Charging in Australia</w:t>
      </w:r>
      <w:r w:rsidRPr="00CF7294">
        <w:rPr>
          <w:rFonts w:ascii="Arial" w:eastAsiaTheme="minorHAnsi" w:hAnsi="Arial" w:cs="Arial"/>
          <w:iCs/>
        </w:rPr>
        <w:t xml:space="preserve">, </w:t>
      </w:r>
      <w:r>
        <w:rPr>
          <w:rFonts w:ascii="Arial" w:eastAsiaTheme="minorHAnsi" w:hAnsi="Arial" w:cs="Arial"/>
          <w:iCs/>
        </w:rPr>
        <w:t xml:space="preserve">was commissioned by the ATA in response to discussion around the future of heavy vehicle charges and supply side reform. It </w:t>
      </w:r>
      <w:r w:rsidRPr="00CF7294">
        <w:rPr>
          <w:rFonts w:ascii="Arial" w:eastAsiaTheme="minorHAnsi" w:hAnsi="Arial" w:cs="Arial"/>
          <w:iCs/>
        </w:rPr>
        <w:t>sets out clear priorities for reforming road supply and charging. Implementing these recommendations would increase productivity of road agencies and would rationalise the connection between road users and road managers leading to a more competitive industry.</w:t>
      </w:r>
    </w:p>
    <w:p w14:paraId="761F8C7C" w14:textId="77777777" w:rsidR="00D74127" w:rsidRPr="00CF7294" w:rsidRDefault="00D74127" w:rsidP="00D74127">
      <w:pPr>
        <w:rPr>
          <w:rFonts w:ascii="Arial" w:eastAsiaTheme="minorHAnsi" w:hAnsi="Arial" w:cs="Arial"/>
          <w:iCs/>
        </w:rPr>
      </w:pPr>
    </w:p>
    <w:p w14:paraId="1F591DD5" w14:textId="7CCE05EC" w:rsidR="00D74127" w:rsidRPr="00CF7294" w:rsidRDefault="00D74127" w:rsidP="00D74127">
      <w:pPr>
        <w:rPr>
          <w:rFonts w:ascii="Arial" w:eastAsiaTheme="minorHAnsi" w:hAnsi="Arial" w:cs="Arial"/>
        </w:rPr>
      </w:pPr>
      <w:r w:rsidRPr="00CF7294">
        <w:rPr>
          <w:rFonts w:ascii="Arial" w:eastAsiaTheme="minorHAnsi" w:hAnsi="Arial" w:cs="Arial"/>
        </w:rPr>
        <w:t>PwC provided a transition pathway to improve supply side provision.</w:t>
      </w:r>
    </w:p>
    <w:p w14:paraId="10585A7B" w14:textId="77777777" w:rsidR="005B4BBD" w:rsidRDefault="005B4BBD" w:rsidP="00D74127">
      <w:pPr>
        <w:rPr>
          <w:rFonts w:ascii="Arial" w:eastAsiaTheme="minorHAnsi" w:hAnsi="Arial" w:cs="Arial"/>
        </w:rPr>
      </w:pPr>
    </w:p>
    <w:p w14:paraId="25B05D4A" w14:textId="77777777" w:rsidR="00D74127" w:rsidRPr="00CF7294" w:rsidRDefault="00D74127" w:rsidP="00D74127">
      <w:pPr>
        <w:rPr>
          <w:rFonts w:ascii="Arial" w:eastAsiaTheme="minorHAnsi" w:hAnsi="Arial" w:cs="Arial"/>
        </w:rPr>
      </w:pPr>
      <w:r w:rsidRPr="00CF7294">
        <w:rPr>
          <w:rFonts w:ascii="Arial" w:eastAsiaTheme="minorHAnsi" w:hAnsi="Arial" w:cs="Arial"/>
        </w:rPr>
        <w:t>The short-term recommendations included:</w:t>
      </w:r>
    </w:p>
    <w:p w14:paraId="79F7B67F" w14:textId="77777777" w:rsidR="00D74127" w:rsidRPr="00CF7294" w:rsidRDefault="00D74127" w:rsidP="00D74127">
      <w:pPr>
        <w:rPr>
          <w:rFonts w:ascii="Arial" w:eastAsiaTheme="minorHAnsi" w:hAnsi="Arial" w:cs="Arial"/>
        </w:rPr>
      </w:pPr>
    </w:p>
    <w:p w14:paraId="2F212571" w14:textId="77777777" w:rsidR="00D74127" w:rsidRPr="00700B1F" w:rsidRDefault="00D74127" w:rsidP="00D74127">
      <w:pPr>
        <w:numPr>
          <w:ilvl w:val="0"/>
          <w:numId w:val="6"/>
        </w:numPr>
        <w:rPr>
          <w:rFonts w:ascii="Arial" w:eastAsiaTheme="minorHAnsi" w:hAnsi="Arial" w:cs="Arial"/>
        </w:rPr>
      </w:pPr>
      <w:r w:rsidRPr="00CF7294">
        <w:rPr>
          <w:rFonts w:ascii="Arial" w:eastAsiaTheme="minorHAnsi" w:hAnsi="Arial" w:cs="Arial"/>
        </w:rPr>
        <w:t>defining a three-tier road freight network, which would target investment, reporting and funding on the basis of the level of service provided.</w:t>
      </w:r>
    </w:p>
    <w:p w14:paraId="25A62AE8" w14:textId="77777777" w:rsidR="00D74127" w:rsidRPr="00CF7294" w:rsidRDefault="00D74127" w:rsidP="00D74127">
      <w:pPr>
        <w:numPr>
          <w:ilvl w:val="0"/>
          <w:numId w:val="6"/>
        </w:numPr>
        <w:rPr>
          <w:rFonts w:ascii="Arial" w:eastAsiaTheme="minorHAnsi" w:hAnsi="Arial" w:cs="Arial"/>
        </w:rPr>
      </w:pPr>
      <w:r w:rsidRPr="00CF7294">
        <w:rPr>
          <w:rFonts w:ascii="Arial" w:eastAsiaTheme="minorHAnsi" w:hAnsi="Arial" w:cs="Arial"/>
        </w:rPr>
        <w:t xml:space="preserve">reporting, benchmarking and reviewing road costs reported by states, territories and local government road owners on each tier of the network. Comparing these costs to established </w:t>
      </w:r>
      <w:r w:rsidRPr="00CF7294">
        <w:rPr>
          <w:rFonts w:ascii="Arial" w:eastAsiaTheme="minorHAnsi" w:hAnsi="Arial" w:cs="Arial"/>
        </w:rPr>
        <w:lastRenderedPageBreak/>
        <w:t>benchmarks and the associated level of access with the investment would improve the accountability of road agency spending.</w:t>
      </w:r>
    </w:p>
    <w:p w14:paraId="72C8CB5D" w14:textId="77777777" w:rsidR="00D74127" w:rsidRPr="00CF7294" w:rsidRDefault="00D74127" w:rsidP="00D74127">
      <w:pPr>
        <w:numPr>
          <w:ilvl w:val="0"/>
          <w:numId w:val="6"/>
        </w:numPr>
        <w:rPr>
          <w:rFonts w:ascii="Arial" w:eastAsiaTheme="minorHAnsi" w:hAnsi="Arial" w:cs="Arial"/>
        </w:rPr>
      </w:pPr>
      <w:r w:rsidRPr="00CF7294">
        <w:rPr>
          <w:rFonts w:ascii="Arial" w:eastAsiaTheme="minorHAnsi" w:hAnsi="Arial" w:cs="Arial"/>
        </w:rPr>
        <w:t>a transparent formula for allocating funding to infrastructure suppliers. Allocating recovered funds should reflect the heavy vehicle share of road costs, heavy vehicle use and access upgrades required for the three tiers. Existing and emerging data can support this allocation.  The formula would also include a mechanism to fund low-volume roads through community service obligations.</w:t>
      </w:r>
    </w:p>
    <w:p w14:paraId="1C2E9AC2" w14:textId="77777777" w:rsidR="00D74127" w:rsidRPr="00CF7294" w:rsidRDefault="00D74127" w:rsidP="00D74127">
      <w:pPr>
        <w:rPr>
          <w:rFonts w:ascii="Arial" w:eastAsiaTheme="minorHAnsi" w:hAnsi="Arial" w:cs="Arial"/>
        </w:rPr>
      </w:pPr>
    </w:p>
    <w:p w14:paraId="42F3D493" w14:textId="77777777" w:rsidR="00D74127" w:rsidRPr="00CF7294" w:rsidRDefault="00D74127" w:rsidP="00D74127">
      <w:pPr>
        <w:rPr>
          <w:rFonts w:ascii="Arial" w:eastAsiaTheme="minorHAnsi" w:hAnsi="Arial" w:cs="Arial"/>
        </w:rPr>
      </w:pPr>
      <w:r w:rsidRPr="00CF7294">
        <w:rPr>
          <w:rFonts w:ascii="Arial" w:eastAsiaTheme="minorHAnsi" w:hAnsi="Arial" w:cs="Arial"/>
        </w:rPr>
        <w:t>PwC also provided medium and long-term recommendations that should only be implemented, if and when, the short-term recommendations are delivered and operating:</w:t>
      </w:r>
    </w:p>
    <w:p w14:paraId="1F2EEBEA" w14:textId="77777777" w:rsidR="00D74127" w:rsidRPr="00CF7294" w:rsidRDefault="00D74127" w:rsidP="00D74127">
      <w:pPr>
        <w:rPr>
          <w:rFonts w:ascii="Arial" w:eastAsiaTheme="minorHAnsi" w:hAnsi="Arial" w:cs="Arial"/>
        </w:rPr>
      </w:pPr>
    </w:p>
    <w:p w14:paraId="661D21AF" w14:textId="77777777" w:rsidR="00D74127" w:rsidRPr="00CF7294" w:rsidRDefault="00D74127" w:rsidP="00D74127">
      <w:pPr>
        <w:numPr>
          <w:ilvl w:val="0"/>
          <w:numId w:val="7"/>
        </w:numPr>
        <w:rPr>
          <w:rFonts w:ascii="Arial" w:eastAsiaTheme="minorHAnsi" w:hAnsi="Arial" w:cs="Arial"/>
        </w:rPr>
      </w:pPr>
      <w:r w:rsidRPr="00CF7294">
        <w:rPr>
          <w:rFonts w:ascii="Arial" w:eastAsiaTheme="minorHAnsi" w:hAnsi="Arial" w:cs="Arial"/>
        </w:rPr>
        <w:t>reporting, benchmarking and review of efficient costs. Independent benchmarking of efficient road investment and maintenance costs should be tied to funding allocations for road agencies.</w:t>
      </w:r>
    </w:p>
    <w:p w14:paraId="06A220D4" w14:textId="77777777" w:rsidR="00D74127" w:rsidRPr="00CF7294" w:rsidRDefault="00D74127" w:rsidP="00D74127">
      <w:pPr>
        <w:numPr>
          <w:ilvl w:val="0"/>
          <w:numId w:val="7"/>
        </w:numPr>
        <w:rPr>
          <w:rFonts w:ascii="Arial" w:eastAsiaTheme="minorHAnsi" w:hAnsi="Arial" w:cs="Arial"/>
        </w:rPr>
      </w:pPr>
      <w:r w:rsidRPr="00CF7294">
        <w:rPr>
          <w:rFonts w:ascii="Arial" w:eastAsiaTheme="minorHAnsi" w:hAnsi="Arial" w:cs="Arial"/>
        </w:rPr>
        <w:t>potentially establishing a national road fund. This would assess available freight demand data and submissions from government and the freight industry to develop forward looking investment and maintenance plans for each tier of the network.</w:t>
      </w:r>
    </w:p>
    <w:p w14:paraId="14D207DC" w14:textId="77777777" w:rsidR="00D74127" w:rsidRPr="00CF7294" w:rsidRDefault="00D74127" w:rsidP="00D74127">
      <w:pPr>
        <w:numPr>
          <w:ilvl w:val="0"/>
          <w:numId w:val="7"/>
        </w:numPr>
        <w:rPr>
          <w:rFonts w:ascii="Arial" w:eastAsiaTheme="minorHAnsi" w:hAnsi="Arial" w:cs="Arial"/>
        </w:rPr>
      </w:pPr>
      <w:r w:rsidRPr="00CF7294">
        <w:rPr>
          <w:rFonts w:ascii="Arial" w:eastAsiaTheme="minorHAnsi" w:hAnsi="Arial" w:cs="Arial"/>
        </w:rPr>
        <w:t>further improving the cost reflectivity of road charges in the medium term, a majority fuel based charge should be adopted, reducing the role of registration charges.</w:t>
      </w:r>
    </w:p>
    <w:p w14:paraId="58844828" w14:textId="77777777" w:rsidR="00D74127" w:rsidRPr="00CF7294" w:rsidRDefault="00D74127" w:rsidP="00D74127">
      <w:pPr>
        <w:numPr>
          <w:ilvl w:val="0"/>
          <w:numId w:val="7"/>
        </w:numPr>
        <w:rPr>
          <w:rFonts w:ascii="Arial" w:eastAsiaTheme="minorHAnsi" w:hAnsi="Arial" w:cs="Arial"/>
        </w:rPr>
      </w:pPr>
      <w:r w:rsidRPr="00CF7294">
        <w:rPr>
          <w:rFonts w:ascii="Arial" w:eastAsiaTheme="minorHAnsi" w:hAnsi="Arial" w:cs="Arial"/>
        </w:rPr>
        <w:t>continuing with a fuel and registration-based charge until a strong business case for variable charging emerges. A move to variable charging will be costly and carries high risks of inefficiency in revenue collection.</w:t>
      </w:r>
    </w:p>
    <w:p w14:paraId="65D0FA13" w14:textId="77777777" w:rsidR="00D74127" w:rsidRPr="00CF7294" w:rsidRDefault="00D74127" w:rsidP="00D74127">
      <w:pPr>
        <w:rPr>
          <w:rFonts w:ascii="Arial" w:eastAsiaTheme="minorHAnsi" w:hAnsi="Arial" w:cs="Arial"/>
        </w:rPr>
      </w:pPr>
    </w:p>
    <w:p w14:paraId="1D16990D" w14:textId="77777777" w:rsidR="00D74127" w:rsidRPr="00CF7294" w:rsidRDefault="00D74127" w:rsidP="00D74127">
      <w:pPr>
        <w:rPr>
          <w:rFonts w:ascii="Arial" w:eastAsiaTheme="minorHAnsi" w:hAnsi="Arial" w:cs="Arial"/>
        </w:rPr>
      </w:pPr>
      <w:r w:rsidRPr="00CF7294">
        <w:rPr>
          <w:rFonts w:ascii="Arial" w:eastAsiaTheme="minorHAnsi" w:hAnsi="Arial" w:cs="Arial"/>
        </w:rPr>
        <w:t>PwC recommended variable charging be implemented only if governments can demonstrate the detailed data collected through variable charging can, and will, be used to improve road investment decision-making, in such a way that the added cost, time and complexity of the new process is warranted</w:t>
      </w:r>
    </w:p>
    <w:p w14:paraId="06FA3BA7" w14:textId="77777777" w:rsidR="00D74127" w:rsidRPr="00CF7294" w:rsidRDefault="00D74127" w:rsidP="00D74127">
      <w:pPr>
        <w:rPr>
          <w:rFonts w:ascii="Arial" w:eastAsiaTheme="minorHAnsi" w:hAnsi="Arial" w:cs="Arial"/>
        </w:rPr>
      </w:pPr>
    </w:p>
    <w:p w14:paraId="48CF246C" w14:textId="77777777" w:rsidR="00D74127" w:rsidRPr="00CF7294" w:rsidRDefault="00D74127" w:rsidP="00D74127">
      <w:pPr>
        <w:rPr>
          <w:rFonts w:ascii="Arial" w:eastAsiaTheme="minorHAnsi" w:hAnsi="Arial" w:cs="Arial"/>
        </w:rPr>
      </w:pPr>
      <w:r w:rsidRPr="00CF7294">
        <w:rPr>
          <w:rFonts w:ascii="Arial" w:eastAsiaTheme="minorHAnsi" w:hAnsi="Arial" w:cs="Arial"/>
        </w:rPr>
        <w:t>The ATA supports the short-term PwC recommendations and once the short-term recommendations are established it will consider the medium to long-term recommendations.</w:t>
      </w:r>
    </w:p>
    <w:p w14:paraId="57719F72" w14:textId="77777777" w:rsidR="0012381A" w:rsidRPr="0012381A" w:rsidRDefault="0012381A" w:rsidP="0012381A">
      <w:pPr>
        <w:rPr>
          <w:rFonts w:ascii="Arial" w:hAnsi="Arial" w:cs="Arial"/>
          <w:b/>
        </w:rPr>
      </w:pPr>
    </w:p>
    <w:p w14:paraId="4ED0D28E" w14:textId="2269413C" w:rsidR="0012381A" w:rsidRPr="0012381A" w:rsidRDefault="0012381A" w:rsidP="0012381A">
      <w:pPr>
        <w:rPr>
          <w:rFonts w:ascii="Arial" w:hAnsi="Arial" w:cs="Arial"/>
          <w:b/>
        </w:rPr>
      </w:pPr>
      <w:r w:rsidRPr="0012381A">
        <w:rPr>
          <w:rFonts w:ascii="Arial" w:hAnsi="Arial" w:cs="Arial"/>
          <w:b/>
        </w:rPr>
        <w:t xml:space="preserve">Recommendation </w:t>
      </w:r>
      <w:r w:rsidR="006975D4">
        <w:rPr>
          <w:rFonts w:ascii="Arial" w:hAnsi="Arial" w:cs="Arial"/>
          <w:b/>
        </w:rPr>
        <w:t>5</w:t>
      </w:r>
    </w:p>
    <w:p w14:paraId="3C2A6E7F" w14:textId="77777777" w:rsidR="0012381A" w:rsidRDefault="0012381A" w:rsidP="0012381A">
      <w:pPr>
        <w:rPr>
          <w:rFonts w:ascii="Arial" w:hAnsi="Arial" w:cs="Arial"/>
        </w:rPr>
      </w:pPr>
    </w:p>
    <w:p w14:paraId="243B0107" w14:textId="5916AD85" w:rsidR="0012381A" w:rsidRDefault="0012381A" w:rsidP="0012381A">
      <w:pPr>
        <w:rPr>
          <w:rFonts w:ascii="Arial" w:hAnsi="Arial" w:cs="Arial"/>
        </w:rPr>
      </w:pPr>
      <w:r>
        <w:rPr>
          <w:rFonts w:ascii="Arial" w:hAnsi="Arial" w:cs="Arial"/>
        </w:rPr>
        <w:t>The Government should implement the Department of Infrastructure and Regional Developments recommended initial measures to improve road agency performance</w:t>
      </w:r>
      <w:r w:rsidR="00D74127">
        <w:rPr>
          <w:rFonts w:ascii="Arial" w:hAnsi="Arial" w:cs="Arial"/>
        </w:rPr>
        <w:t xml:space="preserve"> in the short term</w:t>
      </w:r>
      <w:r>
        <w:rPr>
          <w:rFonts w:ascii="Arial" w:hAnsi="Arial" w:cs="Arial"/>
        </w:rPr>
        <w:t>.</w:t>
      </w:r>
    </w:p>
    <w:p w14:paraId="06A32377" w14:textId="77777777" w:rsidR="0012381A" w:rsidRDefault="0012381A" w:rsidP="0012381A">
      <w:pPr>
        <w:rPr>
          <w:rFonts w:ascii="Arial" w:hAnsi="Arial" w:cs="Arial"/>
        </w:rPr>
      </w:pPr>
    </w:p>
    <w:p w14:paraId="3BF977BF" w14:textId="15038CE9" w:rsidR="0012381A" w:rsidRPr="00CF7294" w:rsidRDefault="0012381A" w:rsidP="0012381A">
      <w:pPr>
        <w:pStyle w:val="NormalWeb"/>
        <w:spacing w:before="0" w:beforeAutospacing="0" w:after="0" w:afterAutospacing="0"/>
        <w:rPr>
          <w:rFonts w:ascii="Arial" w:hAnsi="Arial" w:cs="Arial"/>
          <w:b/>
          <w:iCs/>
          <w:sz w:val="22"/>
          <w:szCs w:val="22"/>
        </w:rPr>
      </w:pPr>
      <w:r w:rsidRPr="00CF7294">
        <w:rPr>
          <w:rFonts w:ascii="Arial" w:hAnsi="Arial" w:cs="Arial"/>
          <w:b/>
          <w:iCs/>
          <w:sz w:val="22"/>
          <w:szCs w:val="22"/>
        </w:rPr>
        <w:t>Recommendation</w:t>
      </w:r>
      <w:r>
        <w:rPr>
          <w:rFonts w:ascii="Arial" w:hAnsi="Arial" w:cs="Arial"/>
          <w:b/>
          <w:iCs/>
          <w:sz w:val="22"/>
          <w:szCs w:val="22"/>
        </w:rPr>
        <w:t xml:space="preserve"> </w:t>
      </w:r>
      <w:r w:rsidR="006975D4">
        <w:rPr>
          <w:rFonts w:ascii="Arial" w:hAnsi="Arial" w:cs="Arial"/>
          <w:b/>
          <w:iCs/>
          <w:sz w:val="22"/>
          <w:szCs w:val="22"/>
        </w:rPr>
        <w:t>6</w:t>
      </w:r>
    </w:p>
    <w:p w14:paraId="6C739B59" w14:textId="77777777" w:rsidR="0012381A" w:rsidRPr="00CF7294" w:rsidRDefault="0012381A" w:rsidP="0012381A">
      <w:pPr>
        <w:pStyle w:val="NormalWeb"/>
        <w:spacing w:before="0" w:beforeAutospacing="0" w:after="0" w:afterAutospacing="0"/>
        <w:rPr>
          <w:rFonts w:ascii="Arial" w:hAnsi="Arial" w:cs="Arial"/>
          <w:iCs/>
          <w:sz w:val="22"/>
          <w:szCs w:val="22"/>
        </w:rPr>
      </w:pPr>
    </w:p>
    <w:p w14:paraId="2A1B91AE" w14:textId="27B8FDC1" w:rsidR="0012381A" w:rsidRPr="00CF7294" w:rsidRDefault="0012381A" w:rsidP="0012381A">
      <w:pPr>
        <w:pStyle w:val="NormalWeb"/>
        <w:spacing w:before="0" w:beforeAutospacing="0" w:after="0" w:afterAutospacing="0"/>
        <w:rPr>
          <w:rFonts w:ascii="Arial" w:hAnsi="Arial" w:cs="Arial"/>
          <w:iCs/>
          <w:sz w:val="22"/>
          <w:szCs w:val="22"/>
        </w:rPr>
      </w:pPr>
      <w:r w:rsidRPr="00CF7294">
        <w:rPr>
          <w:rFonts w:ascii="Arial" w:hAnsi="Arial" w:cs="Arial"/>
          <w:iCs/>
          <w:sz w:val="22"/>
          <w:szCs w:val="22"/>
        </w:rPr>
        <w:t>The Government should implement the following Productivity Commission Public Infrastructure inquiry recommendations</w:t>
      </w:r>
      <w:r w:rsidR="00D74127">
        <w:rPr>
          <w:rFonts w:ascii="Arial" w:hAnsi="Arial" w:cs="Arial"/>
          <w:iCs/>
          <w:sz w:val="22"/>
          <w:szCs w:val="22"/>
        </w:rPr>
        <w:t xml:space="preserve"> in the medium to long term</w:t>
      </w:r>
      <w:r w:rsidRPr="00CF7294">
        <w:rPr>
          <w:rFonts w:ascii="Arial" w:hAnsi="Arial" w:cs="Arial"/>
          <w:iCs/>
          <w:sz w:val="22"/>
          <w:szCs w:val="22"/>
        </w:rPr>
        <w:t>:</w:t>
      </w:r>
    </w:p>
    <w:p w14:paraId="7EB08CDC" w14:textId="77777777" w:rsidR="0012381A" w:rsidRPr="00CF7294" w:rsidRDefault="0012381A" w:rsidP="0012381A">
      <w:pPr>
        <w:pStyle w:val="ListParagraph"/>
        <w:numPr>
          <w:ilvl w:val="0"/>
          <w:numId w:val="9"/>
        </w:numPr>
        <w:rPr>
          <w:rFonts w:ascii="Arial" w:eastAsiaTheme="minorHAnsi" w:hAnsi="Arial" w:cs="Arial"/>
        </w:rPr>
      </w:pPr>
      <w:r w:rsidRPr="00CF7294">
        <w:rPr>
          <w:rFonts w:ascii="Arial" w:eastAsiaTheme="minorHAnsi" w:hAnsi="Arial" w:cs="Arial"/>
        </w:rPr>
        <w:t>conditional funding for states</w:t>
      </w:r>
    </w:p>
    <w:p w14:paraId="5618CD28" w14:textId="77777777" w:rsidR="0012381A" w:rsidRPr="00CF7294" w:rsidRDefault="0012381A" w:rsidP="0012381A">
      <w:pPr>
        <w:pStyle w:val="ListParagraph"/>
        <w:numPr>
          <w:ilvl w:val="0"/>
          <w:numId w:val="9"/>
        </w:numPr>
        <w:rPr>
          <w:rFonts w:ascii="Arial" w:eastAsiaTheme="minorHAnsi" w:hAnsi="Arial" w:cs="Arial"/>
        </w:rPr>
      </w:pPr>
      <w:r w:rsidRPr="00CF7294">
        <w:rPr>
          <w:rFonts w:ascii="Arial" w:eastAsiaTheme="minorHAnsi" w:hAnsi="Arial" w:cs="Arial"/>
        </w:rPr>
        <w:t>improved governance arrangements</w:t>
      </w:r>
    </w:p>
    <w:p w14:paraId="10834D7A" w14:textId="77777777" w:rsidR="0012381A" w:rsidRPr="00CF7294" w:rsidRDefault="0012381A" w:rsidP="0012381A">
      <w:pPr>
        <w:pStyle w:val="ListParagraph"/>
        <w:numPr>
          <w:ilvl w:val="0"/>
          <w:numId w:val="9"/>
        </w:numPr>
        <w:rPr>
          <w:rFonts w:ascii="Arial" w:eastAsiaTheme="minorHAnsi" w:hAnsi="Arial" w:cs="Arial"/>
        </w:rPr>
      </w:pPr>
      <w:r w:rsidRPr="00CF7294">
        <w:rPr>
          <w:rFonts w:ascii="Arial" w:eastAsiaTheme="minorHAnsi" w:hAnsi="Arial" w:cs="Arial"/>
        </w:rPr>
        <w:t>project benchmarking</w:t>
      </w:r>
    </w:p>
    <w:p w14:paraId="184001E9" w14:textId="77777777" w:rsidR="0012381A" w:rsidRPr="00CF7294" w:rsidRDefault="0012381A" w:rsidP="0012381A">
      <w:pPr>
        <w:pStyle w:val="ListParagraph"/>
        <w:numPr>
          <w:ilvl w:val="0"/>
          <w:numId w:val="9"/>
        </w:numPr>
        <w:rPr>
          <w:rFonts w:ascii="Arial" w:eastAsiaTheme="minorHAnsi" w:hAnsi="Arial" w:cs="Arial"/>
        </w:rPr>
      </w:pPr>
      <w:r>
        <w:rPr>
          <w:rFonts w:ascii="Arial" w:eastAsiaTheme="minorHAnsi" w:hAnsi="Arial" w:cs="Arial"/>
        </w:rPr>
        <w:t>better project selection</w:t>
      </w:r>
      <w:r w:rsidRPr="00CF7294">
        <w:rPr>
          <w:rFonts w:ascii="Arial" w:eastAsiaTheme="minorHAnsi" w:hAnsi="Arial" w:cs="Arial"/>
        </w:rPr>
        <w:t xml:space="preserve"> </w:t>
      </w:r>
    </w:p>
    <w:p w14:paraId="6A961126" w14:textId="77777777" w:rsidR="0012381A" w:rsidRPr="00263333" w:rsidRDefault="0012381A" w:rsidP="0012381A">
      <w:pPr>
        <w:pStyle w:val="ListParagraph"/>
        <w:numPr>
          <w:ilvl w:val="0"/>
          <w:numId w:val="9"/>
        </w:numPr>
        <w:spacing w:after="0"/>
        <w:rPr>
          <w:rFonts w:ascii="Arial" w:hAnsi="Arial" w:cs="Arial"/>
          <w:iCs/>
        </w:rPr>
      </w:pPr>
      <w:r w:rsidRPr="00CF7294">
        <w:rPr>
          <w:rFonts w:ascii="Arial" w:eastAsiaTheme="minorHAnsi" w:hAnsi="Arial" w:cs="Arial"/>
        </w:rPr>
        <w:t>improved cost benefit analysis.</w:t>
      </w:r>
    </w:p>
    <w:p w14:paraId="1A1CBFEA" w14:textId="77777777" w:rsidR="0012381A" w:rsidRDefault="0012381A" w:rsidP="0012381A">
      <w:pPr>
        <w:pStyle w:val="NormalWeb"/>
        <w:spacing w:before="0" w:beforeAutospacing="0" w:after="0" w:afterAutospacing="0"/>
        <w:rPr>
          <w:rFonts w:ascii="Arial" w:hAnsi="Arial" w:cs="Arial"/>
          <w:iCs/>
          <w:sz w:val="22"/>
          <w:szCs w:val="22"/>
        </w:rPr>
      </w:pPr>
    </w:p>
    <w:p w14:paraId="026B6CB9" w14:textId="6DB7AF28" w:rsidR="00D74127" w:rsidRPr="00CF7294" w:rsidRDefault="006975D4" w:rsidP="00D74127">
      <w:pPr>
        <w:rPr>
          <w:rFonts w:ascii="Arial" w:eastAsiaTheme="minorHAnsi" w:hAnsi="Arial" w:cs="Arial"/>
          <w:b/>
        </w:rPr>
      </w:pPr>
      <w:r>
        <w:rPr>
          <w:rFonts w:ascii="Arial" w:eastAsiaTheme="minorHAnsi" w:hAnsi="Arial" w:cs="Arial"/>
          <w:b/>
        </w:rPr>
        <w:t>Recommendation 7</w:t>
      </w:r>
    </w:p>
    <w:p w14:paraId="6E369EDD" w14:textId="77777777" w:rsidR="00D74127" w:rsidRPr="00CF7294" w:rsidRDefault="00D74127" w:rsidP="00D74127">
      <w:pPr>
        <w:rPr>
          <w:rFonts w:ascii="Arial" w:eastAsiaTheme="minorHAnsi" w:hAnsi="Arial" w:cs="Arial"/>
          <w:b/>
        </w:rPr>
      </w:pPr>
    </w:p>
    <w:p w14:paraId="5BFB3711" w14:textId="6643FC66" w:rsidR="0012381A" w:rsidRDefault="00D74127" w:rsidP="005B4BBD">
      <w:pPr>
        <w:rPr>
          <w:rFonts w:ascii="Arial" w:hAnsi="Arial" w:cs="Arial"/>
          <w:iCs/>
        </w:rPr>
      </w:pPr>
      <w:r w:rsidRPr="00CF7294">
        <w:rPr>
          <w:rFonts w:ascii="Arial" w:eastAsiaTheme="minorHAnsi" w:hAnsi="Arial" w:cs="Arial"/>
        </w:rPr>
        <w:t>The Government should implement the PricewaterhouseCoopers</w:t>
      </w:r>
      <w:r w:rsidR="005B4BBD">
        <w:rPr>
          <w:rFonts w:ascii="Arial" w:eastAsiaTheme="minorHAnsi" w:hAnsi="Arial" w:cs="Arial"/>
        </w:rPr>
        <w:t xml:space="preserve"> comprehensive</w:t>
      </w:r>
      <w:r w:rsidR="005B4BBD" w:rsidRPr="005B4BBD">
        <w:rPr>
          <w:rFonts w:ascii="Arial" w:eastAsiaTheme="minorHAnsi" w:hAnsi="Arial" w:cs="Arial"/>
        </w:rPr>
        <w:t xml:space="preserve"> </w:t>
      </w:r>
      <w:r w:rsidR="005B4BBD">
        <w:rPr>
          <w:rFonts w:ascii="Arial" w:eastAsiaTheme="minorHAnsi" w:hAnsi="Arial" w:cs="Arial"/>
        </w:rPr>
        <w:t xml:space="preserve">road supply side recommendations to improve road infrastructure. </w:t>
      </w:r>
    </w:p>
    <w:p w14:paraId="0290F8EF" w14:textId="77777777" w:rsidR="003809C8" w:rsidRPr="00720389" w:rsidRDefault="003809C8" w:rsidP="0094663E">
      <w:pPr>
        <w:rPr>
          <w:rFonts w:ascii="Arial" w:hAnsi="Arial" w:cs="Arial"/>
        </w:rPr>
      </w:pPr>
    </w:p>
    <w:sectPr w:rsidR="003809C8" w:rsidRPr="00720389" w:rsidSect="00A9141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97AE9" w14:textId="77777777" w:rsidR="00CA0540" w:rsidRDefault="00CA0540" w:rsidP="000F3D9F">
      <w:r>
        <w:separator/>
      </w:r>
    </w:p>
  </w:endnote>
  <w:endnote w:type="continuationSeparator" w:id="0">
    <w:p w14:paraId="7F257E95" w14:textId="77777777" w:rsidR="00CA0540" w:rsidRDefault="00CA0540"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AF5F8" w14:textId="77777777" w:rsidR="000D15CD" w:rsidRDefault="000D1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4E38B" w14:textId="77777777" w:rsidR="00CA0540" w:rsidRDefault="00CA0540"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14:anchorId="5BFA161B" wp14:editId="242EE0A7">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14:paraId="202A2C02" w14:textId="77777777" w:rsidR="00CA0540" w:rsidRPr="00E8056B" w:rsidRDefault="00CA0540" w:rsidP="00E8056B">
    <w:pPr>
      <w:jc w:val="right"/>
      <w:rPr>
        <w:rFonts w:ascii="Arial" w:hAnsi="Arial" w:cs="Arial"/>
        <w:sz w:val="16"/>
        <w:szCs w:val="16"/>
      </w:rPr>
    </w:pPr>
  </w:p>
  <w:p w14:paraId="0CE6FA68" w14:textId="77777777" w:rsidR="00CA0540" w:rsidRPr="00E8056B" w:rsidRDefault="00CA0540"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14:paraId="14212BAB" w14:textId="77777777" w:rsidR="00CA0540" w:rsidRPr="00E8056B" w:rsidRDefault="00CA0540"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DE5C5" w14:textId="77777777" w:rsidR="00CA0540" w:rsidRDefault="00CA0540">
    <w:pPr>
      <w:pStyle w:val="Footer"/>
      <w:jc w:val="right"/>
    </w:pPr>
    <w:r>
      <w:fldChar w:fldCharType="begin"/>
    </w:r>
    <w:r>
      <w:instrText xml:space="preserve"> PAGE   \* MERGEFORMAT </w:instrText>
    </w:r>
    <w:r>
      <w:fldChar w:fldCharType="separate"/>
    </w:r>
    <w:r>
      <w:rPr>
        <w:noProof/>
      </w:rPr>
      <w:t>7</w:t>
    </w:r>
    <w:r>
      <w:rPr>
        <w:noProof/>
      </w:rPr>
      <w:fldChar w:fldCharType="end"/>
    </w:r>
  </w:p>
  <w:p w14:paraId="15447343" w14:textId="77777777" w:rsidR="00CA0540" w:rsidRDefault="00CA05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9A652" w14:textId="77777777" w:rsidR="00CA0540" w:rsidRDefault="00CA05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insideH w:val="single" w:sz="4" w:space="0" w:color="000000"/>
      </w:tblBorders>
      <w:tblLook w:val="04A0" w:firstRow="1" w:lastRow="0" w:firstColumn="1" w:lastColumn="0" w:noHBand="0" w:noVBand="1"/>
    </w:tblPr>
    <w:tblGrid>
      <w:gridCol w:w="4825"/>
      <w:gridCol w:w="4813"/>
    </w:tblGrid>
    <w:tr w:rsidR="00CA0540" w:rsidRPr="00A91411" w14:paraId="275F7CA2" w14:textId="77777777" w:rsidTr="008E09F4">
      <w:trPr>
        <w:trHeight w:val="57"/>
      </w:trPr>
      <w:tc>
        <w:tcPr>
          <w:tcW w:w="4927" w:type="dxa"/>
          <w:vAlign w:val="center"/>
        </w:tcPr>
        <w:p w14:paraId="72757EA4" w14:textId="77777777" w:rsidR="00CA0540" w:rsidRPr="00A91411" w:rsidRDefault="00CA0540" w:rsidP="00D01230">
          <w:pPr>
            <w:pStyle w:val="Footer"/>
            <w:rPr>
              <w:rFonts w:ascii="Arial" w:hAnsi="Arial" w:cs="Arial"/>
              <w:sz w:val="14"/>
              <w:szCs w:val="14"/>
            </w:rPr>
          </w:pPr>
          <w:r>
            <w:rPr>
              <w:rFonts w:ascii="Arial" w:hAnsi="Arial" w:cs="Arial"/>
              <w:sz w:val="14"/>
              <w:szCs w:val="14"/>
            </w:rPr>
            <w:t xml:space="preserve">ATA Submission: Australian Government: </w:t>
          </w:r>
          <w:proofErr w:type="spellStart"/>
          <w:r w:rsidRPr="00BB0290">
            <w:rPr>
              <w:rFonts w:ascii="Arial" w:hAnsi="Arial" w:cs="Arial"/>
              <w:sz w:val="14"/>
              <w:szCs w:val="14"/>
            </w:rPr>
            <w:t>Re:think</w:t>
          </w:r>
          <w:proofErr w:type="spellEnd"/>
          <w:r w:rsidRPr="00BB0290">
            <w:rPr>
              <w:rFonts w:ascii="Arial" w:hAnsi="Arial" w:cs="Arial"/>
              <w:sz w:val="14"/>
              <w:szCs w:val="14"/>
            </w:rPr>
            <w:t xml:space="preserve"> Tax Discussion Paper</w:t>
          </w:r>
        </w:p>
      </w:tc>
      <w:tc>
        <w:tcPr>
          <w:tcW w:w="4927" w:type="dxa"/>
          <w:vAlign w:val="center"/>
        </w:tcPr>
        <w:p w14:paraId="208848D9" w14:textId="77777777" w:rsidR="00CA0540" w:rsidRPr="00A91411" w:rsidRDefault="00CA0540" w:rsidP="00D735FF">
          <w:pPr>
            <w:pStyle w:val="Footer"/>
            <w:jc w:val="right"/>
            <w:rPr>
              <w:rFonts w:ascii="Arial" w:hAnsi="Arial" w:cs="Arial"/>
              <w:sz w:val="14"/>
              <w:szCs w:val="14"/>
            </w:rPr>
          </w:pPr>
          <w:r w:rsidRPr="00A91411">
            <w:rPr>
              <w:rFonts w:ascii="Arial" w:hAnsi="Arial" w:cs="Arial"/>
              <w:sz w:val="14"/>
              <w:szCs w:val="14"/>
            </w:rPr>
            <w:t xml:space="preserve">Page </w:t>
          </w:r>
          <w:r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Pr="00A91411">
            <w:rPr>
              <w:rFonts w:ascii="Arial" w:hAnsi="Arial" w:cs="Arial"/>
              <w:sz w:val="14"/>
              <w:szCs w:val="14"/>
            </w:rPr>
            <w:fldChar w:fldCharType="separate"/>
          </w:r>
          <w:r w:rsidR="008F6986">
            <w:rPr>
              <w:rFonts w:ascii="Arial" w:hAnsi="Arial" w:cs="Arial"/>
              <w:noProof/>
              <w:sz w:val="14"/>
              <w:szCs w:val="14"/>
            </w:rPr>
            <w:t>13</w:t>
          </w:r>
          <w:r w:rsidRPr="00A91411">
            <w:rPr>
              <w:rFonts w:ascii="Arial" w:hAnsi="Arial" w:cs="Arial"/>
              <w:sz w:val="14"/>
              <w:szCs w:val="14"/>
            </w:rPr>
            <w:fldChar w:fldCharType="end"/>
          </w:r>
        </w:p>
      </w:tc>
    </w:tr>
  </w:tbl>
  <w:p w14:paraId="153D177D" w14:textId="77777777" w:rsidR="00CA0540" w:rsidRPr="00A91411" w:rsidRDefault="00CA0540">
    <w:pP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2ECC7" w14:textId="77777777" w:rsidR="00CA0540" w:rsidRDefault="00CA0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471CD" w14:textId="77777777" w:rsidR="00CA0540" w:rsidRDefault="00CA0540" w:rsidP="000F3D9F">
      <w:r>
        <w:separator/>
      </w:r>
    </w:p>
  </w:footnote>
  <w:footnote w:type="continuationSeparator" w:id="0">
    <w:p w14:paraId="29CB6302" w14:textId="77777777" w:rsidR="00CA0540" w:rsidRDefault="00CA0540" w:rsidP="000F3D9F">
      <w:r>
        <w:continuationSeparator/>
      </w:r>
    </w:p>
  </w:footnote>
  <w:footnote w:id="1">
    <w:p w14:paraId="725E9501" w14:textId="3A915261" w:rsidR="00CA0540" w:rsidRPr="009D5312" w:rsidRDefault="00CA0540">
      <w:pPr>
        <w:pStyle w:val="FootnoteText"/>
        <w:rPr>
          <w:rFonts w:ascii="Arial" w:hAnsi="Arial" w:cs="Arial"/>
          <w:sz w:val="18"/>
          <w:szCs w:val="18"/>
        </w:rPr>
      </w:pPr>
      <w:r>
        <w:rPr>
          <w:rStyle w:val="FootnoteReference"/>
        </w:rPr>
        <w:footnoteRef/>
      </w:r>
      <w:r>
        <w:t xml:space="preserve"> </w:t>
      </w:r>
      <w:r w:rsidRPr="009D5312">
        <w:rPr>
          <w:rFonts w:ascii="Arial" w:hAnsi="Arial" w:cs="Arial"/>
          <w:sz w:val="18"/>
          <w:szCs w:val="18"/>
        </w:rPr>
        <w:t xml:space="preserve">Australian Bureau of Statistics </w:t>
      </w:r>
      <w:r w:rsidRPr="009D5312">
        <w:rPr>
          <w:rFonts w:ascii="Arial" w:hAnsi="Arial" w:cs="Arial"/>
          <w:i/>
          <w:sz w:val="18"/>
          <w:szCs w:val="18"/>
        </w:rPr>
        <w:t>Counts of Australian Businesses, including Entries and Exits, Jun 2010 to Jun 2014, Cat 8165</w:t>
      </w:r>
      <w:r w:rsidRPr="009D5312">
        <w:rPr>
          <w:rFonts w:ascii="Arial" w:hAnsi="Arial" w:cs="Arial"/>
          <w:sz w:val="18"/>
          <w:szCs w:val="18"/>
        </w:rPr>
        <w:t xml:space="preserve">, accessible at: </w:t>
      </w:r>
      <w:hyperlink r:id="rId1" w:history="1">
        <w:r w:rsidRPr="009D5312">
          <w:rPr>
            <w:rStyle w:val="Hyperlink"/>
            <w:rFonts w:ascii="Arial" w:hAnsi="Arial" w:cs="Arial"/>
            <w:sz w:val="18"/>
            <w:szCs w:val="18"/>
          </w:rPr>
          <w:t>http://www.abs.gov.au/ausstats/abs@.nsf/mf/8165.0</w:t>
        </w:r>
      </w:hyperlink>
      <w:r w:rsidRPr="009D5312">
        <w:rPr>
          <w:rFonts w:ascii="Arial" w:hAnsi="Arial" w:cs="Arial"/>
          <w:sz w:val="18"/>
          <w:szCs w:val="18"/>
        </w:rPr>
        <w:t xml:space="preserve">, March 2015. </w:t>
      </w:r>
      <w:r w:rsidRPr="009D5312">
        <w:rPr>
          <w:rFonts w:ascii="Arial" w:hAnsi="Arial" w:cs="Arial"/>
          <w:i/>
          <w:sz w:val="18"/>
          <w:szCs w:val="18"/>
        </w:rPr>
        <w:t xml:space="preserve"> </w:t>
      </w:r>
    </w:p>
  </w:footnote>
  <w:footnote w:id="2">
    <w:p w14:paraId="0FD41736" w14:textId="77777777" w:rsidR="00CA0540" w:rsidRPr="009D5312" w:rsidRDefault="00CA0540">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Australian Government, </w:t>
      </w:r>
      <w:r w:rsidRPr="009D5312">
        <w:rPr>
          <w:rFonts w:ascii="Arial" w:hAnsi="Arial" w:cs="Arial"/>
          <w:i/>
          <w:sz w:val="18"/>
          <w:szCs w:val="18"/>
        </w:rPr>
        <w:t>Rethink Tax Discussion paper</w:t>
      </w:r>
      <w:r w:rsidRPr="009D5312">
        <w:rPr>
          <w:rFonts w:ascii="Arial" w:hAnsi="Arial" w:cs="Arial"/>
          <w:sz w:val="18"/>
          <w:szCs w:val="18"/>
        </w:rPr>
        <w:t xml:space="preserve"> March 2015, accessible at:</w:t>
      </w:r>
      <w:hyperlink r:id="rId2" w:history="1">
        <w:r w:rsidRPr="009D5312">
          <w:rPr>
            <w:rStyle w:val="Hyperlink"/>
            <w:rFonts w:ascii="Arial" w:hAnsi="Arial" w:cs="Arial"/>
            <w:sz w:val="18"/>
            <w:szCs w:val="18"/>
          </w:rPr>
          <w:t>http://bettertax.gov.au/files/2015/03/TWP_combined-online.pdf</w:t>
        </w:r>
      </w:hyperlink>
      <w:r w:rsidRPr="009D5312">
        <w:rPr>
          <w:rFonts w:ascii="Arial" w:hAnsi="Arial" w:cs="Arial"/>
          <w:sz w:val="18"/>
          <w:szCs w:val="18"/>
        </w:rPr>
        <w:t>, Page 28</w:t>
      </w:r>
    </w:p>
  </w:footnote>
  <w:footnote w:id="3">
    <w:p w14:paraId="568B3D2B" w14:textId="77777777" w:rsidR="00CA0540" w:rsidRPr="009D5312" w:rsidRDefault="00CA0540" w:rsidP="009A22F4">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Board of Taxation, Scoping study of small business tax compliance costs A report to the Treasurer, December 2007, accessible at: </w:t>
      </w:r>
      <w:hyperlink r:id="rId3" w:history="1">
        <w:r w:rsidRPr="009D5312">
          <w:rPr>
            <w:rStyle w:val="Hyperlink"/>
            <w:rFonts w:ascii="Arial" w:hAnsi="Arial" w:cs="Arial"/>
            <w:sz w:val="18"/>
            <w:szCs w:val="18"/>
          </w:rPr>
          <w:t>http://www.taxboard.gov.au/content/reviews_and_consultations/small_business_tax_compliance_costs/scoping_study_report/downloads/small_business_tax_compliance_costs_scoping_study.pdf</w:t>
        </w:r>
      </w:hyperlink>
      <w:r w:rsidRPr="009D5312">
        <w:rPr>
          <w:rFonts w:ascii="Arial" w:hAnsi="Arial" w:cs="Arial"/>
          <w:sz w:val="18"/>
          <w:szCs w:val="18"/>
        </w:rPr>
        <w:t xml:space="preserve">  Page 12</w:t>
      </w:r>
    </w:p>
  </w:footnote>
  <w:footnote w:id="4">
    <w:p w14:paraId="7AD3E4F3" w14:textId="77777777" w:rsidR="006D783D" w:rsidRPr="009D5312" w:rsidRDefault="006D783D" w:rsidP="006D783D">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Parliamentary Joint Committee on corporations and financial services, </w:t>
      </w:r>
      <w:r w:rsidRPr="009D5312">
        <w:rPr>
          <w:rFonts w:ascii="Arial" w:hAnsi="Arial" w:cs="Arial"/>
          <w:i/>
          <w:sz w:val="18"/>
          <w:szCs w:val="18"/>
        </w:rPr>
        <w:t xml:space="preserve">Family Businesses in Australia – different and significant: why they shouldn’t be overlooked, </w:t>
      </w:r>
      <w:r w:rsidRPr="009D5312">
        <w:rPr>
          <w:rFonts w:ascii="Arial" w:hAnsi="Arial" w:cs="Arial"/>
          <w:sz w:val="18"/>
          <w:szCs w:val="18"/>
        </w:rPr>
        <w:t xml:space="preserve">March 2013, accessible at: </w:t>
      </w:r>
      <w:hyperlink r:id="rId4" w:history="1">
        <w:r w:rsidRPr="009D5312">
          <w:rPr>
            <w:rStyle w:val="Hyperlink"/>
            <w:rFonts w:ascii="Arial" w:hAnsi="Arial" w:cs="Arial"/>
            <w:sz w:val="18"/>
            <w:szCs w:val="18"/>
          </w:rPr>
          <w:t>http://www.aph.gov.au/~/media/wopapub/senate/committee/corporations_ctte/completed_inquiries/2010_13/fam_bus/report/report_pdf.ashx</w:t>
        </w:r>
      </w:hyperlink>
      <w:r w:rsidRPr="009D5312">
        <w:rPr>
          <w:rFonts w:ascii="Arial" w:hAnsi="Arial" w:cs="Arial"/>
          <w:sz w:val="18"/>
          <w:szCs w:val="18"/>
        </w:rPr>
        <w:t xml:space="preserve">, Page Xiii </w:t>
      </w:r>
    </w:p>
  </w:footnote>
  <w:footnote w:id="5">
    <w:p w14:paraId="569548D8" w14:textId="77777777" w:rsidR="00E91474" w:rsidRPr="009D5312" w:rsidRDefault="00E91474" w:rsidP="00E91474">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Page 279 </w:t>
      </w:r>
      <w:r w:rsidRPr="009D5312">
        <w:rPr>
          <w:rFonts w:ascii="Arial" w:hAnsi="Arial" w:cs="Arial"/>
          <w:i/>
          <w:sz w:val="18"/>
          <w:szCs w:val="18"/>
        </w:rPr>
        <w:t>Productivity Commission Business Set-Up, Transfer and Closure draft report</w:t>
      </w:r>
      <w:r w:rsidRPr="009D5312">
        <w:rPr>
          <w:rFonts w:ascii="Arial" w:hAnsi="Arial" w:cs="Arial"/>
          <w:sz w:val="18"/>
          <w:szCs w:val="18"/>
        </w:rPr>
        <w:t xml:space="preserve"> , Accessible at </w:t>
      </w:r>
      <w:hyperlink r:id="rId5" w:history="1">
        <w:r w:rsidRPr="009D5312">
          <w:rPr>
            <w:rStyle w:val="Hyperlink"/>
            <w:rFonts w:ascii="Arial" w:hAnsi="Arial" w:cs="Arial"/>
            <w:sz w:val="18"/>
            <w:szCs w:val="18"/>
          </w:rPr>
          <w:t>http://www.pc.gov.au/inquiries/current/business/draft/business-draft.pdf</w:t>
        </w:r>
      </w:hyperlink>
      <w:r w:rsidRPr="009D5312">
        <w:rPr>
          <w:rFonts w:ascii="Arial" w:hAnsi="Arial" w:cs="Arial"/>
          <w:sz w:val="18"/>
          <w:szCs w:val="18"/>
        </w:rPr>
        <w:t>, May 2015,</w:t>
      </w:r>
    </w:p>
  </w:footnote>
  <w:footnote w:id="6">
    <w:p w14:paraId="577C87A4" w14:textId="77777777" w:rsidR="006D783D" w:rsidRPr="009D5312" w:rsidRDefault="006D783D" w:rsidP="006D783D">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Productivity Commission </w:t>
      </w:r>
      <w:r w:rsidRPr="009D5312">
        <w:rPr>
          <w:rFonts w:ascii="Arial" w:hAnsi="Arial" w:cs="Arial"/>
          <w:i/>
          <w:sz w:val="18"/>
          <w:szCs w:val="18"/>
        </w:rPr>
        <w:t>Business Set-Up, Transfer and Closure draft report</w:t>
      </w:r>
      <w:r w:rsidRPr="009D5312">
        <w:rPr>
          <w:rFonts w:ascii="Arial" w:hAnsi="Arial" w:cs="Arial"/>
          <w:sz w:val="18"/>
          <w:szCs w:val="18"/>
        </w:rPr>
        <w:t xml:space="preserve">, Accessible at </w:t>
      </w:r>
      <w:hyperlink r:id="rId6" w:history="1">
        <w:r w:rsidRPr="009D5312">
          <w:rPr>
            <w:rStyle w:val="Hyperlink"/>
            <w:rFonts w:ascii="Arial" w:hAnsi="Arial" w:cs="Arial"/>
            <w:sz w:val="18"/>
            <w:szCs w:val="18"/>
          </w:rPr>
          <w:t>http://www.pc.gov.au/inquiries/current/business/draft/business-draft.pdf</w:t>
        </w:r>
      </w:hyperlink>
      <w:r w:rsidRPr="009D5312">
        <w:rPr>
          <w:rFonts w:ascii="Arial" w:hAnsi="Arial" w:cs="Arial"/>
          <w:sz w:val="18"/>
          <w:szCs w:val="18"/>
        </w:rPr>
        <w:t>, May 2015, Page 297</w:t>
      </w:r>
    </w:p>
  </w:footnote>
  <w:footnote w:id="7">
    <w:p w14:paraId="511C533F" w14:textId="77777777" w:rsidR="006D2BCA" w:rsidRPr="009D5312" w:rsidRDefault="006D2BCA" w:rsidP="006D2BCA">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Productivity Commission </w:t>
      </w:r>
      <w:r w:rsidRPr="009D5312">
        <w:rPr>
          <w:rFonts w:ascii="Arial" w:hAnsi="Arial" w:cs="Arial"/>
          <w:i/>
          <w:sz w:val="18"/>
          <w:szCs w:val="18"/>
        </w:rPr>
        <w:t>Business Set-Up, Transfer and Closure draft report</w:t>
      </w:r>
      <w:r w:rsidRPr="009D5312">
        <w:rPr>
          <w:rFonts w:ascii="Arial" w:hAnsi="Arial" w:cs="Arial"/>
          <w:sz w:val="18"/>
          <w:szCs w:val="18"/>
        </w:rPr>
        <w:t xml:space="preserve">, Accessible at </w:t>
      </w:r>
      <w:hyperlink r:id="rId7" w:history="1">
        <w:r w:rsidRPr="009D5312">
          <w:rPr>
            <w:rStyle w:val="Hyperlink"/>
            <w:rFonts w:ascii="Arial" w:hAnsi="Arial" w:cs="Arial"/>
            <w:sz w:val="18"/>
            <w:szCs w:val="18"/>
          </w:rPr>
          <w:t>http://www.pc.gov.au/inquiries/current/business/draft/business-draft.pdf</w:t>
        </w:r>
      </w:hyperlink>
      <w:r w:rsidRPr="009D5312">
        <w:rPr>
          <w:rFonts w:ascii="Arial" w:hAnsi="Arial" w:cs="Arial"/>
          <w:sz w:val="18"/>
          <w:szCs w:val="18"/>
        </w:rPr>
        <w:t xml:space="preserve">, May 2015, Page 275 </w:t>
      </w:r>
    </w:p>
  </w:footnote>
  <w:footnote w:id="8">
    <w:p w14:paraId="0D534216" w14:textId="77777777" w:rsidR="00CA0540" w:rsidRPr="009D5312" w:rsidRDefault="00CA0540" w:rsidP="008F709E">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Parliamentary Joint Committee on corporations and financial services, </w:t>
      </w:r>
      <w:r w:rsidRPr="009D5312">
        <w:rPr>
          <w:rFonts w:ascii="Arial" w:hAnsi="Arial" w:cs="Arial"/>
          <w:i/>
          <w:sz w:val="18"/>
          <w:szCs w:val="18"/>
        </w:rPr>
        <w:t xml:space="preserve">Family Businesses in Australia – different and significant: why they shouldn’t be overlooked, </w:t>
      </w:r>
      <w:r w:rsidRPr="009D5312">
        <w:rPr>
          <w:rFonts w:ascii="Arial" w:hAnsi="Arial" w:cs="Arial"/>
          <w:sz w:val="18"/>
          <w:szCs w:val="18"/>
        </w:rPr>
        <w:t xml:space="preserve">March 2013, accessible at: </w:t>
      </w:r>
      <w:hyperlink r:id="rId8" w:history="1">
        <w:r w:rsidRPr="009D5312">
          <w:rPr>
            <w:rStyle w:val="Hyperlink"/>
            <w:rFonts w:ascii="Arial" w:hAnsi="Arial" w:cs="Arial"/>
            <w:sz w:val="18"/>
            <w:szCs w:val="18"/>
          </w:rPr>
          <w:t>http://www.aph.gov.au/~/media/wopapub/senate/committee/corporations_ctte/completed_inquiries/2010_13/fam_bus/report/report_pdf.ashx</w:t>
        </w:r>
      </w:hyperlink>
      <w:r w:rsidRPr="009D5312">
        <w:rPr>
          <w:rFonts w:ascii="Arial" w:hAnsi="Arial" w:cs="Arial"/>
          <w:sz w:val="18"/>
          <w:szCs w:val="18"/>
        </w:rPr>
        <w:t xml:space="preserve">, Page 144 </w:t>
      </w:r>
    </w:p>
  </w:footnote>
  <w:footnote w:id="9">
    <w:p w14:paraId="4E1AFB7E" w14:textId="77777777" w:rsidR="00CA0540" w:rsidRPr="009D5312" w:rsidRDefault="00CA0540" w:rsidP="008F709E">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Business Review Weekly, </w:t>
      </w:r>
      <w:r w:rsidRPr="009D5312">
        <w:rPr>
          <w:rFonts w:ascii="Arial" w:hAnsi="Arial" w:cs="Arial"/>
          <w:i/>
          <w:sz w:val="18"/>
          <w:szCs w:val="18"/>
        </w:rPr>
        <w:t>Time running out for many family business trusts</w:t>
      </w:r>
      <w:r w:rsidRPr="009D5312">
        <w:rPr>
          <w:rFonts w:ascii="Arial" w:hAnsi="Arial" w:cs="Arial"/>
          <w:sz w:val="18"/>
          <w:szCs w:val="18"/>
        </w:rPr>
        <w:t xml:space="preserve">,  28 February 2013, accessible at: </w:t>
      </w:r>
      <w:hyperlink r:id="rId9" w:history="1">
        <w:r w:rsidRPr="009D5312">
          <w:rPr>
            <w:rStyle w:val="Hyperlink"/>
            <w:rFonts w:ascii="Arial" w:hAnsi="Arial" w:cs="Arial"/>
            <w:sz w:val="18"/>
            <w:szCs w:val="18"/>
          </w:rPr>
          <w:t>http://www.brw.com.au/p/investing/time_running_out_for_many_family_jivQEQzhl6uezXwDVuj6MN</w:t>
        </w:r>
      </w:hyperlink>
      <w:r w:rsidRPr="009D5312">
        <w:rPr>
          <w:rFonts w:ascii="Arial" w:hAnsi="Arial" w:cs="Arial"/>
          <w:sz w:val="18"/>
          <w:szCs w:val="18"/>
        </w:rPr>
        <w:t xml:space="preserve"> </w:t>
      </w:r>
    </w:p>
  </w:footnote>
  <w:footnote w:id="10">
    <w:p w14:paraId="7C2EDEC5" w14:textId="77777777" w:rsidR="00CA0540" w:rsidRPr="009D5312" w:rsidRDefault="00CA0540" w:rsidP="008F709E">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Parliamentary Joint Committee on corporations and financial services, </w:t>
      </w:r>
      <w:r w:rsidRPr="009D5312">
        <w:rPr>
          <w:rFonts w:ascii="Arial" w:hAnsi="Arial" w:cs="Arial"/>
          <w:i/>
          <w:sz w:val="18"/>
          <w:szCs w:val="18"/>
        </w:rPr>
        <w:t xml:space="preserve">Family Businesses in Australia – different and significant: why they shouldn’t be overlooked, </w:t>
      </w:r>
      <w:r w:rsidRPr="009D5312">
        <w:rPr>
          <w:rFonts w:ascii="Arial" w:hAnsi="Arial" w:cs="Arial"/>
          <w:sz w:val="18"/>
          <w:szCs w:val="18"/>
        </w:rPr>
        <w:t xml:space="preserve">March 2013, accessible at: </w:t>
      </w:r>
      <w:hyperlink r:id="rId10" w:history="1">
        <w:r w:rsidRPr="009D5312">
          <w:rPr>
            <w:rStyle w:val="Hyperlink"/>
            <w:rFonts w:ascii="Arial" w:hAnsi="Arial" w:cs="Arial"/>
            <w:sz w:val="18"/>
            <w:szCs w:val="18"/>
          </w:rPr>
          <w:t>http://www.aph.gov.au/~/media/wopapub/senate/committee/corporations_ctte/completed_inquiries/2010_13/fam_bus/report/report_pdf.ashx</w:t>
        </w:r>
      </w:hyperlink>
      <w:r w:rsidRPr="009D5312">
        <w:rPr>
          <w:rFonts w:ascii="Arial" w:hAnsi="Arial" w:cs="Arial"/>
          <w:sz w:val="18"/>
          <w:szCs w:val="18"/>
        </w:rPr>
        <w:t xml:space="preserve">, Page 145 </w:t>
      </w:r>
    </w:p>
  </w:footnote>
  <w:footnote w:id="11">
    <w:p w14:paraId="2D252F24" w14:textId="77777777" w:rsidR="00CA0540" w:rsidRPr="009D5312" w:rsidRDefault="00CA0540" w:rsidP="008F709E">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Parliamentary Joint Committee on corporations and financial services, </w:t>
      </w:r>
      <w:r w:rsidRPr="009D5312">
        <w:rPr>
          <w:rFonts w:ascii="Arial" w:hAnsi="Arial" w:cs="Arial"/>
          <w:i/>
          <w:sz w:val="18"/>
          <w:szCs w:val="18"/>
        </w:rPr>
        <w:t xml:space="preserve">Family Businesses in Australia – different and significant: why they shouldn’t be overlooked, </w:t>
      </w:r>
      <w:r w:rsidRPr="009D5312">
        <w:rPr>
          <w:rFonts w:ascii="Arial" w:hAnsi="Arial" w:cs="Arial"/>
          <w:sz w:val="18"/>
          <w:szCs w:val="18"/>
        </w:rPr>
        <w:t xml:space="preserve">March 2013, accessible at: </w:t>
      </w:r>
      <w:hyperlink r:id="rId11" w:history="1">
        <w:r w:rsidRPr="009D5312">
          <w:rPr>
            <w:rStyle w:val="Hyperlink"/>
            <w:rFonts w:ascii="Arial" w:hAnsi="Arial" w:cs="Arial"/>
            <w:sz w:val="18"/>
            <w:szCs w:val="18"/>
          </w:rPr>
          <w:t>http://www.aph.gov.au/~/media/wopapub/senate/committee/corporations_ctte/completed_inquiries/2010_13/fam_bus/report/report_pdf.ashx</w:t>
        </w:r>
      </w:hyperlink>
      <w:r w:rsidRPr="009D5312">
        <w:rPr>
          <w:rFonts w:ascii="Arial" w:hAnsi="Arial" w:cs="Arial"/>
          <w:sz w:val="18"/>
          <w:szCs w:val="18"/>
        </w:rPr>
        <w:t xml:space="preserve">, Page 145 </w:t>
      </w:r>
    </w:p>
  </w:footnote>
  <w:footnote w:id="12">
    <w:p w14:paraId="068E506C" w14:textId="77777777" w:rsidR="00CA0540" w:rsidRPr="009D5312" w:rsidRDefault="00CA0540" w:rsidP="008F709E">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Parliamentary Joint Committee on corporations and financial services, </w:t>
      </w:r>
      <w:r w:rsidRPr="009D5312">
        <w:rPr>
          <w:rFonts w:ascii="Arial" w:hAnsi="Arial" w:cs="Arial"/>
          <w:i/>
          <w:sz w:val="18"/>
          <w:szCs w:val="18"/>
        </w:rPr>
        <w:t xml:space="preserve">Family Businesses in Australia – different and significant: why they shouldn’t be overlooked, </w:t>
      </w:r>
      <w:r w:rsidRPr="009D5312">
        <w:rPr>
          <w:rFonts w:ascii="Arial" w:hAnsi="Arial" w:cs="Arial"/>
          <w:sz w:val="18"/>
          <w:szCs w:val="18"/>
        </w:rPr>
        <w:t xml:space="preserve">March 2013, accessible at: </w:t>
      </w:r>
      <w:hyperlink r:id="rId12" w:history="1">
        <w:r w:rsidRPr="009D5312">
          <w:rPr>
            <w:rStyle w:val="Hyperlink"/>
            <w:rFonts w:ascii="Arial" w:hAnsi="Arial" w:cs="Arial"/>
            <w:sz w:val="18"/>
            <w:szCs w:val="18"/>
          </w:rPr>
          <w:t>http://www.aph.gov.au/~/media/wopapub/senate/committee/corporations_ctte/completed_inquiries/2010_13/fam_bus/report/report_pdf.ashx</w:t>
        </w:r>
      </w:hyperlink>
      <w:r w:rsidRPr="009D5312">
        <w:rPr>
          <w:rFonts w:ascii="Arial" w:hAnsi="Arial" w:cs="Arial"/>
          <w:sz w:val="18"/>
          <w:szCs w:val="18"/>
        </w:rPr>
        <w:t xml:space="preserve">, Page 146 </w:t>
      </w:r>
    </w:p>
  </w:footnote>
  <w:footnote w:id="13">
    <w:p w14:paraId="6C9BD182" w14:textId="77777777" w:rsidR="006D2BCA" w:rsidRPr="009D5312" w:rsidRDefault="006D2BCA" w:rsidP="006D2BCA">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Productivity Commission </w:t>
      </w:r>
      <w:r w:rsidRPr="009D5312">
        <w:rPr>
          <w:rFonts w:ascii="Arial" w:hAnsi="Arial" w:cs="Arial"/>
          <w:i/>
          <w:sz w:val="18"/>
          <w:szCs w:val="18"/>
        </w:rPr>
        <w:t>Business Set-Up, Transfer and Closure draft report</w:t>
      </w:r>
      <w:r w:rsidRPr="009D5312">
        <w:rPr>
          <w:rFonts w:ascii="Arial" w:hAnsi="Arial" w:cs="Arial"/>
          <w:sz w:val="18"/>
          <w:szCs w:val="18"/>
        </w:rPr>
        <w:t xml:space="preserve">, Accessible at </w:t>
      </w:r>
      <w:hyperlink r:id="rId13" w:history="1">
        <w:r w:rsidRPr="009D5312">
          <w:rPr>
            <w:rStyle w:val="Hyperlink"/>
            <w:rFonts w:ascii="Arial" w:hAnsi="Arial" w:cs="Arial"/>
            <w:sz w:val="18"/>
            <w:szCs w:val="18"/>
          </w:rPr>
          <w:t>http://www.pc.gov.au/inquiries/current/business/draft/business-draft.pdf</w:t>
        </w:r>
      </w:hyperlink>
      <w:r w:rsidRPr="009D5312">
        <w:rPr>
          <w:rFonts w:ascii="Arial" w:hAnsi="Arial" w:cs="Arial"/>
          <w:sz w:val="18"/>
          <w:szCs w:val="18"/>
        </w:rPr>
        <w:t xml:space="preserve">, May 2015, Page 275 </w:t>
      </w:r>
    </w:p>
  </w:footnote>
  <w:footnote w:id="14">
    <w:p w14:paraId="54297786" w14:textId="77777777" w:rsidR="00E91474" w:rsidRPr="009D5312" w:rsidRDefault="00E91474" w:rsidP="00E91474">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Productivity Commission </w:t>
      </w:r>
      <w:r w:rsidRPr="009D5312">
        <w:rPr>
          <w:rFonts w:ascii="Arial" w:hAnsi="Arial" w:cs="Arial"/>
          <w:i/>
          <w:sz w:val="18"/>
          <w:szCs w:val="18"/>
        </w:rPr>
        <w:t>Business Set-Up, Transfer and Closure draft report</w:t>
      </w:r>
      <w:r w:rsidRPr="009D5312">
        <w:rPr>
          <w:rFonts w:ascii="Arial" w:hAnsi="Arial" w:cs="Arial"/>
          <w:sz w:val="18"/>
          <w:szCs w:val="18"/>
        </w:rPr>
        <w:t xml:space="preserve">, Accessible at </w:t>
      </w:r>
      <w:hyperlink r:id="rId14" w:history="1">
        <w:r w:rsidRPr="009D5312">
          <w:rPr>
            <w:rStyle w:val="Hyperlink"/>
            <w:rFonts w:ascii="Arial" w:hAnsi="Arial" w:cs="Arial"/>
            <w:sz w:val="18"/>
            <w:szCs w:val="18"/>
          </w:rPr>
          <w:t>http://www.pc.gov.au/inquiries/current/business/draft/business-draft.pdf</w:t>
        </w:r>
      </w:hyperlink>
      <w:r w:rsidRPr="009D5312">
        <w:rPr>
          <w:rFonts w:ascii="Arial" w:hAnsi="Arial" w:cs="Arial"/>
          <w:sz w:val="18"/>
          <w:szCs w:val="18"/>
        </w:rPr>
        <w:t>, May 2015, Page 294</w:t>
      </w:r>
    </w:p>
  </w:footnote>
  <w:footnote w:id="15">
    <w:p w14:paraId="1D7DC403" w14:textId="77777777" w:rsidR="00C77778" w:rsidRPr="009D5312" w:rsidRDefault="00C77778" w:rsidP="00C77778">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Productivity Commission </w:t>
      </w:r>
      <w:r w:rsidRPr="009D5312">
        <w:rPr>
          <w:rFonts w:ascii="Arial" w:hAnsi="Arial" w:cs="Arial"/>
          <w:i/>
          <w:sz w:val="18"/>
          <w:szCs w:val="18"/>
        </w:rPr>
        <w:t>Business Set-Up, Transfer and Closure draft report</w:t>
      </w:r>
      <w:r w:rsidRPr="009D5312">
        <w:rPr>
          <w:rFonts w:ascii="Arial" w:hAnsi="Arial" w:cs="Arial"/>
          <w:sz w:val="18"/>
          <w:szCs w:val="18"/>
        </w:rPr>
        <w:t xml:space="preserve">, Accessible at </w:t>
      </w:r>
      <w:hyperlink r:id="rId15" w:history="1">
        <w:r w:rsidRPr="009D5312">
          <w:rPr>
            <w:rStyle w:val="Hyperlink"/>
            <w:rFonts w:ascii="Arial" w:hAnsi="Arial" w:cs="Arial"/>
            <w:sz w:val="18"/>
            <w:szCs w:val="18"/>
          </w:rPr>
          <w:t>http://www.pc.gov.au/inquiries/current/business/draft/business-draft.pdf</w:t>
        </w:r>
      </w:hyperlink>
      <w:r w:rsidRPr="009D5312">
        <w:rPr>
          <w:rFonts w:ascii="Arial" w:hAnsi="Arial" w:cs="Arial"/>
          <w:sz w:val="18"/>
          <w:szCs w:val="18"/>
        </w:rPr>
        <w:t>, May 2015, Page 296</w:t>
      </w:r>
    </w:p>
  </w:footnote>
  <w:footnote w:id="16">
    <w:p w14:paraId="51BFD81E" w14:textId="77777777" w:rsidR="006D2BCA" w:rsidRPr="009D5312" w:rsidRDefault="006D2BCA" w:rsidP="006D2BCA">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Productivity Commission </w:t>
      </w:r>
      <w:r w:rsidRPr="009D5312">
        <w:rPr>
          <w:rFonts w:ascii="Arial" w:hAnsi="Arial" w:cs="Arial"/>
          <w:i/>
          <w:sz w:val="18"/>
          <w:szCs w:val="18"/>
        </w:rPr>
        <w:t>Business Set-Up, Transfer and Closure draft report</w:t>
      </w:r>
      <w:r w:rsidRPr="009D5312">
        <w:rPr>
          <w:rFonts w:ascii="Arial" w:hAnsi="Arial" w:cs="Arial"/>
          <w:sz w:val="18"/>
          <w:szCs w:val="18"/>
        </w:rPr>
        <w:t xml:space="preserve">, Accessible at </w:t>
      </w:r>
      <w:hyperlink r:id="rId16" w:history="1">
        <w:r w:rsidRPr="009D5312">
          <w:rPr>
            <w:rStyle w:val="Hyperlink"/>
            <w:rFonts w:ascii="Arial" w:hAnsi="Arial" w:cs="Arial"/>
            <w:sz w:val="18"/>
            <w:szCs w:val="18"/>
          </w:rPr>
          <w:t>http://www.pc.gov.au/inquiries/current/business/draft/business-draft.pdf</w:t>
        </w:r>
      </w:hyperlink>
      <w:r w:rsidRPr="009D5312">
        <w:rPr>
          <w:rFonts w:ascii="Arial" w:hAnsi="Arial" w:cs="Arial"/>
          <w:sz w:val="18"/>
          <w:szCs w:val="18"/>
        </w:rPr>
        <w:t xml:space="preserve">, May 2015, Page 275 </w:t>
      </w:r>
    </w:p>
  </w:footnote>
  <w:footnote w:id="17">
    <w:p w14:paraId="34090749" w14:textId="4D6D72B7" w:rsidR="00CA0540" w:rsidRPr="009D5312" w:rsidRDefault="00CA0540">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Australian Government, Rethink Tax Discussion paper, accessible at:</w:t>
      </w:r>
      <w:hyperlink r:id="rId17" w:history="1">
        <w:r w:rsidRPr="009D5312">
          <w:rPr>
            <w:rStyle w:val="Hyperlink"/>
            <w:rFonts w:ascii="Arial" w:hAnsi="Arial" w:cs="Arial"/>
            <w:sz w:val="18"/>
            <w:szCs w:val="18"/>
          </w:rPr>
          <w:t>http://bettertax.gov.au/files/2015/03/TWP_combined-online.pdf</w:t>
        </w:r>
      </w:hyperlink>
      <w:r w:rsidRPr="009D5312">
        <w:rPr>
          <w:rFonts w:ascii="Arial" w:hAnsi="Arial" w:cs="Arial"/>
          <w:sz w:val="18"/>
          <w:szCs w:val="18"/>
        </w:rPr>
        <w:t>, March 2015  Page 166</w:t>
      </w:r>
    </w:p>
  </w:footnote>
  <w:footnote w:id="18">
    <w:p w14:paraId="48A537A9" w14:textId="37C83694" w:rsidR="00CA0540" w:rsidRPr="009D5312" w:rsidRDefault="00CA0540">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Australian Government, Rethink Tax Discussion paper, accessible at:</w:t>
      </w:r>
      <w:hyperlink r:id="rId18" w:history="1">
        <w:r w:rsidRPr="009D5312">
          <w:rPr>
            <w:rStyle w:val="Hyperlink"/>
            <w:rFonts w:ascii="Arial" w:hAnsi="Arial" w:cs="Arial"/>
            <w:sz w:val="18"/>
            <w:szCs w:val="18"/>
          </w:rPr>
          <w:t>http://bettertax.gov.au/files/2015/03/TWP_combined-online.pdf</w:t>
        </w:r>
      </w:hyperlink>
      <w:r w:rsidRPr="009D5312">
        <w:rPr>
          <w:rFonts w:ascii="Arial" w:hAnsi="Arial" w:cs="Arial"/>
          <w:sz w:val="18"/>
          <w:szCs w:val="18"/>
        </w:rPr>
        <w:t>, March 2015 Page 166</w:t>
      </w:r>
    </w:p>
  </w:footnote>
  <w:footnote w:id="19">
    <w:p w14:paraId="21CE26AB" w14:textId="77777777" w:rsidR="00CA0540" w:rsidRPr="009D5312" w:rsidRDefault="00CA0540" w:rsidP="000B5853">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PricewaterhouseCoopers, </w:t>
      </w:r>
      <w:r w:rsidRPr="009D5312">
        <w:rPr>
          <w:rFonts w:ascii="Arial" w:hAnsi="Arial" w:cs="Arial"/>
          <w:i/>
          <w:iCs/>
          <w:sz w:val="18"/>
          <w:szCs w:val="18"/>
        </w:rPr>
        <w:t xml:space="preserve">A future strategy for road supply and charging in Australia, </w:t>
      </w:r>
      <w:r w:rsidRPr="009D5312">
        <w:rPr>
          <w:rFonts w:ascii="Arial" w:hAnsi="Arial" w:cs="Arial"/>
          <w:sz w:val="18"/>
          <w:szCs w:val="18"/>
        </w:rPr>
        <w:t xml:space="preserve">2013, accessible at: </w:t>
      </w:r>
      <w:hyperlink r:id="rId19" w:history="1">
        <w:r w:rsidRPr="009D5312">
          <w:rPr>
            <w:rStyle w:val="Hyperlink"/>
            <w:rFonts w:ascii="Arial" w:hAnsi="Arial" w:cs="Arial"/>
            <w:sz w:val="18"/>
            <w:szCs w:val="18"/>
          </w:rPr>
          <w:t>www.truck.net.au/industry-resources/future-strategy-road-supply-and-charging-australia</w:t>
        </w:r>
      </w:hyperlink>
      <w:r w:rsidRPr="009D5312">
        <w:rPr>
          <w:rFonts w:ascii="Arial" w:hAnsi="Arial" w:cs="Arial"/>
          <w:sz w:val="18"/>
          <w:szCs w:val="18"/>
        </w:rPr>
        <w:t xml:space="preserve"> Page 18</w:t>
      </w:r>
    </w:p>
  </w:footnote>
  <w:footnote w:id="20">
    <w:p w14:paraId="7CAE3201" w14:textId="77777777" w:rsidR="00CA0540" w:rsidRPr="009D5312" w:rsidRDefault="00CA0540" w:rsidP="000B5853">
      <w:pPr>
        <w:autoSpaceDE w:val="0"/>
        <w:autoSpaceDN w:val="0"/>
        <w:adjustRightInd w:val="0"/>
        <w:rPr>
          <w:rFonts w:ascii="Arial" w:hAnsi="Arial" w:cs="Arial"/>
          <w:sz w:val="18"/>
          <w:szCs w:val="18"/>
          <w:highlight w:val="white"/>
          <w:lang w:eastAsia="en-AU"/>
        </w:rPr>
      </w:pPr>
      <w:r w:rsidRPr="009D5312">
        <w:rPr>
          <w:rStyle w:val="FootnoteReference"/>
          <w:rFonts w:ascii="Arial" w:hAnsi="Arial" w:cs="Arial"/>
          <w:sz w:val="18"/>
          <w:szCs w:val="18"/>
        </w:rPr>
        <w:footnoteRef/>
      </w:r>
      <w:r w:rsidRPr="009D5312">
        <w:rPr>
          <w:rFonts w:ascii="Arial" w:hAnsi="Arial" w:cs="Arial"/>
          <w:sz w:val="18"/>
          <w:szCs w:val="18"/>
        </w:rPr>
        <w:t xml:space="preserve"> </w:t>
      </w:r>
      <w:r w:rsidRPr="009D5312">
        <w:rPr>
          <w:rFonts w:ascii="Arial" w:hAnsi="Arial" w:cs="Arial"/>
          <w:sz w:val="18"/>
          <w:szCs w:val="18"/>
          <w:highlight w:val="white"/>
          <w:lang w:eastAsia="en-AU"/>
        </w:rPr>
        <w:t xml:space="preserve">National Transport Commission </w:t>
      </w:r>
      <w:r w:rsidRPr="009D5312">
        <w:rPr>
          <w:rFonts w:ascii="Arial" w:hAnsi="Arial" w:cs="Arial"/>
          <w:i/>
          <w:sz w:val="18"/>
          <w:szCs w:val="18"/>
          <w:highlight w:val="white"/>
          <w:lang w:eastAsia="en-AU"/>
        </w:rPr>
        <w:t>Modelling the Marginal Cost of Road Wear Research Paper</w:t>
      </w:r>
      <w:r w:rsidRPr="009D5312">
        <w:rPr>
          <w:rFonts w:ascii="Arial" w:hAnsi="Arial" w:cs="Arial"/>
          <w:sz w:val="18"/>
          <w:szCs w:val="18"/>
          <w:highlight w:val="white"/>
          <w:lang w:eastAsia="en-AU"/>
        </w:rPr>
        <w:t xml:space="preserve">, May 2011 accessible at: </w:t>
      </w:r>
      <w:hyperlink r:id="rId20" w:history="1">
        <w:r w:rsidRPr="009D5312">
          <w:rPr>
            <w:rStyle w:val="Hyperlink"/>
            <w:rFonts w:ascii="Arial" w:hAnsi="Arial" w:cs="Arial"/>
            <w:sz w:val="18"/>
            <w:szCs w:val="18"/>
            <w:lang w:eastAsia="en-AU"/>
          </w:rPr>
          <w:t>http://www.ntc.gov.au/filemedia/Reports/ModellingTheMarginalCostMay2011.pdf</w:t>
        </w:r>
      </w:hyperlink>
      <w:r w:rsidRPr="009D5312">
        <w:rPr>
          <w:rFonts w:ascii="Arial" w:hAnsi="Arial" w:cs="Arial"/>
          <w:sz w:val="18"/>
          <w:szCs w:val="18"/>
          <w:lang w:eastAsia="en-AU"/>
        </w:rPr>
        <w:t xml:space="preserve"> </w:t>
      </w:r>
      <w:r w:rsidRPr="009D5312">
        <w:rPr>
          <w:rFonts w:ascii="Arial" w:hAnsi="Arial" w:cs="Arial"/>
          <w:sz w:val="18"/>
          <w:szCs w:val="18"/>
          <w:highlight w:val="white"/>
          <w:lang w:eastAsia="en-AU"/>
        </w:rPr>
        <w:t xml:space="preserve">Page V  </w:t>
      </w:r>
    </w:p>
    <w:p w14:paraId="41C13FEF" w14:textId="77777777" w:rsidR="00CA0540" w:rsidRPr="005B6386" w:rsidRDefault="00CA0540" w:rsidP="000B5853">
      <w:pPr>
        <w:pStyle w:val="FootnoteText"/>
        <w:rPr>
          <w:rFonts w:ascii="Arial" w:hAnsi="Arial" w:cs="Arial"/>
          <w:sz w:val="16"/>
          <w:szCs w:val="16"/>
        </w:rPr>
      </w:pPr>
    </w:p>
  </w:footnote>
  <w:footnote w:id="21">
    <w:p w14:paraId="62230B32" w14:textId="77777777" w:rsidR="00CA0540" w:rsidRPr="00275252" w:rsidRDefault="00CA0540" w:rsidP="0012381A">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The Productivity Commission </w:t>
      </w:r>
      <w:r w:rsidRPr="00275252">
        <w:rPr>
          <w:rFonts w:ascii="Arial" w:hAnsi="Arial" w:cs="Arial"/>
          <w:i/>
          <w:sz w:val="16"/>
          <w:szCs w:val="16"/>
        </w:rPr>
        <w:t>Public Infrastructure</w:t>
      </w:r>
      <w:r w:rsidRPr="00275252">
        <w:rPr>
          <w:rFonts w:ascii="Arial" w:hAnsi="Arial" w:cs="Arial"/>
          <w:sz w:val="16"/>
          <w:szCs w:val="16"/>
        </w:rPr>
        <w:t xml:space="preserve">, 2014, accessible at: </w:t>
      </w:r>
      <w:hyperlink r:id="rId21" w:history="1">
        <w:r w:rsidRPr="00275252">
          <w:rPr>
            <w:rStyle w:val="Hyperlink"/>
            <w:rFonts w:ascii="Arial" w:hAnsi="Arial" w:cs="Arial"/>
            <w:sz w:val="16"/>
            <w:szCs w:val="16"/>
          </w:rPr>
          <w:t>http://www.pc.gov.au/inquiries/completed/infrastructure</w:t>
        </w:r>
      </w:hyperlink>
      <w:r w:rsidRPr="00275252">
        <w:rPr>
          <w:rFonts w:ascii="Arial" w:hAnsi="Arial" w:cs="Arial"/>
          <w:sz w:val="16"/>
          <w:szCs w:val="16"/>
        </w:rPr>
        <w:t xml:space="preserve">  Page 297</w:t>
      </w:r>
    </w:p>
  </w:footnote>
  <w:footnote w:id="22">
    <w:p w14:paraId="75716BAE" w14:textId="77777777" w:rsidR="00CA0540" w:rsidRPr="009D5312" w:rsidRDefault="00CA0540" w:rsidP="0012381A">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The Productivity Commission </w:t>
      </w:r>
      <w:r w:rsidRPr="009D5312">
        <w:rPr>
          <w:rFonts w:ascii="Arial" w:hAnsi="Arial" w:cs="Arial"/>
          <w:i/>
          <w:sz w:val="18"/>
          <w:szCs w:val="18"/>
        </w:rPr>
        <w:t xml:space="preserve">Public Infrastructure, </w:t>
      </w:r>
      <w:r w:rsidRPr="009D5312">
        <w:rPr>
          <w:rFonts w:ascii="Arial" w:hAnsi="Arial" w:cs="Arial"/>
          <w:sz w:val="18"/>
          <w:szCs w:val="18"/>
        </w:rPr>
        <w:t xml:space="preserve">2014, accessible at: </w:t>
      </w:r>
      <w:hyperlink r:id="rId22" w:history="1">
        <w:r w:rsidRPr="009D5312">
          <w:rPr>
            <w:rStyle w:val="Hyperlink"/>
            <w:rFonts w:ascii="Arial" w:hAnsi="Arial" w:cs="Arial"/>
            <w:sz w:val="18"/>
            <w:szCs w:val="18"/>
          </w:rPr>
          <w:t>http://www.pc.gov.au/inquiries/completed/infrastructure</w:t>
        </w:r>
      </w:hyperlink>
      <w:r w:rsidRPr="009D5312">
        <w:rPr>
          <w:rFonts w:ascii="Arial" w:hAnsi="Arial" w:cs="Arial"/>
          <w:sz w:val="18"/>
          <w:szCs w:val="18"/>
        </w:rPr>
        <w:t xml:space="preserve">  Page 281</w:t>
      </w:r>
    </w:p>
  </w:footnote>
  <w:footnote w:id="23">
    <w:p w14:paraId="1B3CEF58" w14:textId="77777777" w:rsidR="00CA0540" w:rsidRPr="009D5312" w:rsidRDefault="00CA0540" w:rsidP="0012381A">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The Productivity Commission </w:t>
      </w:r>
      <w:r w:rsidRPr="009D5312">
        <w:rPr>
          <w:rFonts w:ascii="Arial" w:hAnsi="Arial" w:cs="Arial"/>
          <w:i/>
          <w:sz w:val="18"/>
          <w:szCs w:val="18"/>
        </w:rPr>
        <w:t xml:space="preserve">Public Infrastructure, </w:t>
      </w:r>
      <w:r w:rsidRPr="009D5312">
        <w:rPr>
          <w:rFonts w:ascii="Arial" w:hAnsi="Arial" w:cs="Arial"/>
          <w:sz w:val="18"/>
          <w:szCs w:val="18"/>
        </w:rPr>
        <w:t xml:space="preserve">2014, accessible at: </w:t>
      </w:r>
      <w:hyperlink r:id="rId23" w:history="1">
        <w:r w:rsidRPr="009D5312">
          <w:rPr>
            <w:rStyle w:val="Hyperlink"/>
            <w:rFonts w:ascii="Arial" w:hAnsi="Arial" w:cs="Arial"/>
            <w:sz w:val="18"/>
            <w:szCs w:val="18"/>
          </w:rPr>
          <w:t>http://www.pc.gov.au/inquiries/completed/infrastructure</w:t>
        </w:r>
      </w:hyperlink>
      <w:r w:rsidRPr="009D5312">
        <w:rPr>
          <w:rFonts w:ascii="Arial" w:hAnsi="Arial" w:cs="Arial"/>
          <w:sz w:val="18"/>
          <w:szCs w:val="18"/>
        </w:rPr>
        <w:t xml:space="preserve"> Page 579</w:t>
      </w:r>
    </w:p>
  </w:footnote>
  <w:footnote w:id="24">
    <w:p w14:paraId="0BB6C3A3" w14:textId="77777777" w:rsidR="00CA0540" w:rsidRPr="009D5312" w:rsidRDefault="00CA0540" w:rsidP="0012381A">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Australian Government, </w:t>
      </w:r>
      <w:r w:rsidRPr="009D5312">
        <w:rPr>
          <w:rFonts w:ascii="Arial" w:hAnsi="Arial" w:cs="Arial"/>
          <w:i/>
          <w:sz w:val="18"/>
          <w:szCs w:val="18"/>
        </w:rPr>
        <w:t xml:space="preserve">Australian Government Response: Productivity Commission Inquiry Report into Public Infrastructure </w:t>
      </w:r>
      <w:r w:rsidRPr="009D5312">
        <w:rPr>
          <w:rFonts w:ascii="Arial" w:hAnsi="Arial" w:cs="Arial"/>
          <w:sz w:val="18"/>
          <w:szCs w:val="18"/>
        </w:rPr>
        <w:t xml:space="preserve">,2014 ,accessible at: </w:t>
      </w:r>
      <w:hyperlink r:id="rId24" w:history="1">
        <w:r w:rsidRPr="009D5312">
          <w:rPr>
            <w:rStyle w:val="Hyperlink"/>
            <w:rFonts w:ascii="Arial" w:hAnsi="Arial" w:cs="Arial"/>
            <w:sz w:val="18"/>
            <w:szCs w:val="18"/>
          </w:rPr>
          <w:t>http://www.infrastructure.gov.au/infrastructure/publications/files/Productivity_Commission_Inquiry_Report_into_Public_Infrastructure.pdf</w:t>
        </w:r>
      </w:hyperlink>
      <w:r w:rsidRPr="009D5312">
        <w:rPr>
          <w:rFonts w:ascii="Arial" w:hAnsi="Arial" w:cs="Arial"/>
          <w:sz w:val="18"/>
          <w:szCs w:val="18"/>
        </w:rPr>
        <w:t xml:space="preserve">,Page 8 </w:t>
      </w:r>
    </w:p>
  </w:footnote>
  <w:footnote w:id="25">
    <w:p w14:paraId="7D7BEE52" w14:textId="77777777" w:rsidR="00CA0540" w:rsidRPr="009D5312" w:rsidRDefault="00CA0540" w:rsidP="0012381A">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The Productivity Commission </w:t>
      </w:r>
      <w:r w:rsidRPr="009D5312">
        <w:rPr>
          <w:rFonts w:ascii="Arial" w:hAnsi="Arial" w:cs="Arial"/>
          <w:i/>
          <w:sz w:val="18"/>
          <w:szCs w:val="18"/>
        </w:rPr>
        <w:t xml:space="preserve">Public Infrastructure, </w:t>
      </w:r>
      <w:r w:rsidRPr="009D5312">
        <w:rPr>
          <w:rFonts w:ascii="Arial" w:hAnsi="Arial" w:cs="Arial"/>
          <w:sz w:val="18"/>
          <w:szCs w:val="18"/>
        </w:rPr>
        <w:t xml:space="preserve">2014, accessible at: </w:t>
      </w:r>
      <w:hyperlink r:id="rId25" w:history="1">
        <w:r w:rsidRPr="009D5312">
          <w:rPr>
            <w:rStyle w:val="Hyperlink"/>
            <w:rFonts w:ascii="Arial" w:hAnsi="Arial" w:cs="Arial"/>
            <w:sz w:val="18"/>
            <w:szCs w:val="18"/>
          </w:rPr>
          <w:t>http://www.pc.gov.au/inquiries/completed/infrastructure</w:t>
        </w:r>
      </w:hyperlink>
      <w:r w:rsidRPr="009D5312">
        <w:rPr>
          <w:rFonts w:ascii="Arial" w:hAnsi="Arial" w:cs="Arial"/>
          <w:sz w:val="18"/>
          <w:szCs w:val="18"/>
        </w:rPr>
        <w:t xml:space="preserve">  Page 76</w:t>
      </w:r>
    </w:p>
  </w:footnote>
  <w:footnote w:id="26">
    <w:p w14:paraId="1672C324" w14:textId="77777777" w:rsidR="00CA0540" w:rsidRPr="009D5312" w:rsidRDefault="00CA0540" w:rsidP="0012381A">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The Productivity Commission </w:t>
      </w:r>
      <w:r w:rsidRPr="009D5312">
        <w:rPr>
          <w:rFonts w:ascii="Arial" w:hAnsi="Arial" w:cs="Arial"/>
          <w:i/>
          <w:sz w:val="18"/>
          <w:szCs w:val="18"/>
        </w:rPr>
        <w:t xml:space="preserve">Public Infrastructure, </w:t>
      </w:r>
      <w:r w:rsidRPr="009D5312">
        <w:rPr>
          <w:rFonts w:ascii="Arial" w:hAnsi="Arial" w:cs="Arial"/>
          <w:sz w:val="18"/>
          <w:szCs w:val="18"/>
        </w:rPr>
        <w:t xml:space="preserve">2014, accessible at: </w:t>
      </w:r>
      <w:hyperlink r:id="rId26" w:history="1">
        <w:r w:rsidRPr="009D5312">
          <w:rPr>
            <w:rStyle w:val="Hyperlink"/>
            <w:rFonts w:ascii="Arial" w:hAnsi="Arial" w:cs="Arial"/>
            <w:sz w:val="18"/>
            <w:szCs w:val="18"/>
          </w:rPr>
          <w:t>http://www.pc.gov.au/inquiries/completed/infrastructure</w:t>
        </w:r>
      </w:hyperlink>
      <w:r w:rsidRPr="009D5312">
        <w:rPr>
          <w:rFonts w:ascii="Arial" w:hAnsi="Arial" w:cs="Arial"/>
          <w:sz w:val="18"/>
          <w:szCs w:val="18"/>
        </w:rPr>
        <w:t xml:space="preserve">  Page 92</w:t>
      </w:r>
    </w:p>
  </w:footnote>
  <w:footnote w:id="27">
    <w:p w14:paraId="4BB4FF97" w14:textId="77777777" w:rsidR="00CA0540" w:rsidRPr="009D5312" w:rsidRDefault="00CA0540" w:rsidP="0012381A">
      <w:pPr>
        <w:pStyle w:val="FootnoteText"/>
        <w:rPr>
          <w:rFonts w:ascii="Arial" w:hAnsi="Arial" w:cs="Arial"/>
          <w:sz w:val="18"/>
          <w:szCs w:val="18"/>
        </w:rPr>
      </w:pPr>
      <w:r w:rsidRPr="009D5312">
        <w:rPr>
          <w:rStyle w:val="FootnoteReference"/>
          <w:rFonts w:ascii="Arial" w:hAnsi="Arial" w:cs="Arial"/>
          <w:sz w:val="18"/>
          <w:szCs w:val="18"/>
        </w:rPr>
        <w:footnoteRef/>
      </w:r>
      <w:r w:rsidRPr="009D5312">
        <w:rPr>
          <w:rFonts w:ascii="Arial" w:hAnsi="Arial" w:cs="Arial"/>
          <w:sz w:val="18"/>
          <w:szCs w:val="18"/>
        </w:rPr>
        <w:t xml:space="preserve"> Australian Government, </w:t>
      </w:r>
      <w:r w:rsidRPr="009D5312">
        <w:rPr>
          <w:rFonts w:ascii="Arial" w:hAnsi="Arial" w:cs="Arial"/>
          <w:i/>
          <w:sz w:val="18"/>
          <w:szCs w:val="18"/>
        </w:rPr>
        <w:t xml:space="preserve">Australian Government Response: Productivity Commission Inquiry Report into Public Infrastructure </w:t>
      </w:r>
      <w:r w:rsidRPr="009D5312">
        <w:rPr>
          <w:rFonts w:ascii="Arial" w:hAnsi="Arial" w:cs="Arial"/>
          <w:sz w:val="18"/>
          <w:szCs w:val="18"/>
        </w:rPr>
        <w:t xml:space="preserve">,2014 ,accessible at: </w:t>
      </w:r>
      <w:hyperlink r:id="rId27" w:history="1">
        <w:r w:rsidRPr="009D5312">
          <w:rPr>
            <w:rStyle w:val="Hyperlink"/>
            <w:rFonts w:ascii="Arial" w:hAnsi="Arial" w:cs="Arial"/>
            <w:sz w:val="18"/>
            <w:szCs w:val="18"/>
          </w:rPr>
          <w:t>http://www.infrastructure.gov.au/infrastructure/publications/files/Productivity_Commission_Inquiry_Report_into_Public_Infrastructure.pdf</w:t>
        </w:r>
      </w:hyperlink>
      <w:r w:rsidRPr="009D5312">
        <w:rPr>
          <w:rFonts w:ascii="Arial" w:hAnsi="Arial" w:cs="Arial"/>
          <w:sz w:val="18"/>
          <w:szCs w:val="18"/>
        </w:rPr>
        <w:t>,Page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C9C7" w14:textId="77777777" w:rsidR="000D15CD" w:rsidRDefault="000D1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57F9D" w14:textId="77777777" w:rsidR="000D15CD" w:rsidRDefault="000D1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D43C1" w14:textId="77777777" w:rsidR="00CA0540" w:rsidRPr="00E8056B" w:rsidRDefault="00CA0540"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14:paraId="79CCF04B" w14:textId="77777777" w:rsidR="00CA0540" w:rsidRDefault="00CA05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FCF10" w14:textId="77777777" w:rsidR="00CA0540" w:rsidRDefault="00CA05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0C912" w14:textId="238EB7AE" w:rsidR="00CA0540" w:rsidRPr="0019542E" w:rsidRDefault="00CA0540"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41CB" w14:textId="77777777" w:rsidR="00CA0540" w:rsidRDefault="00CA0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036"/>
    <w:multiLevelType w:val="hybridMultilevel"/>
    <w:tmpl w:val="2926E346"/>
    <w:lvl w:ilvl="0" w:tplc="0C090001">
      <w:start w:val="1"/>
      <w:numFmt w:val="bullet"/>
      <w:lvlText w:val=""/>
      <w:lvlJc w:val="left"/>
      <w:pPr>
        <w:ind w:left="720" w:hanging="360"/>
      </w:pPr>
      <w:rPr>
        <w:rFonts w:ascii="Symbol" w:hAnsi="Symbol" w:hint="default"/>
      </w:rPr>
    </w:lvl>
    <w:lvl w:ilvl="1" w:tplc="90EC4668">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91310"/>
    <w:multiLevelType w:val="hybridMultilevel"/>
    <w:tmpl w:val="2684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F0147"/>
    <w:multiLevelType w:val="hybridMultilevel"/>
    <w:tmpl w:val="72745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72198"/>
    <w:multiLevelType w:val="hybridMultilevel"/>
    <w:tmpl w:val="F72857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7C83FE8"/>
    <w:multiLevelType w:val="hybridMultilevel"/>
    <w:tmpl w:val="EF88E13E"/>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5" w15:restartNumberingAfterBreak="0">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F3F24C7"/>
    <w:multiLevelType w:val="hybridMultilevel"/>
    <w:tmpl w:val="3C82AB3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42ED34DC"/>
    <w:multiLevelType w:val="hybridMultilevel"/>
    <w:tmpl w:val="2340A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BFE1933"/>
    <w:multiLevelType w:val="hybridMultilevel"/>
    <w:tmpl w:val="C282A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B67C8B"/>
    <w:multiLevelType w:val="hybridMultilevel"/>
    <w:tmpl w:val="CE2E3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6D1560"/>
    <w:multiLevelType w:val="hybridMultilevel"/>
    <w:tmpl w:val="7E2CCE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16"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61105E94"/>
    <w:multiLevelType w:val="hybridMultilevel"/>
    <w:tmpl w:val="B1C45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1477A34"/>
    <w:multiLevelType w:val="hybridMultilevel"/>
    <w:tmpl w:val="C79C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FF01A9"/>
    <w:multiLevelType w:val="hybridMultilevel"/>
    <w:tmpl w:val="F4307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3"/>
  </w:num>
  <w:num w:numId="5">
    <w:abstractNumId w:val="11"/>
  </w:num>
  <w:num w:numId="6">
    <w:abstractNumId w:val="0"/>
  </w:num>
  <w:num w:numId="7">
    <w:abstractNumId w:val="4"/>
  </w:num>
  <w:num w:numId="8">
    <w:abstractNumId w:val="10"/>
  </w:num>
  <w:num w:numId="9">
    <w:abstractNumId w:val="2"/>
  </w:num>
  <w:num w:numId="10">
    <w:abstractNumId w:val="9"/>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3"/>
  </w:num>
  <w:num w:numId="16">
    <w:abstractNumId w:val="11"/>
  </w:num>
  <w:num w:numId="17">
    <w:abstractNumId w:val="14"/>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E9"/>
    <w:rsid w:val="0000052A"/>
    <w:rsid w:val="00000CE3"/>
    <w:rsid w:val="00001E4D"/>
    <w:rsid w:val="00005A35"/>
    <w:rsid w:val="00005E0D"/>
    <w:rsid w:val="00006297"/>
    <w:rsid w:val="00006C53"/>
    <w:rsid w:val="00007723"/>
    <w:rsid w:val="00007CA7"/>
    <w:rsid w:val="00011661"/>
    <w:rsid w:val="00012205"/>
    <w:rsid w:val="000156D1"/>
    <w:rsid w:val="000169A5"/>
    <w:rsid w:val="00020B9C"/>
    <w:rsid w:val="00021886"/>
    <w:rsid w:val="00021D7D"/>
    <w:rsid w:val="00023CC7"/>
    <w:rsid w:val="00026C84"/>
    <w:rsid w:val="00027E86"/>
    <w:rsid w:val="0003251D"/>
    <w:rsid w:val="00035304"/>
    <w:rsid w:val="0003555D"/>
    <w:rsid w:val="00035CFC"/>
    <w:rsid w:val="00037042"/>
    <w:rsid w:val="0004081E"/>
    <w:rsid w:val="00040876"/>
    <w:rsid w:val="00040B35"/>
    <w:rsid w:val="00040C3C"/>
    <w:rsid w:val="000447B1"/>
    <w:rsid w:val="00044E68"/>
    <w:rsid w:val="00046251"/>
    <w:rsid w:val="00046823"/>
    <w:rsid w:val="00050AC8"/>
    <w:rsid w:val="00050CE6"/>
    <w:rsid w:val="00052E9C"/>
    <w:rsid w:val="00053DCB"/>
    <w:rsid w:val="00056113"/>
    <w:rsid w:val="00056A74"/>
    <w:rsid w:val="00056DE2"/>
    <w:rsid w:val="00060365"/>
    <w:rsid w:val="00060651"/>
    <w:rsid w:val="000623F3"/>
    <w:rsid w:val="0006283B"/>
    <w:rsid w:val="00063D15"/>
    <w:rsid w:val="00067698"/>
    <w:rsid w:val="00070737"/>
    <w:rsid w:val="00071A71"/>
    <w:rsid w:val="00072340"/>
    <w:rsid w:val="0007542B"/>
    <w:rsid w:val="000759B8"/>
    <w:rsid w:val="00075E7B"/>
    <w:rsid w:val="00077364"/>
    <w:rsid w:val="00080C08"/>
    <w:rsid w:val="00083C15"/>
    <w:rsid w:val="000848A1"/>
    <w:rsid w:val="00086A56"/>
    <w:rsid w:val="00087208"/>
    <w:rsid w:val="00091EB9"/>
    <w:rsid w:val="00093679"/>
    <w:rsid w:val="00094D62"/>
    <w:rsid w:val="00094FE3"/>
    <w:rsid w:val="00095C3B"/>
    <w:rsid w:val="00096B02"/>
    <w:rsid w:val="00096FAC"/>
    <w:rsid w:val="00097329"/>
    <w:rsid w:val="000976B9"/>
    <w:rsid w:val="000A2163"/>
    <w:rsid w:val="000A2996"/>
    <w:rsid w:val="000A2BCF"/>
    <w:rsid w:val="000A2C1A"/>
    <w:rsid w:val="000A4409"/>
    <w:rsid w:val="000A4EB0"/>
    <w:rsid w:val="000A6499"/>
    <w:rsid w:val="000A64C1"/>
    <w:rsid w:val="000B0410"/>
    <w:rsid w:val="000B069A"/>
    <w:rsid w:val="000B1819"/>
    <w:rsid w:val="000B496C"/>
    <w:rsid w:val="000B5853"/>
    <w:rsid w:val="000C049C"/>
    <w:rsid w:val="000C0C35"/>
    <w:rsid w:val="000C0F58"/>
    <w:rsid w:val="000C4A62"/>
    <w:rsid w:val="000C7BBC"/>
    <w:rsid w:val="000D0226"/>
    <w:rsid w:val="000D033C"/>
    <w:rsid w:val="000D15CD"/>
    <w:rsid w:val="000D5E4E"/>
    <w:rsid w:val="000D6EF5"/>
    <w:rsid w:val="000D7CD4"/>
    <w:rsid w:val="000E7B14"/>
    <w:rsid w:val="000F028E"/>
    <w:rsid w:val="000F0F7B"/>
    <w:rsid w:val="000F314E"/>
    <w:rsid w:val="000F34E0"/>
    <w:rsid w:val="000F3ACC"/>
    <w:rsid w:val="000F3D9F"/>
    <w:rsid w:val="000F53C2"/>
    <w:rsid w:val="000F566E"/>
    <w:rsid w:val="000F5BB5"/>
    <w:rsid w:val="000F7F6F"/>
    <w:rsid w:val="00100A35"/>
    <w:rsid w:val="00103E24"/>
    <w:rsid w:val="001051CB"/>
    <w:rsid w:val="00110610"/>
    <w:rsid w:val="00110A53"/>
    <w:rsid w:val="001121A8"/>
    <w:rsid w:val="00112A33"/>
    <w:rsid w:val="0011347C"/>
    <w:rsid w:val="00114FC5"/>
    <w:rsid w:val="001176CB"/>
    <w:rsid w:val="00121A4F"/>
    <w:rsid w:val="00121A53"/>
    <w:rsid w:val="00122285"/>
    <w:rsid w:val="0012381A"/>
    <w:rsid w:val="00123C93"/>
    <w:rsid w:val="00124BE7"/>
    <w:rsid w:val="00124F32"/>
    <w:rsid w:val="00125023"/>
    <w:rsid w:val="001253A5"/>
    <w:rsid w:val="00126E09"/>
    <w:rsid w:val="0013041A"/>
    <w:rsid w:val="001320D2"/>
    <w:rsid w:val="00132E36"/>
    <w:rsid w:val="00134E0D"/>
    <w:rsid w:val="001368EB"/>
    <w:rsid w:val="00141274"/>
    <w:rsid w:val="00141395"/>
    <w:rsid w:val="0014179F"/>
    <w:rsid w:val="0014300C"/>
    <w:rsid w:val="001431E4"/>
    <w:rsid w:val="001440F0"/>
    <w:rsid w:val="0014683D"/>
    <w:rsid w:val="00150065"/>
    <w:rsid w:val="0015008C"/>
    <w:rsid w:val="0015062F"/>
    <w:rsid w:val="0015211C"/>
    <w:rsid w:val="00152A71"/>
    <w:rsid w:val="001533F1"/>
    <w:rsid w:val="0015359E"/>
    <w:rsid w:val="0015386B"/>
    <w:rsid w:val="00153E26"/>
    <w:rsid w:val="001552BC"/>
    <w:rsid w:val="00160FE3"/>
    <w:rsid w:val="001611AB"/>
    <w:rsid w:val="00162A32"/>
    <w:rsid w:val="00163879"/>
    <w:rsid w:val="00166CBD"/>
    <w:rsid w:val="00167142"/>
    <w:rsid w:val="00167289"/>
    <w:rsid w:val="00172FC4"/>
    <w:rsid w:val="00174273"/>
    <w:rsid w:val="00176C09"/>
    <w:rsid w:val="001807A8"/>
    <w:rsid w:val="001811B8"/>
    <w:rsid w:val="00182251"/>
    <w:rsid w:val="001855CD"/>
    <w:rsid w:val="0019542E"/>
    <w:rsid w:val="00195C1B"/>
    <w:rsid w:val="00197B9E"/>
    <w:rsid w:val="001A0DC3"/>
    <w:rsid w:val="001A0DEF"/>
    <w:rsid w:val="001A3A47"/>
    <w:rsid w:val="001A6510"/>
    <w:rsid w:val="001B0529"/>
    <w:rsid w:val="001B0E57"/>
    <w:rsid w:val="001B2CD7"/>
    <w:rsid w:val="001B3675"/>
    <w:rsid w:val="001B36AC"/>
    <w:rsid w:val="001B3E52"/>
    <w:rsid w:val="001B5390"/>
    <w:rsid w:val="001C05C2"/>
    <w:rsid w:val="001C0C68"/>
    <w:rsid w:val="001C125D"/>
    <w:rsid w:val="001C3659"/>
    <w:rsid w:val="001C5B41"/>
    <w:rsid w:val="001D2D61"/>
    <w:rsid w:val="001D50C7"/>
    <w:rsid w:val="001D5C1C"/>
    <w:rsid w:val="001D64A9"/>
    <w:rsid w:val="001D64FE"/>
    <w:rsid w:val="001D77A8"/>
    <w:rsid w:val="001D7817"/>
    <w:rsid w:val="001D7CDE"/>
    <w:rsid w:val="001E0A75"/>
    <w:rsid w:val="001E1BA9"/>
    <w:rsid w:val="001E3AC7"/>
    <w:rsid w:val="001E474C"/>
    <w:rsid w:val="001E5BE0"/>
    <w:rsid w:val="001E5C29"/>
    <w:rsid w:val="001E70A3"/>
    <w:rsid w:val="001F0C6E"/>
    <w:rsid w:val="001F1455"/>
    <w:rsid w:val="001F187C"/>
    <w:rsid w:val="001F7268"/>
    <w:rsid w:val="00200A50"/>
    <w:rsid w:val="0020303C"/>
    <w:rsid w:val="002041FF"/>
    <w:rsid w:val="002067C0"/>
    <w:rsid w:val="00207DE8"/>
    <w:rsid w:val="00210088"/>
    <w:rsid w:val="0021270C"/>
    <w:rsid w:val="0021283E"/>
    <w:rsid w:val="00212C7E"/>
    <w:rsid w:val="002137D3"/>
    <w:rsid w:val="00214282"/>
    <w:rsid w:val="00215F0D"/>
    <w:rsid w:val="00216CE6"/>
    <w:rsid w:val="00220718"/>
    <w:rsid w:val="00220B1D"/>
    <w:rsid w:val="00225B24"/>
    <w:rsid w:val="00226318"/>
    <w:rsid w:val="002278E9"/>
    <w:rsid w:val="0023094F"/>
    <w:rsid w:val="00230C4F"/>
    <w:rsid w:val="00230DFC"/>
    <w:rsid w:val="002333DB"/>
    <w:rsid w:val="00237081"/>
    <w:rsid w:val="00241C15"/>
    <w:rsid w:val="0024248F"/>
    <w:rsid w:val="0024360C"/>
    <w:rsid w:val="00243731"/>
    <w:rsid w:val="00244F62"/>
    <w:rsid w:val="00250025"/>
    <w:rsid w:val="00250C6A"/>
    <w:rsid w:val="0025225E"/>
    <w:rsid w:val="002527BE"/>
    <w:rsid w:val="00252AA9"/>
    <w:rsid w:val="002542D1"/>
    <w:rsid w:val="00254301"/>
    <w:rsid w:val="002543DF"/>
    <w:rsid w:val="00255617"/>
    <w:rsid w:val="002568F6"/>
    <w:rsid w:val="00257D05"/>
    <w:rsid w:val="00260827"/>
    <w:rsid w:val="00260FBD"/>
    <w:rsid w:val="00262C0A"/>
    <w:rsid w:val="00263A7C"/>
    <w:rsid w:val="002647C3"/>
    <w:rsid w:val="00264A3B"/>
    <w:rsid w:val="00265EB9"/>
    <w:rsid w:val="00266881"/>
    <w:rsid w:val="00266915"/>
    <w:rsid w:val="00270995"/>
    <w:rsid w:val="00277981"/>
    <w:rsid w:val="00277D24"/>
    <w:rsid w:val="00281242"/>
    <w:rsid w:val="00281D40"/>
    <w:rsid w:val="00282EF9"/>
    <w:rsid w:val="0028399D"/>
    <w:rsid w:val="0028616B"/>
    <w:rsid w:val="00291C6F"/>
    <w:rsid w:val="0029355B"/>
    <w:rsid w:val="002938B5"/>
    <w:rsid w:val="00295501"/>
    <w:rsid w:val="00296633"/>
    <w:rsid w:val="00296A47"/>
    <w:rsid w:val="002A061F"/>
    <w:rsid w:val="002A14C8"/>
    <w:rsid w:val="002A243F"/>
    <w:rsid w:val="002A3F63"/>
    <w:rsid w:val="002A4859"/>
    <w:rsid w:val="002A4F45"/>
    <w:rsid w:val="002A5C2E"/>
    <w:rsid w:val="002A7CB7"/>
    <w:rsid w:val="002B0559"/>
    <w:rsid w:val="002B0F48"/>
    <w:rsid w:val="002B172B"/>
    <w:rsid w:val="002B3668"/>
    <w:rsid w:val="002B381D"/>
    <w:rsid w:val="002B54EF"/>
    <w:rsid w:val="002B77BC"/>
    <w:rsid w:val="002B7A60"/>
    <w:rsid w:val="002B7C87"/>
    <w:rsid w:val="002C015C"/>
    <w:rsid w:val="002C0499"/>
    <w:rsid w:val="002C1799"/>
    <w:rsid w:val="002C1FD6"/>
    <w:rsid w:val="002C2485"/>
    <w:rsid w:val="002C5598"/>
    <w:rsid w:val="002D000C"/>
    <w:rsid w:val="002D1187"/>
    <w:rsid w:val="002D411B"/>
    <w:rsid w:val="002D592D"/>
    <w:rsid w:val="002D67A7"/>
    <w:rsid w:val="002E06F2"/>
    <w:rsid w:val="002E226D"/>
    <w:rsid w:val="002E453E"/>
    <w:rsid w:val="002E5D82"/>
    <w:rsid w:val="002E5F39"/>
    <w:rsid w:val="002E6075"/>
    <w:rsid w:val="002E7897"/>
    <w:rsid w:val="002E7F28"/>
    <w:rsid w:val="002F2F65"/>
    <w:rsid w:val="002F3241"/>
    <w:rsid w:val="002F438C"/>
    <w:rsid w:val="002F50FD"/>
    <w:rsid w:val="002F5A71"/>
    <w:rsid w:val="002F632C"/>
    <w:rsid w:val="00302E87"/>
    <w:rsid w:val="00304B46"/>
    <w:rsid w:val="003054ED"/>
    <w:rsid w:val="00306FBF"/>
    <w:rsid w:val="00307FF7"/>
    <w:rsid w:val="00315333"/>
    <w:rsid w:val="0032008B"/>
    <w:rsid w:val="00320AFE"/>
    <w:rsid w:val="00321A43"/>
    <w:rsid w:val="0032308F"/>
    <w:rsid w:val="00325A6C"/>
    <w:rsid w:val="00325D5A"/>
    <w:rsid w:val="003265BF"/>
    <w:rsid w:val="00330F29"/>
    <w:rsid w:val="00336512"/>
    <w:rsid w:val="00336760"/>
    <w:rsid w:val="00336EBD"/>
    <w:rsid w:val="00342826"/>
    <w:rsid w:val="003467F0"/>
    <w:rsid w:val="00350300"/>
    <w:rsid w:val="003505E9"/>
    <w:rsid w:val="00351556"/>
    <w:rsid w:val="00351657"/>
    <w:rsid w:val="00351D4B"/>
    <w:rsid w:val="003533CA"/>
    <w:rsid w:val="00354394"/>
    <w:rsid w:val="0035493A"/>
    <w:rsid w:val="00354DA6"/>
    <w:rsid w:val="00356D3A"/>
    <w:rsid w:val="00360759"/>
    <w:rsid w:val="00360AD1"/>
    <w:rsid w:val="00363965"/>
    <w:rsid w:val="00364BA5"/>
    <w:rsid w:val="0036535E"/>
    <w:rsid w:val="00372137"/>
    <w:rsid w:val="00374463"/>
    <w:rsid w:val="00374990"/>
    <w:rsid w:val="00380998"/>
    <w:rsid w:val="003809C8"/>
    <w:rsid w:val="003828AD"/>
    <w:rsid w:val="00384772"/>
    <w:rsid w:val="00385F00"/>
    <w:rsid w:val="00385F9E"/>
    <w:rsid w:val="00386846"/>
    <w:rsid w:val="0039063B"/>
    <w:rsid w:val="00390696"/>
    <w:rsid w:val="003911E4"/>
    <w:rsid w:val="00393037"/>
    <w:rsid w:val="0039442F"/>
    <w:rsid w:val="00394470"/>
    <w:rsid w:val="00396A11"/>
    <w:rsid w:val="003A223A"/>
    <w:rsid w:val="003A4520"/>
    <w:rsid w:val="003A4982"/>
    <w:rsid w:val="003B1937"/>
    <w:rsid w:val="003B2024"/>
    <w:rsid w:val="003B23CF"/>
    <w:rsid w:val="003B56E7"/>
    <w:rsid w:val="003B6265"/>
    <w:rsid w:val="003B74E4"/>
    <w:rsid w:val="003B76E9"/>
    <w:rsid w:val="003B7C68"/>
    <w:rsid w:val="003C2311"/>
    <w:rsid w:val="003C2DEE"/>
    <w:rsid w:val="003C42D2"/>
    <w:rsid w:val="003C4664"/>
    <w:rsid w:val="003C6E58"/>
    <w:rsid w:val="003D0AC3"/>
    <w:rsid w:val="003D1163"/>
    <w:rsid w:val="003D27E1"/>
    <w:rsid w:val="003D3DC0"/>
    <w:rsid w:val="003D4281"/>
    <w:rsid w:val="003D5C05"/>
    <w:rsid w:val="003D6F49"/>
    <w:rsid w:val="003D75FC"/>
    <w:rsid w:val="003D7B74"/>
    <w:rsid w:val="003E2B20"/>
    <w:rsid w:val="003E3D6A"/>
    <w:rsid w:val="003E4EFE"/>
    <w:rsid w:val="003E7053"/>
    <w:rsid w:val="003F0B5C"/>
    <w:rsid w:val="003F0F16"/>
    <w:rsid w:val="003F6CA9"/>
    <w:rsid w:val="003F7F33"/>
    <w:rsid w:val="00400142"/>
    <w:rsid w:val="004008C7"/>
    <w:rsid w:val="004008D8"/>
    <w:rsid w:val="00402138"/>
    <w:rsid w:val="00403823"/>
    <w:rsid w:val="00404392"/>
    <w:rsid w:val="00404731"/>
    <w:rsid w:val="00404820"/>
    <w:rsid w:val="004053D4"/>
    <w:rsid w:val="00406222"/>
    <w:rsid w:val="00407EF2"/>
    <w:rsid w:val="00410341"/>
    <w:rsid w:val="004115B6"/>
    <w:rsid w:val="00411625"/>
    <w:rsid w:val="004116EA"/>
    <w:rsid w:val="00411877"/>
    <w:rsid w:val="0041272C"/>
    <w:rsid w:val="004130C2"/>
    <w:rsid w:val="00413868"/>
    <w:rsid w:val="00414BFC"/>
    <w:rsid w:val="00415126"/>
    <w:rsid w:val="00420431"/>
    <w:rsid w:val="0042052C"/>
    <w:rsid w:val="00420F75"/>
    <w:rsid w:val="00421306"/>
    <w:rsid w:val="00422BB7"/>
    <w:rsid w:val="00423CC7"/>
    <w:rsid w:val="00423CCC"/>
    <w:rsid w:val="00424D3E"/>
    <w:rsid w:val="0042557B"/>
    <w:rsid w:val="004263BE"/>
    <w:rsid w:val="00430160"/>
    <w:rsid w:val="00432273"/>
    <w:rsid w:val="004353C2"/>
    <w:rsid w:val="00440231"/>
    <w:rsid w:val="00440310"/>
    <w:rsid w:val="00441E31"/>
    <w:rsid w:val="00443123"/>
    <w:rsid w:val="004436EB"/>
    <w:rsid w:val="00445CDC"/>
    <w:rsid w:val="00446D2E"/>
    <w:rsid w:val="00450FF8"/>
    <w:rsid w:val="00454D08"/>
    <w:rsid w:val="00455514"/>
    <w:rsid w:val="00461052"/>
    <w:rsid w:val="00462423"/>
    <w:rsid w:val="00463025"/>
    <w:rsid w:val="004640D1"/>
    <w:rsid w:val="00466E7F"/>
    <w:rsid w:val="00467AA4"/>
    <w:rsid w:val="00473A75"/>
    <w:rsid w:val="00475C39"/>
    <w:rsid w:val="00483BAA"/>
    <w:rsid w:val="00483F2E"/>
    <w:rsid w:val="00484068"/>
    <w:rsid w:val="004847D2"/>
    <w:rsid w:val="00484C78"/>
    <w:rsid w:val="004854A3"/>
    <w:rsid w:val="00485B5E"/>
    <w:rsid w:val="00487F0F"/>
    <w:rsid w:val="00491112"/>
    <w:rsid w:val="00491E01"/>
    <w:rsid w:val="004952A7"/>
    <w:rsid w:val="0049636E"/>
    <w:rsid w:val="004977DE"/>
    <w:rsid w:val="00497CD2"/>
    <w:rsid w:val="004A2F6F"/>
    <w:rsid w:val="004A325F"/>
    <w:rsid w:val="004B0BF5"/>
    <w:rsid w:val="004B17AA"/>
    <w:rsid w:val="004B26EB"/>
    <w:rsid w:val="004B3EF6"/>
    <w:rsid w:val="004B4B20"/>
    <w:rsid w:val="004B509F"/>
    <w:rsid w:val="004B5FA9"/>
    <w:rsid w:val="004B6187"/>
    <w:rsid w:val="004B64C9"/>
    <w:rsid w:val="004B6C90"/>
    <w:rsid w:val="004C21BB"/>
    <w:rsid w:val="004C377A"/>
    <w:rsid w:val="004C3CC3"/>
    <w:rsid w:val="004C7AD5"/>
    <w:rsid w:val="004C7EE3"/>
    <w:rsid w:val="004D099F"/>
    <w:rsid w:val="004D2EAD"/>
    <w:rsid w:val="004D3774"/>
    <w:rsid w:val="004D42D0"/>
    <w:rsid w:val="004D6BAD"/>
    <w:rsid w:val="004E1322"/>
    <w:rsid w:val="004E1EBB"/>
    <w:rsid w:val="004E3114"/>
    <w:rsid w:val="004E5885"/>
    <w:rsid w:val="004E5EA3"/>
    <w:rsid w:val="004E5EDA"/>
    <w:rsid w:val="004F112A"/>
    <w:rsid w:val="004F38D2"/>
    <w:rsid w:val="004F3B07"/>
    <w:rsid w:val="004F500B"/>
    <w:rsid w:val="004F79DA"/>
    <w:rsid w:val="00500BCF"/>
    <w:rsid w:val="00501270"/>
    <w:rsid w:val="00502292"/>
    <w:rsid w:val="005022E4"/>
    <w:rsid w:val="0050368F"/>
    <w:rsid w:val="00503808"/>
    <w:rsid w:val="00504707"/>
    <w:rsid w:val="00504A7C"/>
    <w:rsid w:val="00510952"/>
    <w:rsid w:val="00510A99"/>
    <w:rsid w:val="00512B6D"/>
    <w:rsid w:val="005146B1"/>
    <w:rsid w:val="0052056E"/>
    <w:rsid w:val="0052077A"/>
    <w:rsid w:val="005223FD"/>
    <w:rsid w:val="005227BF"/>
    <w:rsid w:val="00525303"/>
    <w:rsid w:val="0053137B"/>
    <w:rsid w:val="0053194E"/>
    <w:rsid w:val="0053236A"/>
    <w:rsid w:val="00532ADF"/>
    <w:rsid w:val="00532BFB"/>
    <w:rsid w:val="00532EDD"/>
    <w:rsid w:val="00532F0A"/>
    <w:rsid w:val="00533381"/>
    <w:rsid w:val="00533467"/>
    <w:rsid w:val="00533DD1"/>
    <w:rsid w:val="0053492E"/>
    <w:rsid w:val="00535863"/>
    <w:rsid w:val="005359BF"/>
    <w:rsid w:val="005365E0"/>
    <w:rsid w:val="00540454"/>
    <w:rsid w:val="00542877"/>
    <w:rsid w:val="00543163"/>
    <w:rsid w:val="005434F6"/>
    <w:rsid w:val="0054422F"/>
    <w:rsid w:val="005448EE"/>
    <w:rsid w:val="00545151"/>
    <w:rsid w:val="00545CB8"/>
    <w:rsid w:val="00550256"/>
    <w:rsid w:val="005507D4"/>
    <w:rsid w:val="005520B3"/>
    <w:rsid w:val="00552251"/>
    <w:rsid w:val="00552289"/>
    <w:rsid w:val="005551EA"/>
    <w:rsid w:val="005571CA"/>
    <w:rsid w:val="0056179B"/>
    <w:rsid w:val="00564094"/>
    <w:rsid w:val="0056479F"/>
    <w:rsid w:val="005648B3"/>
    <w:rsid w:val="00564DAA"/>
    <w:rsid w:val="00565F92"/>
    <w:rsid w:val="00566D20"/>
    <w:rsid w:val="0057019E"/>
    <w:rsid w:val="0057128B"/>
    <w:rsid w:val="0057591D"/>
    <w:rsid w:val="0057695E"/>
    <w:rsid w:val="00576ED0"/>
    <w:rsid w:val="00576F0D"/>
    <w:rsid w:val="005773CF"/>
    <w:rsid w:val="0057783F"/>
    <w:rsid w:val="00580BDF"/>
    <w:rsid w:val="0058247C"/>
    <w:rsid w:val="00583369"/>
    <w:rsid w:val="00587C8F"/>
    <w:rsid w:val="00593217"/>
    <w:rsid w:val="00593696"/>
    <w:rsid w:val="0059482D"/>
    <w:rsid w:val="00596872"/>
    <w:rsid w:val="005A2A86"/>
    <w:rsid w:val="005A38CD"/>
    <w:rsid w:val="005A76C2"/>
    <w:rsid w:val="005B0230"/>
    <w:rsid w:val="005B1179"/>
    <w:rsid w:val="005B34B7"/>
    <w:rsid w:val="005B3729"/>
    <w:rsid w:val="005B4BBD"/>
    <w:rsid w:val="005B4CA8"/>
    <w:rsid w:val="005B4F21"/>
    <w:rsid w:val="005B6386"/>
    <w:rsid w:val="005B64D9"/>
    <w:rsid w:val="005B68E9"/>
    <w:rsid w:val="005C1810"/>
    <w:rsid w:val="005C31A0"/>
    <w:rsid w:val="005C4492"/>
    <w:rsid w:val="005C473F"/>
    <w:rsid w:val="005C4952"/>
    <w:rsid w:val="005C63F7"/>
    <w:rsid w:val="005C7397"/>
    <w:rsid w:val="005C7729"/>
    <w:rsid w:val="005D00E8"/>
    <w:rsid w:val="005D2355"/>
    <w:rsid w:val="005D2445"/>
    <w:rsid w:val="005D31FD"/>
    <w:rsid w:val="005D4399"/>
    <w:rsid w:val="005D6CD2"/>
    <w:rsid w:val="005E117A"/>
    <w:rsid w:val="005E11FC"/>
    <w:rsid w:val="005E20ED"/>
    <w:rsid w:val="005E23F5"/>
    <w:rsid w:val="005E28FB"/>
    <w:rsid w:val="005E6294"/>
    <w:rsid w:val="005E661C"/>
    <w:rsid w:val="005E6D8B"/>
    <w:rsid w:val="005F01B0"/>
    <w:rsid w:val="005F1009"/>
    <w:rsid w:val="005F21D1"/>
    <w:rsid w:val="005F31DF"/>
    <w:rsid w:val="005F4FBC"/>
    <w:rsid w:val="005F528E"/>
    <w:rsid w:val="005F5ACC"/>
    <w:rsid w:val="005F69CC"/>
    <w:rsid w:val="00600132"/>
    <w:rsid w:val="006007D6"/>
    <w:rsid w:val="00600AC6"/>
    <w:rsid w:val="006014C4"/>
    <w:rsid w:val="00601B01"/>
    <w:rsid w:val="00601F5C"/>
    <w:rsid w:val="00603655"/>
    <w:rsid w:val="00605F3F"/>
    <w:rsid w:val="00605FB9"/>
    <w:rsid w:val="00610223"/>
    <w:rsid w:val="006109E9"/>
    <w:rsid w:val="00610CFE"/>
    <w:rsid w:val="006110D1"/>
    <w:rsid w:val="006123DD"/>
    <w:rsid w:val="00613AD2"/>
    <w:rsid w:val="00623887"/>
    <w:rsid w:val="006244DA"/>
    <w:rsid w:val="00625BAD"/>
    <w:rsid w:val="00625E9E"/>
    <w:rsid w:val="006278F6"/>
    <w:rsid w:val="00627F56"/>
    <w:rsid w:val="0063291A"/>
    <w:rsid w:val="00632AA0"/>
    <w:rsid w:val="00632D04"/>
    <w:rsid w:val="006331D5"/>
    <w:rsid w:val="00634824"/>
    <w:rsid w:val="0063609C"/>
    <w:rsid w:val="0063713C"/>
    <w:rsid w:val="00640DAD"/>
    <w:rsid w:val="006458F3"/>
    <w:rsid w:val="00646B21"/>
    <w:rsid w:val="00647FBE"/>
    <w:rsid w:val="00650566"/>
    <w:rsid w:val="006509D3"/>
    <w:rsid w:val="00651339"/>
    <w:rsid w:val="00652215"/>
    <w:rsid w:val="0065569F"/>
    <w:rsid w:val="0065699B"/>
    <w:rsid w:val="00657446"/>
    <w:rsid w:val="00662A4B"/>
    <w:rsid w:val="00662CFC"/>
    <w:rsid w:val="00664D33"/>
    <w:rsid w:val="00666A1A"/>
    <w:rsid w:val="00667036"/>
    <w:rsid w:val="006672AB"/>
    <w:rsid w:val="0066769B"/>
    <w:rsid w:val="006677C7"/>
    <w:rsid w:val="006751F9"/>
    <w:rsid w:val="00682B89"/>
    <w:rsid w:val="00682C81"/>
    <w:rsid w:val="00682FB3"/>
    <w:rsid w:val="00683D7C"/>
    <w:rsid w:val="00685443"/>
    <w:rsid w:val="00685459"/>
    <w:rsid w:val="006858FF"/>
    <w:rsid w:val="006859F7"/>
    <w:rsid w:val="00686470"/>
    <w:rsid w:val="0069019B"/>
    <w:rsid w:val="00692625"/>
    <w:rsid w:val="006932F3"/>
    <w:rsid w:val="00693363"/>
    <w:rsid w:val="006939CC"/>
    <w:rsid w:val="0069483A"/>
    <w:rsid w:val="00694C83"/>
    <w:rsid w:val="006975D4"/>
    <w:rsid w:val="006A0105"/>
    <w:rsid w:val="006A094F"/>
    <w:rsid w:val="006A1612"/>
    <w:rsid w:val="006A208A"/>
    <w:rsid w:val="006A522F"/>
    <w:rsid w:val="006A52C4"/>
    <w:rsid w:val="006A63AE"/>
    <w:rsid w:val="006A63B2"/>
    <w:rsid w:val="006A7735"/>
    <w:rsid w:val="006A797E"/>
    <w:rsid w:val="006B36C8"/>
    <w:rsid w:val="006B4B45"/>
    <w:rsid w:val="006B558F"/>
    <w:rsid w:val="006B7D6C"/>
    <w:rsid w:val="006C38AD"/>
    <w:rsid w:val="006C428F"/>
    <w:rsid w:val="006D2BCA"/>
    <w:rsid w:val="006D4D41"/>
    <w:rsid w:val="006D7818"/>
    <w:rsid w:val="006D783D"/>
    <w:rsid w:val="006E026F"/>
    <w:rsid w:val="006E05E7"/>
    <w:rsid w:val="006E0E88"/>
    <w:rsid w:val="006E26D5"/>
    <w:rsid w:val="006E477E"/>
    <w:rsid w:val="006E7F59"/>
    <w:rsid w:val="006F050F"/>
    <w:rsid w:val="006F0BC5"/>
    <w:rsid w:val="006F0C79"/>
    <w:rsid w:val="006F0EA4"/>
    <w:rsid w:val="006F2893"/>
    <w:rsid w:val="0070064F"/>
    <w:rsid w:val="00704823"/>
    <w:rsid w:val="00704E66"/>
    <w:rsid w:val="00705AA4"/>
    <w:rsid w:val="007062D8"/>
    <w:rsid w:val="00710395"/>
    <w:rsid w:val="00714204"/>
    <w:rsid w:val="007162A5"/>
    <w:rsid w:val="0071719F"/>
    <w:rsid w:val="0071762D"/>
    <w:rsid w:val="00717BAD"/>
    <w:rsid w:val="00720389"/>
    <w:rsid w:val="0072199D"/>
    <w:rsid w:val="00724B23"/>
    <w:rsid w:val="00725BC0"/>
    <w:rsid w:val="00726797"/>
    <w:rsid w:val="007270C9"/>
    <w:rsid w:val="00731DC4"/>
    <w:rsid w:val="00737149"/>
    <w:rsid w:val="00740005"/>
    <w:rsid w:val="00740DF8"/>
    <w:rsid w:val="00741304"/>
    <w:rsid w:val="007468FB"/>
    <w:rsid w:val="00746BF5"/>
    <w:rsid w:val="007470CF"/>
    <w:rsid w:val="00750515"/>
    <w:rsid w:val="00751BF0"/>
    <w:rsid w:val="00753F95"/>
    <w:rsid w:val="0075427A"/>
    <w:rsid w:val="0075477E"/>
    <w:rsid w:val="00754EBD"/>
    <w:rsid w:val="007551E1"/>
    <w:rsid w:val="00757C3B"/>
    <w:rsid w:val="0076023A"/>
    <w:rsid w:val="0076304F"/>
    <w:rsid w:val="00763C32"/>
    <w:rsid w:val="00773733"/>
    <w:rsid w:val="00774FE0"/>
    <w:rsid w:val="0077582D"/>
    <w:rsid w:val="00776E81"/>
    <w:rsid w:val="007802E1"/>
    <w:rsid w:val="00780FAD"/>
    <w:rsid w:val="00782256"/>
    <w:rsid w:val="0078459F"/>
    <w:rsid w:val="007861AF"/>
    <w:rsid w:val="00786A11"/>
    <w:rsid w:val="00791216"/>
    <w:rsid w:val="00791617"/>
    <w:rsid w:val="00792CEB"/>
    <w:rsid w:val="00793AD6"/>
    <w:rsid w:val="00793EA7"/>
    <w:rsid w:val="007940E8"/>
    <w:rsid w:val="00795047"/>
    <w:rsid w:val="007A673A"/>
    <w:rsid w:val="007A69C1"/>
    <w:rsid w:val="007B03E4"/>
    <w:rsid w:val="007B3B54"/>
    <w:rsid w:val="007B3BE2"/>
    <w:rsid w:val="007B665E"/>
    <w:rsid w:val="007B711A"/>
    <w:rsid w:val="007C2538"/>
    <w:rsid w:val="007C385B"/>
    <w:rsid w:val="007C3F49"/>
    <w:rsid w:val="007C5879"/>
    <w:rsid w:val="007C5AD5"/>
    <w:rsid w:val="007C746E"/>
    <w:rsid w:val="007C7FD7"/>
    <w:rsid w:val="007D4DD3"/>
    <w:rsid w:val="007D608A"/>
    <w:rsid w:val="007D7F92"/>
    <w:rsid w:val="007E0773"/>
    <w:rsid w:val="007E0ABA"/>
    <w:rsid w:val="007E1D9A"/>
    <w:rsid w:val="007E3FCC"/>
    <w:rsid w:val="007E6163"/>
    <w:rsid w:val="007E7978"/>
    <w:rsid w:val="007E7BC6"/>
    <w:rsid w:val="007E7F34"/>
    <w:rsid w:val="007F0554"/>
    <w:rsid w:val="007F15BB"/>
    <w:rsid w:val="007F2D2A"/>
    <w:rsid w:val="007F3589"/>
    <w:rsid w:val="007F4404"/>
    <w:rsid w:val="007F44BE"/>
    <w:rsid w:val="007F4C48"/>
    <w:rsid w:val="007F4E1E"/>
    <w:rsid w:val="007F53C1"/>
    <w:rsid w:val="007F772F"/>
    <w:rsid w:val="00800C52"/>
    <w:rsid w:val="008015F8"/>
    <w:rsid w:val="0080211A"/>
    <w:rsid w:val="00804638"/>
    <w:rsid w:val="00804B17"/>
    <w:rsid w:val="008056CD"/>
    <w:rsid w:val="008062BF"/>
    <w:rsid w:val="00806502"/>
    <w:rsid w:val="008109A7"/>
    <w:rsid w:val="00811687"/>
    <w:rsid w:val="0081411F"/>
    <w:rsid w:val="00814C62"/>
    <w:rsid w:val="00821537"/>
    <w:rsid w:val="0082345F"/>
    <w:rsid w:val="00823880"/>
    <w:rsid w:val="008241D3"/>
    <w:rsid w:val="00824D91"/>
    <w:rsid w:val="00825673"/>
    <w:rsid w:val="008257C1"/>
    <w:rsid w:val="00825C08"/>
    <w:rsid w:val="0083058C"/>
    <w:rsid w:val="00830A8A"/>
    <w:rsid w:val="00831AA7"/>
    <w:rsid w:val="00832C0D"/>
    <w:rsid w:val="00833D88"/>
    <w:rsid w:val="008361ED"/>
    <w:rsid w:val="00836304"/>
    <w:rsid w:val="00841BE9"/>
    <w:rsid w:val="00846848"/>
    <w:rsid w:val="00846C4C"/>
    <w:rsid w:val="008479ED"/>
    <w:rsid w:val="00847D7A"/>
    <w:rsid w:val="00850D33"/>
    <w:rsid w:val="00852672"/>
    <w:rsid w:val="00852A83"/>
    <w:rsid w:val="00853473"/>
    <w:rsid w:val="00854D3E"/>
    <w:rsid w:val="008561E9"/>
    <w:rsid w:val="00861D20"/>
    <w:rsid w:val="00863B20"/>
    <w:rsid w:val="008648BB"/>
    <w:rsid w:val="008653DE"/>
    <w:rsid w:val="008679F8"/>
    <w:rsid w:val="00867FB5"/>
    <w:rsid w:val="00870397"/>
    <w:rsid w:val="00871395"/>
    <w:rsid w:val="0087242A"/>
    <w:rsid w:val="00872E19"/>
    <w:rsid w:val="00874AAE"/>
    <w:rsid w:val="00875BF1"/>
    <w:rsid w:val="00877FD8"/>
    <w:rsid w:val="008808E3"/>
    <w:rsid w:val="00881A97"/>
    <w:rsid w:val="00882C09"/>
    <w:rsid w:val="00883178"/>
    <w:rsid w:val="00883881"/>
    <w:rsid w:val="008850A1"/>
    <w:rsid w:val="00885151"/>
    <w:rsid w:val="00887CBC"/>
    <w:rsid w:val="00890346"/>
    <w:rsid w:val="008929C1"/>
    <w:rsid w:val="00893728"/>
    <w:rsid w:val="008942CF"/>
    <w:rsid w:val="008979D4"/>
    <w:rsid w:val="008A1D8B"/>
    <w:rsid w:val="008A3948"/>
    <w:rsid w:val="008A5088"/>
    <w:rsid w:val="008A5FC4"/>
    <w:rsid w:val="008A74F8"/>
    <w:rsid w:val="008B04A0"/>
    <w:rsid w:val="008B0EEF"/>
    <w:rsid w:val="008B123F"/>
    <w:rsid w:val="008B2A89"/>
    <w:rsid w:val="008B3178"/>
    <w:rsid w:val="008B4082"/>
    <w:rsid w:val="008B7312"/>
    <w:rsid w:val="008C09D2"/>
    <w:rsid w:val="008C10AA"/>
    <w:rsid w:val="008C14D4"/>
    <w:rsid w:val="008C1818"/>
    <w:rsid w:val="008C21B5"/>
    <w:rsid w:val="008C21E6"/>
    <w:rsid w:val="008C3592"/>
    <w:rsid w:val="008C38B7"/>
    <w:rsid w:val="008C6E07"/>
    <w:rsid w:val="008D0899"/>
    <w:rsid w:val="008D0B92"/>
    <w:rsid w:val="008D3C61"/>
    <w:rsid w:val="008D3E3D"/>
    <w:rsid w:val="008D42D4"/>
    <w:rsid w:val="008D451E"/>
    <w:rsid w:val="008D49C3"/>
    <w:rsid w:val="008D6B14"/>
    <w:rsid w:val="008D7A86"/>
    <w:rsid w:val="008E09F4"/>
    <w:rsid w:val="008E0C8C"/>
    <w:rsid w:val="008E0E01"/>
    <w:rsid w:val="008E1721"/>
    <w:rsid w:val="008E2AB0"/>
    <w:rsid w:val="008E3865"/>
    <w:rsid w:val="008E417C"/>
    <w:rsid w:val="008E4B38"/>
    <w:rsid w:val="008E5878"/>
    <w:rsid w:val="008F09AB"/>
    <w:rsid w:val="008F11A3"/>
    <w:rsid w:val="008F2AA7"/>
    <w:rsid w:val="008F6986"/>
    <w:rsid w:val="008F709E"/>
    <w:rsid w:val="008F7601"/>
    <w:rsid w:val="008F79E1"/>
    <w:rsid w:val="0090378D"/>
    <w:rsid w:val="00903DA9"/>
    <w:rsid w:val="00904039"/>
    <w:rsid w:val="009074A6"/>
    <w:rsid w:val="00907971"/>
    <w:rsid w:val="00907A05"/>
    <w:rsid w:val="009100A8"/>
    <w:rsid w:val="00910BE8"/>
    <w:rsid w:val="00912187"/>
    <w:rsid w:val="009132E3"/>
    <w:rsid w:val="00913890"/>
    <w:rsid w:val="009148AC"/>
    <w:rsid w:val="00914C1D"/>
    <w:rsid w:val="00915F3F"/>
    <w:rsid w:val="00916228"/>
    <w:rsid w:val="00916D0E"/>
    <w:rsid w:val="0091747C"/>
    <w:rsid w:val="00922A9B"/>
    <w:rsid w:val="009231B2"/>
    <w:rsid w:val="00923ADD"/>
    <w:rsid w:val="00925758"/>
    <w:rsid w:val="009279F2"/>
    <w:rsid w:val="00931B2F"/>
    <w:rsid w:val="00932BAB"/>
    <w:rsid w:val="0093306C"/>
    <w:rsid w:val="009339FC"/>
    <w:rsid w:val="009350CE"/>
    <w:rsid w:val="00940B60"/>
    <w:rsid w:val="00940D05"/>
    <w:rsid w:val="009433C1"/>
    <w:rsid w:val="00943829"/>
    <w:rsid w:val="0094402B"/>
    <w:rsid w:val="0094663E"/>
    <w:rsid w:val="00946DC5"/>
    <w:rsid w:val="00946E17"/>
    <w:rsid w:val="00947011"/>
    <w:rsid w:val="00947278"/>
    <w:rsid w:val="00947EF3"/>
    <w:rsid w:val="009539FA"/>
    <w:rsid w:val="00960FE0"/>
    <w:rsid w:val="0096247E"/>
    <w:rsid w:val="00963D1D"/>
    <w:rsid w:val="00964284"/>
    <w:rsid w:val="00965069"/>
    <w:rsid w:val="00965175"/>
    <w:rsid w:val="00965FDF"/>
    <w:rsid w:val="00967D17"/>
    <w:rsid w:val="009802CB"/>
    <w:rsid w:val="0098465E"/>
    <w:rsid w:val="00985AD3"/>
    <w:rsid w:val="00985D31"/>
    <w:rsid w:val="00986804"/>
    <w:rsid w:val="0099070F"/>
    <w:rsid w:val="00990992"/>
    <w:rsid w:val="009934D7"/>
    <w:rsid w:val="00993BAE"/>
    <w:rsid w:val="00993E39"/>
    <w:rsid w:val="0099546D"/>
    <w:rsid w:val="00996370"/>
    <w:rsid w:val="00997EED"/>
    <w:rsid w:val="009A22F4"/>
    <w:rsid w:val="009A375C"/>
    <w:rsid w:val="009A3853"/>
    <w:rsid w:val="009B0520"/>
    <w:rsid w:val="009B2803"/>
    <w:rsid w:val="009B4220"/>
    <w:rsid w:val="009B5742"/>
    <w:rsid w:val="009B73F5"/>
    <w:rsid w:val="009C3182"/>
    <w:rsid w:val="009C34F3"/>
    <w:rsid w:val="009C5367"/>
    <w:rsid w:val="009C5B87"/>
    <w:rsid w:val="009C6717"/>
    <w:rsid w:val="009D2F28"/>
    <w:rsid w:val="009D3731"/>
    <w:rsid w:val="009D38A1"/>
    <w:rsid w:val="009D5312"/>
    <w:rsid w:val="009E3C08"/>
    <w:rsid w:val="009E6C6B"/>
    <w:rsid w:val="009E77F2"/>
    <w:rsid w:val="009F23BD"/>
    <w:rsid w:val="009F593D"/>
    <w:rsid w:val="00A00503"/>
    <w:rsid w:val="00A0156A"/>
    <w:rsid w:val="00A01C6F"/>
    <w:rsid w:val="00A023EA"/>
    <w:rsid w:val="00A047CA"/>
    <w:rsid w:val="00A063C2"/>
    <w:rsid w:val="00A109D4"/>
    <w:rsid w:val="00A12D70"/>
    <w:rsid w:val="00A1430A"/>
    <w:rsid w:val="00A16057"/>
    <w:rsid w:val="00A17D1A"/>
    <w:rsid w:val="00A21381"/>
    <w:rsid w:val="00A21842"/>
    <w:rsid w:val="00A21925"/>
    <w:rsid w:val="00A2215A"/>
    <w:rsid w:val="00A23059"/>
    <w:rsid w:val="00A2623B"/>
    <w:rsid w:val="00A26B28"/>
    <w:rsid w:val="00A300E2"/>
    <w:rsid w:val="00A323BD"/>
    <w:rsid w:val="00A34465"/>
    <w:rsid w:val="00A35D7E"/>
    <w:rsid w:val="00A37A93"/>
    <w:rsid w:val="00A40847"/>
    <w:rsid w:val="00A40FCF"/>
    <w:rsid w:val="00A42701"/>
    <w:rsid w:val="00A444A6"/>
    <w:rsid w:val="00A44995"/>
    <w:rsid w:val="00A45C33"/>
    <w:rsid w:val="00A466B6"/>
    <w:rsid w:val="00A5128C"/>
    <w:rsid w:val="00A5234E"/>
    <w:rsid w:val="00A57D2F"/>
    <w:rsid w:val="00A57DBC"/>
    <w:rsid w:val="00A60114"/>
    <w:rsid w:val="00A674D0"/>
    <w:rsid w:val="00A71BAA"/>
    <w:rsid w:val="00A74122"/>
    <w:rsid w:val="00A76443"/>
    <w:rsid w:val="00A8447E"/>
    <w:rsid w:val="00A87317"/>
    <w:rsid w:val="00A903D9"/>
    <w:rsid w:val="00A91411"/>
    <w:rsid w:val="00A931E9"/>
    <w:rsid w:val="00A93511"/>
    <w:rsid w:val="00A94647"/>
    <w:rsid w:val="00A96066"/>
    <w:rsid w:val="00A97A9E"/>
    <w:rsid w:val="00A97D79"/>
    <w:rsid w:val="00AA0C5A"/>
    <w:rsid w:val="00AA2D57"/>
    <w:rsid w:val="00AA3E70"/>
    <w:rsid w:val="00AA4EF1"/>
    <w:rsid w:val="00AA560C"/>
    <w:rsid w:val="00AA60BC"/>
    <w:rsid w:val="00AA6BA4"/>
    <w:rsid w:val="00AA7670"/>
    <w:rsid w:val="00AA7C25"/>
    <w:rsid w:val="00AB0362"/>
    <w:rsid w:val="00AB3269"/>
    <w:rsid w:val="00AB3C78"/>
    <w:rsid w:val="00AB6D11"/>
    <w:rsid w:val="00AC0045"/>
    <w:rsid w:val="00AC0E5E"/>
    <w:rsid w:val="00AC254B"/>
    <w:rsid w:val="00AC4111"/>
    <w:rsid w:val="00AC4136"/>
    <w:rsid w:val="00AC4A34"/>
    <w:rsid w:val="00AC4EA7"/>
    <w:rsid w:val="00AC5B44"/>
    <w:rsid w:val="00AD0661"/>
    <w:rsid w:val="00AD0FD4"/>
    <w:rsid w:val="00AD281B"/>
    <w:rsid w:val="00AD29E4"/>
    <w:rsid w:val="00AD51CE"/>
    <w:rsid w:val="00AD6FA9"/>
    <w:rsid w:val="00AD7650"/>
    <w:rsid w:val="00AD772D"/>
    <w:rsid w:val="00AE132C"/>
    <w:rsid w:val="00AE1BC2"/>
    <w:rsid w:val="00AE2DD6"/>
    <w:rsid w:val="00AE3B7B"/>
    <w:rsid w:val="00AE4A80"/>
    <w:rsid w:val="00AE71A5"/>
    <w:rsid w:val="00AE7959"/>
    <w:rsid w:val="00AF1D10"/>
    <w:rsid w:val="00AF2921"/>
    <w:rsid w:val="00AF38D4"/>
    <w:rsid w:val="00AF3FFC"/>
    <w:rsid w:val="00AF440E"/>
    <w:rsid w:val="00B00132"/>
    <w:rsid w:val="00B00D8A"/>
    <w:rsid w:val="00B01A6B"/>
    <w:rsid w:val="00B02FF3"/>
    <w:rsid w:val="00B030B3"/>
    <w:rsid w:val="00B05F83"/>
    <w:rsid w:val="00B064C6"/>
    <w:rsid w:val="00B115A2"/>
    <w:rsid w:val="00B13AC3"/>
    <w:rsid w:val="00B13B6B"/>
    <w:rsid w:val="00B15CA5"/>
    <w:rsid w:val="00B15CCF"/>
    <w:rsid w:val="00B20589"/>
    <w:rsid w:val="00B210F4"/>
    <w:rsid w:val="00B21270"/>
    <w:rsid w:val="00B233FA"/>
    <w:rsid w:val="00B31461"/>
    <w:rsid w:val="00B31649"/>
    <w:rsid w:val="00B344FD"/>
    <w:rsid w:val="00B34B5D"/>
    <w:rsid w:val="00B3586B"/>
    <w:rsid w:val="00B3706D"/>
    <w:rsid w:val="00B40005"/>
    <w:rsid w:val="00B4177C"/>
    <w:rsid w:val="00B42C45"/>
    <w:rsid w:val="00B43A28"/>
    <w:rsid w:val="00B43E2A"/>
    <w:rsid w:val="00B440EB"/>
    <w:rsid w:val="00B46272"/>
    <w:rsid w:val="00B53589"/>
    <w:rsid w:val="00B56443"/>
    <w:rsid w:val="00B568A2"/>
    <w:rsid w:val="00B569E0"/>
    <w:rsid w:val="00B57F53"/>
    <w:rsid w:val="00B612B6"/>
    <w:rsid w:val="00B636DC"/>
    <w:rsid w:val="00B639E5"/>
    <w:rsid w:val="00B67019"/>
    <w:rsid w:val="00B730C1"/>
    <w:rsid w:val="00B742DB"/>
    <w:rsid w:val="00B81003"/>
    <w:rsid w:val="00B818D7"/>
    <w:rsid w:val="00B82008"/>
    <w:rsid w:val="00B84934"/>
    <w:rsid w:val="00B85678"/>
    <w:rsid w:val="00B867DD"/>
    <w:rsid w:val="00B90EA0"/>
    <w:rsid w:val="00B91BAA"/>
    <w:rsid w:val="00B91BC8"/>
    <w:rsid w:val="00B92538"/>
    <w:rsid w:val="00B92C39"/>
    <w:rsid w:val="00B9320E"/>
    <w:rsid w:val="00B93548"/>
    <w:rsid w:val="00B93F58"/>
    <w:rsid w:val="00B952B5"/>
    <w:rsid w:val="00BA01D2"/>
    <w:rsid w:val="00BA0CE8"/>
    <w:rsid w:val="00BA19BE"/>
    <w:rsid w:val="00BA1DFD"/>
    <w:rsid w:val="00BA1F1D"/>
    <w:rsid w:val="00BA2A76"/>
    <w:rsid w:val="00BA374F"/>
    <w:rsid w:val="00BA4A46"/>
    <w:rsid w:val="00BB0290"/>
    <w:rsid w:val="00BB48FA"/>
    <w:rsid w:val="00BB5312"/>
    <w:rsid w:val="00BB57AB"/>
    <w:rsid w:val="00BC16FB"/>
    <w:rsid w:val="00BC1B68"/>
    <w:rsid w:val="00BC3700"/>
    <w:rsid w:val="00BC5ACA"/>
    <w:rsid w:val="00BC5ECE"/>
    <w:rsid w:val="00BC6314"/>
    <w:rsid w:val="00BC67A2"/>
    <w:rsid w:val="00BD0BA3"/>
    <w:rsid w:val="00BD19F5"/>
    <w:rsid w:val="00BD26FC"/>
    <w:rsid w:val="00BD2D98"/>
    <w:rsid w:val="00BD44B9"/>
    <w:rsid w:val="00BD49FC"/>
    <w:rsid w:val="00BD4A08"/>
    <w:rsid w:val="00BD75B3"/>
    <w:rsid w:val="00BD7ACB"/>
    <w:rsid w:val="00BE0BD4"/>
    <w:rsid w:val="00BE391B"/>
    <w:rsid w:val="00BE46AC"/>
    <w:rsid w:val="00BE633C"/>
    <w:rsid w:val="00BE639D"/>
    <w:rsid w:val="00BE69AC"/>
    <w:rsid w:val="00BF1683"/>
    <w:rsid w:val="00BF33B0"/>
    <w:rsid w:val="00BF59B2"/>
    <w:rsid w:val="00BF7E2E"/>
    <w:rsid w:val="00BF7EA1"/>
    <w:rsid w:val="00C00DC1"/>
    <w:rsid w:val="00C01514"/>
    <w:rsid w:val="00C061E3"/>
    <w:rsid w:val="00C06240"/>
    <w:rsid w:val="00C07770"/>
    <w:rsid w:val="00C119C2"/>
    <w:rsid w:val="00C126E5"/>
    <w:rsid w:val="00C141DF"/>
    <w:rsid w:val="00C14967"/>
    <w:rsid w:val="00C14B25"/>
    <w:rsid w:val="00C15FEE"/>
    <w:rsid w:val="00C1627A"/>
    <w:rsid w:val="00C17198"/>
    <w:rsid w:val="00C1777A"/>
    <w:rsid w:val="00C17E8E"/>
    <w:rsid w:val="00C20E15"/>
    <w:rsid w:val="00C222AC"/>
    <w:rsid w:val="00C24C12"/>
    <w:rsid w:val="00C252E8"/>
    <w:rsid w:val="00C26E47"/>
    <w:rsid w:val="00C3083F"/>
    <w:rsid w:val="00C31B7A"/>
    <w:rsid w:val="00C322A1"/>
    <w:rsid w:val="00C32E9F"/>
    <w:rsid w:val="00C33341"/>
    <w:rsid w:val="00C33404"/>
    <w:rsid w:val="00C338CE"/>
    <w:rsid w:val="00C33BEE"/>
    <w:rsid w:val="00C34E14"/>
    <w:rsid w:val="00C364D6"/>
    <w:rsid w:val="00C40350"/>
    <w:rsid w:val="00C414E8"/>
    <w:rsid w:val="00C42AAC"/>
    <w:rsid w:val="00C42CE4"/>
    <w:rsid w:val="00C43619"/>
    <w:rsid w:val="00C43DAE"/>
    <w:rsid w:val="00C45CE0"/>
    <w:rsid w:val="00C51A84"/>
    <w:rsid w:val="00C531DC"/>
    <w:rsid w:val="00C532F8"/>
    <w:rsid w:val="00C533FE"/>
    <w:rsid w:val="00C5376C"/>
    <w:rsid w:val="00C54162"/>
    <w:rsid w:val="00C54C55"/>
    <w:rsid w:val="00C579C2"/>
    <w:rsid w:val="00C61020"/>
    <w:rsid w:val="00C62631"/>
    <w:rsid w:val="00C63972"/>
    <w:rsid w:val="00C65241"/>
    <w:rsid w:val="00C65378"/>
    <w:rsid w:val="00C66CB0"/>
    <w:rsid w:val="00C676E5"/>
    <w:rsid w:val="00C745E0"/>
    <w:rsid w:val="00C75A55"/>
    <w:rsid w:val="00C7661F"/>
    <w:rsid w:val="00C76787"/>
    <w:rsid w:val="00C772E3"/>
    <w:rsid w:val="00C77778"/>
    <w:rsid w:val="00C83A4F"/>
    <w:rsid w:val="00C84379"/>
    <w:rsid w:val="00C84D05"/>
    <w:rsid w:val="00C8621A"/>
    <w:rsid w:val="00C87641"/>
    <w:rsid w:val="00C926AD"/>
    <w:rsid w:val="00C92826"/>
    <w:rsid w:val="00C93453"/>
    <w:rsid w:val="00CA04DC"/>
    <w:rsid w:val="00CA0540"/>
    <w:rsid w:val="00CA0ADF"/>
    <w:rsid w:val="00CA2F8D"/>
    <w:rsid w:val="00CA51DB"/>
    <w:rsid w:val="00CA5938"/>
    <w:rsid w:val="00CA5C45"/>
    <w:rsid w:val="00CA5DEE"/>
    <w:rsid w:val="00CA623D"/>
    <w:rsid w:val="00CB0E55"/>
    <w:rsid w:val="00CB38F2"/>
    <w:rsid w:val="00CB3DBD"/>
    <w:rsid w:val="00CB4D57"/>
    <w:rsid w:val="00CB57FE"/>
    <w:rsid w:val="00CB7123"/>
    <w:rsid w:val="00CB73A3"/>
    <w:rsid w:val="00CB7F0D"/>
    <w:rsid w:val="00CC1DF7"/>
    <w:rsid w:val="00CC20F1"/>
    <w:rsid w:val="00CC28C6"/>
    <w:rsid w:val="00CC3585"/>
    <w:rsid w:val="00CC4808"/>
    <w:rsid w:val="00CC4BC8"/>
    <w:rsid w:val="00CC7D66"/>
    <w:rsid w:val="00CD0055"/>
    <w:rsid w:val="00CD0400"/>
    <w:rsid w:val="00CD211F"/>
    <w:rsid w:val="00CD305B"/>
    <w:rsid w:val="00CD37A9"/>
    <w:rsid w:val="00CD44A5"/>
    <w:rsid w:val="00CD71EC"/>
    <w:rsid w:val="00CE0D2C"/>
    <w:rsid w:val="00CE1B8A"/>
    <w:rsid w:val="00CE3510"/>
    <w:rsid w:val="00CE426B"/>
    <w:rsid w:val="00CE4936"/>
    <w:rsid w:val="00CE4CC0"/>
    <w:rsid w:val="00CE6205"/>
    <w:rsid w:val="00CE6BF8"/>
    <w:rsid w:val="00CE7A1E"/>
    <w:rsid w:val="00CF0714"/>
    <w:rsid w:val="00CF27C4"/>
    <w:rsid w:val="00CF3849"/>
    <w:rsid w:val="00CF717D"/>
    <w:rsid w:val="00D01230"/>
    <w:rsid w:val="00D01C88"/>
    <w:rsid w:val="00D06F27"/>
    <w:rsid w:val="00D073F4"/>
    <w:rsid w:val="00D1102D"/>
    <w:rsid w:val="00D130FD"/>
    <w:rsid w:val="00D13DF0"/>
    <w:rsid w:val="00D143AC"/>
    <w:rsid w:val="00D14486"/>
    <w:rsid w:val="00D21039"/>
    <w:rsid w:val="00D244C9"/>
    <w:rsid w:val="00D24520"/>
    <w:rsid w:val="00D25BF8"/>
    <w:rsid w:val="00D262EA"/>
    <w:rsid w:val="00D31703"/>
    <w:rsid w:val="00D32D1E"/>
    <w:rsid w:val="00D40AAD"/>
    <w:rsid w:val="00D45329"/>
    <w:rsid w:val="00D47ACC"/>
    <w:rsid w:val="00D5064E"/>
    <w:rsid w:val="00D50BE2"/>
    <w:rsid w:val="00D51FE7"/>
    <w:rsid w:val="00D54B01"/>
    <w:rsid w:val="00D5720C"/>
    <w:rsid w:val="00D57274"/>
    <w:rsid w:val="00D600F0"/>
    <w:rsid w:val="00D6034D"/>
    <w:rsid w:val="00D61332"/>
    <w:rsid w:val="00D61F8A"/>
    <w:rsid w:val="00D6239E"/>
    <w:rsid w:val="00D640D7"/>
    <w:rsid w:val="00D64A4B"/>
    <w:rsid w:val="00D66A48"/>
    <w:rsid w:val="00D70374"/>
    <w:rsid w:val="00D70DFD"/>
    <w:rsid w:val="00D71175"/>
    <w:rsid w:val="00D7260B"/>
    <w:rsid w:val="00D729B1"/>
    <w:rsid w:val="00D730B5"/>
    <w:rsid w:val="00D73129"/>
    <w:rsid w:val="00D735FF"/>
    <w:rsid w:val="00D73A3C"/>
    <w:rsid w:val="00D74127"/>
    <w:rsid w:val="00D7483C"/>
    <w:rsid w:val="00D74FD2"/>
    <w:rsid w:val="00D77CD3"/>
    <w:rsid w:val="00D813C5"/>
    <w:rsid w:val="00D83999"/>
    <w:rsid w:val="00D839BC"/>
    <w:rsid w:val="00D84ABE"/>
    <w:rsid w:val="00D84F60"/>
    <w:rsid w:val="00D87B35"/>
    <w:rsid w:val="00D9098B"/>
    <w:rsid w:val="00D91BC7"/>
    <w:rsid w:val="00D91FC5"/>
    <w:rsid w:val="00D92690"/>
    <w:rsid w:val="00D9288B"/>
    <w:rsid w:val="00D93EA3"/>
    <w:rsid w:val="00D969DB"/>
    <w:rsid w:val="00D97AD0"/>
    <w:rsid w:val="00DA2373"/>
    <w:rsid w:val="00DA6F20"/>
    <w:rsid w:val="00DB11D5"/>
    <w:rsid w:val="00DB14FE"/>
    <w:rsid w:val="00DB17ED"/>
    <w:rsid w:val="00DB4087"/>
    <w:rsid w:val="00DB4755"/>
    <w:rsid w:val="00DC07A6"/>
    <w:rsid w:val="00DC22B8"/>
    <w:rsid w:val="00DC3E21"/>
    <w:rsid w:val="00DC428F"/>
    <w:rsid w:val="00DC4480"/>
    <w:rsid w:val="00DC48FC"/>
    <w:rsid w:val="00DD04B4"/>
    <w:rsid w:val="00DD13E2"/>
    <w:rsid w:val="00DD2866"/>
    <w:rsid w:val="00DD2EAD"/>
    <w:rsid w:val="00DD332A"/>
    <w:rsid w:val="00DD39D7"/>
    <w:rsid w:val="00DD3E03"/>
    <w:rsid w:val="00DD536D"/>
    <w:rsid w:val="00DD5375"/>
    <w:rsid w:val="00DD638B"/>
    <w:rsid w:val="00DD6622"/>
    <w:rsid w:val="00DE05AF"/>
    <w:rsid w:val="00DE0CFB"/>
    <w:rsid w:val="00DE1245"/>
    <w:rsid w:val="00DE16B2"/>
    <w:rsid w:val="00DE17F9"/>
    <w:rsid w:val="00DE1D68"/>
    <w:rsid w:val="00DE204C"/>
    <w:rsid w:val="00DE33F9"/>
    <w:rsid w:val="00DE3A75"/>
    <w:rsid w:val="00DE4C92"/>
    <w:rsid w:val="00DE6050"/>
    <w:rsid w:val="00DE65EC"/>
    <w:rsid w:val="00DF22E0"/>
    <w:rsid w:val="00DF2EC9"/>
    <w:rsid w:val="00DF5393"/>
    <w:rsid w:val="00DF54C2"/>
    <w:rsid w:val="00DF5787"/>
    <w:rsid w:val="00DF794F"/>
    <w:rsid w:val="00E02336"/>
    <w:rsid w:val="00E023AA"/>
    <w:rsid w:val="00E02DF9"/>
    <w:rsid w:val="00E059CE"/>
    <w:rsid w:val="00E07B27"/>
    <w:rsid w:val="00E12228"/>
    <w:rsid w:val="00E15852"/>
    <w:rsid w:val="00E1630A"/>
    <w:rsid w:val="00E165CA"/>
    <w:rsid w:val="00E20A4D"/>
    <w:rsid w:val="00E21932"/>
    <w:rsid w:val="00E23208"/>
    <w:rsid w:val="00E23A7E"/>
    <w:rsid w:val="00E24A0D"/>
    <w:rsid w:val="00E24A15"/>
    <w:rsid w:val="00E24F4E"/>
    <w:rsid w:val="00E25699"/>
    <w:rsid w:val="00E270A8"/>
    <w:rsid w:val="00E275BB"/>
    <w:rsid w:val="00E275CC"/>
    <w:rsid w:val="00E3023E"/>
    <w:rsid w:val="00E320BF"/>
    <w:rsid w:val="00E325CC"/>
    <w:rsid w:val="00E32F40"/>
    <w:rsid w:val="00E34B78"/>
    <w:rsid w:val="00E35F2E"/>
    <w:rsid w:val="00E37029"/>
    <w:rsid w:val="00E40F3D"/>
    <w:rsid w:val="00E42F1F"/>
    <w:rsid w:val="00E45A6B"/>
    <w:rsid w:val="00E464E0"/>
    <w:rsid w:val="00E51FE7"/>
    <w:rsid w:val="00E520C5"/>
    <w:rsid w:val="00E5274C"/>
    <w:rsid w:val="00E53E66"/>
    <w:rsid w:val="00E540E3"/>
    <w:rsid w:val="00E54235"/>
    <w:rsid w:val="00E5657E"/>
    <w:rsid w:val="00E60D4B"/>
    <w:rsid w:val="00E61488"/>
    <w:rsid w:val="00E6207F"/>
    <w:rsid w:val="00E62F37"/>
    <w:rsid w:val="00E63547"/>
    <w:rsid w:val="00E63814"/>
    <w:rsid w:val="00E6497E"/>
    <w:rsid w:val="00E651B3"/>
    <w:rsid w:val="00E71B47"/>
    <w:rsid w:val="00E73CC6"/>
    <w:rsid w:val="00E74261"/>
    <w:rsid w:val="00E77018"/>
    <w:rsid w:val="00E8056B"/>
    <w:rsid w:val="00E80729"/>
    <w:rsid w:val="00E80CF1"/>
    <w:rsid w:val="00E86E35"/>
    <w:rsid w:val="00E91474"/>
    <w:rsid w:val="00E91E84"/>
    <w:rsid w:val="00E96BDF"/>
    <w:rsid w:val="00EA1831"/>
    <w:rsid w:val="00EA2204"/>
    <w:rsid w:val="00EA2A85"/>
    <w:rsid w:val="00EA3251"/>
    <w:rsid w:val="00EA3322"/>
    <w:rsid w:val="00EA3F83"/>
    <w:rsid w:val="00EA6150"/>
    <w:rsid w:val="00EA6D50"/>
    <w:rsid w:val="00EA76EE"/>
    <w:rsid w:val="00EB0C47"/>
    <w:rsid w:val="00EB3E6E"/>
    <w:rsid w:val="00EB4FDE"/>
    <w:rsid w:val="00EB73AB"/>
    <w:rsid w:val="00EC042B"/>
    <w:rsid w:val="00EC427E"/>
    <w:rsid w:val="00EC4A38"/>
    <w:rsid w:val="00EC7A14"/>
    <w:rsid w:val="00ED0C35"/>
    <w:rsid w:val="00ED185A"/>
    <w:rsid w:val="00ED19EB"/>
    <w:rsid w:val="00ED1D0D"/>
    <w:rsid w:val="00ED23E1"/>
    <w:rsid w:val="00ED2995"/>
    <w:rsid w:val="00ED39AB"/>
    <w:rsid w:val="00EE02B2"/>
    <w:rsid w:val="00EE1FFF"/>
    <w:rsid w:val="00EE2127"/>
    <w:rsid w:val="00EE22F2"/>
    <w:rsid w:val="00EE4129"/>
    <w:rsid w:val="00EE49F2"/>
    <w:rsid w:val="00EE65C7"/>
    <w:rsid w:val="00EE675F"/>
    <w:rsid w:val="00EF081A"/>
    <w:rsid w:val="00EF5F37"/>
    <w:rsid w:val="00F020D5"/>
    <w:rsid w:val="00F03AB9"/>
    <w:rsid w:val="00F03D77"/>
    <w:rsid w:val="00F04185"/>
    <w:rsid w:val="00F04548"/>
    <w:rsid w:val="00F12338"/>
    <w:rsid w:val="00F15073"/>
    <w:rsid w:val="00F16C2D"/>
    <w:rsid w:val="00F17E6F"/>
    <w:rsid w:val="00F2072F"/>
    <w:rsid w:val="00F2165E"/>
    <w:rsid w:val="00F21CE8"/>
    <w:rsid w:val="00F24FD9"/>
    <w:rsid w:val="00F25484"/>
    <w:rsid w:val="00F254C0"/>
    <w:rsid w:val="00F26132"/>
    <w:rsid w:val="00F2647C"/>
    <w:rsid w:val="00F3294F"/>
    <w:rsid w:val="00F32DC1"/>
    <w:rsid w:val="00F33008"/>
    <w:rsid w:val="00F33089"/>
    <w:rsid w:val="00F33FD1"/>
    <w:rsid w:val="00F35870"/>
    <w:rsid w:val="00F377D3"/>
    <w:rsid w:val="00F4251D"/>
    <w:rsid w:val="00F4543E"/>
    <w:rsid w:val="00F50495"/>
    <w:rsid w:val="00F51B8C"/>
    <w:rsid w:val="00F52310"/>
    <w:rsid w:val="00F53293"/>
    <w:rsid w:val="00F5399F"/>
    <w:rsid w:val="00F56FD2"/>
    <w:rsid w:val="00F6195A"/>
    <w:rsid w:val="00F66724"/>
    <w:rsid w:val="00F70531"/>
    <w:rsid w:val="00F73ACC"/>
    <w:rsid w:val="00F811F7"/>
    <w:rsid w:val="00F81E3B"/>
    <w:rsid w:val="00F81EED"/>
    <w:rsid w:val="00F845C8"/>
    <w:rsid w:val="00F84D4F"/>
    <w:rsid w:val="00F85E0E"/>
    <w:rsid w:val="00F939B5"/>
    <w:rsid w:val="00F946DC"/>
    <w:rsid w:val="00F94CD2"/>
    <w:rsid w:val="00F96568"/>
    <w:rsid w:val="00F971D6"/>
    <w:rsid w:val="00F97FDE"/>
    <w:rsid w:val="00FA1D75"/>
    <w:rsid w:val="00FA2450"/>
    <w:rsid w:val="00FA2486"/>
    <w:rsid w:val="00FA321F"/>
    <w:rsid w:val="00FA593F"/>
    <w:rsid w:val="00FA6CB0"/>
    <w:rsid w:val="00FB5CCE"/>
    <w:rsid w:val="00FB7B56"/>
    <w:rsid w:val="00FC027F"/>
    <w:rsid w:val="00FC1291"/>
    <w:rsid w:val="00FC1708"/>
    <w:rsid w:val="00FC2E35"/>
    <w:rsid w:val="00FC3859"/>
    <w:rsid w:val="00FC54E7"/>
    <w:rsid w:val="00FC7369"/>
    <w:rsid w:val="00FD016B"/>
    <w:rsid w:val="00FD3FFC"/>
    <w:rsid w:val="00FD42F4"/>
    <w:rsid w:val="00FD4E53"/>
    <w:rsid w:val="00FD7129"/>
    <w:rsid w:val="00FD74A6"/>
    <w:rsid w:val="00FE3DE2"/>
    <w:rsid w:val="00FE6FC6"/>
    <w:rsid w:val="00FE75E5"/>
    <w:rsid w:val="00FF0E35"/>
    <w:rsid w:val="00FF4F15"/>
    <w:rsid w:val="00FF4F68"/>
    <w:rsid w:val="00FF66DB"/>
    <w:rsid w:val="00FF7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2"/>
    <o:shapelayout v:ext="edit">
      <o:idmap v:ext="edit" data="1"/>
    </o:shapelayout>
  </w:shapeDefaults>
  <w:decimalSymbol w:val="."/>
  <w:listSeparator w:val=","/>
  <w14:docId w14:val="586F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1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lang w:eastAsia="en-U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paragraph" w:styleId="NoSpacing">
    <w:name w:val="No Spacing"/>
    <w:basedOn w:val="Normal"/>
    <w:uiPriority w:val="1"/>
    <w:qFormat/>
    <w:rsid w:val="005C4492"/>
    <w:rPr>
      <w:rFonts w:eastAsiaTheme="minorHAnsi"/>
      <w:color w:val="404040"/>
      <w:sz w:val="19"/>
      <w:szCs w:val="19"/>
      <w:lang w:eastAsia="en-AU"/>
    </w:rPr>
  </w:style>
  <w:style w:type="character" w:customStyle="1" w:styleId="apple-converted-space">
    <w:name w:val="apple-converted-space"/>
    <w:basedOn w:val="DefaultParagraphFont"/>
    <w:rsid w:val="00DF2EC9"/>
  </w:style>
  <w:style w:type="character" w:customStyle="1" w:styleId="filesize">
    <w:name w:val="filesize"/>
    <w:basedOn w:val="DefaultParagraphFont"/>
    <w:rsid w:val="00DF2EC9"/>
  </w:style>
  <w:style w:type="table" w:customStyle="1" w:styleId="TableGrid1">
    <w:name w:val="Table Grid1"/>
    <w:basedOn w:val="TableNormal"/>
    <w:next w:val="TableGrid"/>
    <w:uiPriority w:val="39"/>
    <w:rsid w:val="000077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40980097">
      <w:bodyDiv w:val="1"/>
      <w:marLeft w:val="0"/>
      <w:marRight w:val="0"/>
      <w:marTop w:val="0"/>
      <w:marBottom w:val="0"/>
      <w:divBdr>
        <w:top w:val="none" w:sz="0" w:space="0" w:color="auto"/>
        <w:left w:val="none" w:sz="0" w:space="0" w:color="auto"/>
        <w:bottom w:val="none" w:sz="0" w:space="0" w:color="auto"/>
        <w:right w:val="none" w:sz="0" w:space="0" w:color="auto"/>
      </w:divBdr>
    </w:div>
    <w:div w:id="161629573">
      <w:bodyDiv w:val="1"/>
      <w:marLeft w:val="0"/>
      <w:marRight w:val="0"/>
      <w:marTop w:val="0"/>
      <w:marBottom w:val="0"/>
      <w:divBdr>
        <w:top w:val="none" w:sz="0" w:space="0" w:color="auto"/>
        <w:left w:val="none" w:sz="0" w:space="0" w:color="auto"/>
        <w:bottom w:val="none" w:sz="0" w:space="0" w:color="auto"/>
        <w:right w:val="none" w:sz="0" w:space="0" w:color="auto"/>
      </w:divBdr>
    </w:div>
    <w:div w:id="167257544">
      <w:bodyDiv w:val="1"/>
      <w:marLeft w:val="0"/>
      <w:marRight w:val="0"/>
      <w:marTop w:val="0"/>
      <w:marBottom w:val="0"/>
      <w:divBdr>
        <w:top w:val="none" w:sz="0" w:space="0" w:color="auto"/>
        <w:left w:val="none" w:sz="0" w:space="0" w:color="auto"/>
        <w:bottom w:val="none" w:sz="0" w:space="0" w:color="auto"/>
        <w:right w:val="none" w:sz="0" w:space="0" w:color="auto"/>
      </w:divBdr>
    </w:div>
    <w:div w:id="187254795">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373011">
      <w:bodyDiv w:val="1"/>
      <w:marLeft w:val="0"/>
      <w:marRight w:val="0"/>
      <w:marTop w:val="0"/>
      <w:marBottom w:val="0"/>
      <w:divBdr>
        <w:top w:val="none" w:sz="0" w:space="0" w:color="auto"/>
        <w:left w:val="none" w:sz="0" w:space="0" w:color="auto"/>
        <w:bottom w:val="none" w:sz="0" w:space="0" w:color="auto"/>
        <w:right w:val="none" w:sz="0" w:space="0" w:color="auto"/>
      </w:divBdr>
    </w:div>
    <w:div w:id="342707352">
      <w:bodyDiv w:val="1"/>
      <w:marLeft w:val="0"/>
      <w:marRight w:val="0"/>
      <w:marTop w:val="0"/>
      <w:marBottom w:val="0"/>
      <w:divBdr>
        <w:top w:val="none" w:sz="0" w:space="0" w:color="auto"/>
        <w:left w:val="none" w:sz="0" w:space="0" w:color="auto"/>
        <w:bottom w:val="none" w:sz="0" w:space="0" w:color="auto"/>
        <w:right w:val="none" w:sz="0" w:space="0" w:color="auto"/>
      </w:divBdr>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02457443">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51171012">
      <w:bodyDiv w:val="1"/>
      <w:marLeft w:val="0"/>
      <w:marRight w:val="0"/>
      <w:marTop w:val="0"/>
      <w:marBottom w:val="0"/>
      <w:divBdr>
        <w:top w:val="none" w:sz="0" w:space="0" w:color="auto"/>
        <w:left w:val="none" w:sz="0" w:space="0" w:color="auto"/>
        <w:bottom w:val="none" w:sz="0" w:space="0" w:color="auto"/>
        <w:right w:val="none" w:sz="0" w:space="0" w:color="auto"/>
      </w:divBdr>
    </w:div>
    <w:div w:id="570122334">
      <w:bodyDiv w:val="1"/>
      <w:marLeft w:val="0"/>
      <w:marRight w:val="0"/>
      <w:marTop w:val="0"/>
      <w:marBottom w:val="0"/>
      <w:divBdr>
        <w:top w:val="none" w:sz="0" w:space="0" w:color="auto"/>
        <w:left w:val="none" w:sz="0" w:space="0" w:color="auto"/>
        <w:bottom w:val="none" w:sz="0" w:space="0" w:color="auto"/>
        <w:right w:val="none" w:sz="0" w:space="0" w:color="auto"/>
      </w:divBdr>
    </w:div>
    <w:div w:id="631179493">
      <w:bodyDiv w:val="1"/>
      <w:marLeft w:val="0"/>
      <w:marRight w:val="0"/>
      <w:marTop w:val="0"/>
      <w:marBottom w:val="0"/>
      <w:divBdr>
        <w:top w:val="none" w:sz="0" w:space="0" w:color="auto"/>
        <w:left w:val="none" w:sz="0" w:space="0" w:color="auto"/>
        <w:bottom w:val="none" w:sz="0" w:space="0" w:color="auto"/>
        <w:right w:val="none" w:sz="0" w:space="0" w:color="auto"/>
      </w:divBdr>
    </w:div>
    <w:div w:id="665594181">
      <w:bodyDiv w:val="1"/>
      <w:marLeft w:val="0"/>
      <w:marRight w:val="0"/>
      <w:marTop w:val="0"/>
      <w:marBottom w:val="0"/>
      <w:divBdr>
        <w:top w:val="none" w:sz="0" w:space="0" w:color="auto"/>
        <w:left w:val="none" w:sz="0" w:space="0" w:color="auto"/>
        <w:bottom w:val="none" w:sz="0" w:space="0" w:color="auto"/>
        <w:right w:val="none" w:sz="0" w:space="0" w:color="auto"/>
      </w:divBdr>
    </w:div>
    <w:div w:id="691764137">
      <w:bodyDiv w:val="1"/>
      <w:marLeft w:val="0"/>
      <w:marRight w:val="0"/>
      <w:marTop w:val="0"/>
      <w:marBottom w:val="0"/>
      <w:divBdr>
        <w:top w:val="none" w:sz="0" w:space="0" w:color="auto"/>
        <w:left w:val="none" w:sz="0" w:space="0" w:color="auto"/>
        <w:bottom w:val="none" w:sz="0" w:space="0" w:color="auto"/>
        <w:right w:val="none" w:sz="0" w:space="0" w:color="auto"/>
      </w:divBdr>
      <w:divsChild>
        <w:div w:id="138617996">
          <w:marLeft w:val="0"/>
          <w:marRight w:val="0"/>
          <w:marTop w:val="0"/>
          <w:marBottom w:val="0"/>
          <w:divBdr>
            <w:top w:val="none" w:sz="0" w:space="0" w:color="auto"/>
            <w:left w:val="none" w:sz="0" w:space="0" w:color="auto"/>
            <w:bottom w:val="none" w:sz="0" w:space="0" w:color="auto"/>
            <w:right w:val="none" w:sz="0" w:space="0" w:color="auto"/>
          </w:divBdr>
          <w:divsChild>
            <w:div w:id="8757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3285">
      <w:bodyDiv w:val="1"/>
      <w:marLeft w:val="0"/>
      <w:marRight w:val="0"/>
      <w:marTop w:val="0"/>
      <w:marBottom w:val="0"/>
      <w:divBdr>
        <w:top w:val="none" w:sz="0" w:space="0" w:color="auto"/>
        <w:left w:val="none" w:sz="0" w:space="0" w:color="auto"/>
        <w:bottom w:val="none" w:sz="0" w:space="0" w:color="auto"/>
        <w:right w:val="none" w:sz="0" w:space="0" w:color="auto"/>
      </w:divBdr>
    </w:div>
    <w:div w:id="762185231">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806450">
      <w:bodyDiv w:val="1"/>
      <w:marLeft w:val="0"/>
      <w:marRight w:val="0"/>
      <w:marTop w:val="0"/>
      <w:marBottom w:val="0"/>
      <w:divBdr>
        <w:top w:val="none" w:sz="0" w:space="0" w:color="auto"/>
        <w:left w:val="none" w:sz="0" w:space="0" w:color="auto"/>
        <w:bottom w:val="none" w:sz="0" w:space="0" w:color="auto"/>
        <w:right w:val="none" w:sz="0" w:space="0" w:color="auto"/>
      </w:divBdr>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848525314">
      <w:bodyDiv w:val="1"/>
      <w:marLeft w:val="0"/>
      <w:marRight w:val="0"/>
      <w:marTop w:val="0"/>
      <w:marBottom w:val="0"/>
      <w:divBdr>
        <w:top w:val="none" w:sz="0" w:space="0" w:color="auto"/>
        <w:left w:val="none" w:sz="0" w:space="0" w:color="auto"/>
        <w:bottom w:val="none" w:sz="0" w:space="0" w:color="auto"/>
        <w:right w:val="none" w:sz="0" w:space="0" w:color="auto"/>
      </w:divBdr>
    </w:div>
    <w:div w:id="864028064">
      <w:bodyDiv w:val="1"/>
      <w:marLeft w:val="0"/>
      <w:marRight w:val="0"/>
      <w:marTop w:val="0"/>
      <w:marBottom w:val="0"/>
      <w:divBdr>
        <w:top w:val="none" w:sz="0" w:space="0" w:color="auto"/>
        <w:left w:val="none" w:sz="0" w:space="0" w:color="auto"/>
        <w:bottom w:val="none" w:sz="0" w:space="0" w:color="auto"/>
        <w:right w:val="none" w:sz="0" w:space="0" w:color="auto"/>
      </w:divBdr>
    </w:div>
    <w:div w:id="927076264">
      <w:bodyDiv w:val="1"/>
      <w:marLeft w:val="0"/>
      <w:marRight w:val="0"/>
      <w:marTop w:val="0"/>
      <w:marBottom w:val="0"/>
      <w:divBdr>
        <w:top w:val="none" w:sz="0" w:space="0" w:color="auto"/>
        <w:left w:val="none" w:sz="0" w:space="0" w:color="auto"/>
        <w:bottom w:val="none" w:sz="0" w:space="0" w:color="auto"/>
        <w:right w:val="none" w:sz="0" w:space="0" w:color="auto"/>
      </w:divBdr>
    </w:div>
    <w:div w:id="977538940">
      <w:bodyDiv w:val="1"/>
      <w:marLeft w:val="0"/>
      <w:marRight w:val="0"/>
      <w:marTop w:val="0"/>
      <w:marBottom w:val="0"/>
      <w:divBdr>
        <w:top w:val="none" w:sz="0" w:space="0" w:color="auto"/>
        <w:left w:val="none" w:sz="0" w:space="0" w:color="auto"/>
        <w:bottom w:val="none" w:sz="0" w:space="0" w:color="auto"/>
        <w:right w:val="none" w:sz="0" w:space="0" w:color="auto"/>
      </w:divBdr>
    </w:div>
    <w:div w:id="1040711899">
      <w:bodyDiv w:val="1"/>
      <w:marLeft w:val="0"/>
      <w:marRight w:val="0"/>
      <w:marTop w:val="0"/>
      <w:marBottom w:val="0"/>
      <w:divBdr>
        <w:top w:val="none" w:sz="0" w:space="0" w:color="auto"/>
        <w:left w:val="none" w:sz="0" w:space="0" w:color="auto"/>
        <w:bottom w:val="none" w:sz="0" w:space="0" w:color="auto"/>
        <w:right w:val="none" w:sz="0" w:space="0" w:color="auto"/>
      </w:divBdr>
    </w:div>
    <w:div w:id="1067723571">
      <w:bodyDiv w:val="1"/>
      <w:marLeft w:val="0"/>
      <w:marRight w:val="0"/>
      <w:marTop w:val="0"/>
      <w:marBottom w:val="0"/>
      <w:divBdr>
        <w:top w:val="none" w:sz="0" w:space="0" w:color="auto"/>
        <w:left w:val="none" w:sz="0" w:space="0" w:color="auto"/>
        <w:bottom w:val="none" w:sz="0" w:space="0" w:color="auto"/>
        <w:right w:val="none" w:sz="0" w:space="0" w:color="auto"/>
      </w:divBdr>
    </w:div>
    <w:div w:id="1073629093">
      <w:bodyDiv w:val="1"/>
      <w:marLeft w:val="0"/>
      <w:marRight w:val="0"/>
      <w:marTop w:val="0"/>
      <w:marBottom w:val="0"/>
      <w:divBdr>
        <w:top w:val="none" w:sz="0" w:space="0" w:color="auto"/>
        <w:left w:val="none" w:sz="0" w:space="0" w:color="auto"/>
        <w:bottom w:val="none" w:sz="0" w:space="0" w:color="auto"/>
        <w:right w:val="none" w:sz="0" w:space="0" w:color="auto"/>
      </w:divBdr>
    </w:div>
    <w:div w:id="1107240177">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33401478">
      <w:bodyDiv w:val="1"/>
      <w:marLeft w:val="0"/>
      <w:marRight w:val="0"/>
      <w:marTop w:val="0"/>
      <w:marBottom w:val="0"/>
      <w:divBdr>
        <w:top w:val="none" w:sz="0" w:space="0" w:color="auto"/>
        <w:left w:val="none" w:sz="0" w:space="0" w:color="auto"/>
        <w:bottom w:val="none" w:sz="0" w:space="0" w:color="auto"/>
        <w:right w:val="none" w:sz="0" w:space="0" w:color="auto"/>
      </w:divBdr>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177578316">
      <w:bodyDiv w:val="1"/>
      <w:marLeft w:val="0"/>
      <w:marRight w:val="0"/>
      <w:marTop w:val="0"/>
      <w:marBottom w:val="0"/>
      <w:divBdr>
        <w:top w:val="none" w:sz="0" w:space="0" w:color="auto"/>
        <w:left w:val="none" w:sz="0" w:space="0" w:color="auto"/>
        <w:bottom w:val="none" w:sz="0" w:space="0" w:color="auto"/>
        <w:right w:val="none" w:sz="0" w:space="0" w:color="auto"/>
      </w:divBdr>
    </w:div>
    <w:div w:id="1183669334">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295792498">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60352906">
      <w:bodyDiv w:val="1"/>
      <w:marLeft w:val="0"/>
      <w:marRight w:val="0"/>
      <w:marTop w:val="0"/>
      <w:marBottom w:val="0"/>
      <w:divBdr>
        <w:top w:val="none" w:sz="0" w:space="0" w:color="auto"/>
        <w:left w:val="none" w:sz="0" w:space="0" w:color="auto"/>
        <w:bottom w:val="none" w:sz="0" w:space="0" w:color="auto"/>
        <w:right w:val="none" w:sz="0" w:space="0" w:color="auto"/>
      </w:divBdr>
    </w:div>
    <w:div w:id="1388455465">
      <w:bodyDiv w:val="1"/>
      <w:marLeft w:val="0"/>
      <w:marRight w:val="0"/>
      <w:marTop w:val="0"/>
      <w:marBottom w:val="0"/>
      <w:divBdr>
        <w:top w:val="none" w:sz="0" w:space="0" w:color="auto"/>
        <w:left w:val="none" w:sz="0" w:space="0" w:color="auto"/>
        <w:bottom w:val="none" w:sz="0" w:space="0" w:color="auto"/>
        <w:right w:val="none" w:sz="0" w:space="0" w:color="auto"/>
      </w:divBdr>
    </w:div>
    <w:div w:id="1393116420">
      <w:bodyDiv w:val="1"/>
      <w:marLeft w:val="0"/>
      <w:marRight w:val="0"/>
      <w:marTop w:val="0"/>
      <w:marBottom w:val="0"/>
      <w:divBdr>
        <w:top w:val="none" w:sz="0" w:space="0" w:color="auto"/>
        <w:left w:val="none" w:sz="0" w:space="0" w:color="auto"/>
        <w:bottom w:val="none" w:sz="0" w:space="0" w:color="auto"/>
        <w:right w:val="none" w:sz="0" w:space="0" w:color="auto"/>
      </w:divBdr>
      <w:divsChild>
        <w:div w:id="24143311">
          <w:marLeft w:val="0"/>
          <w:marRight w:val="0"/>
          <w:marTop w:val="0"/>
          <w:marBottom w:val="0"/>
          <w:divBdr>
            <w:top w:val="none" w:sz="0" w:space="0" w:color="auto"/>
            <w:left w:val="none" w:sz="0" w:space="0" w:color="auto"/>
            <w:bottom w:val="none" w:sz="0" w:space="0" w:color="auto"/>
            <w:right w:val="none" w:sz="0" w:space="0" w:color="auto"/>
          </w:divBdr>
          <w:divsChild>
            <w:div w:id="4929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401636624">
      <w:bodyDiv w:val="1"/>
      <w:marLeft w:val="0"/>
      <w:marRight w:val="0"/>
      <w:marTop w:val="0"/>
      <w:marBottom w:val="0"/>
      <w:divBdr>
        <w:top w:val="none" w:sz="0" w:space="0" w:color="auto"/>
        <w:left w:val="none" w:sz="0" w:space="0" w:color="auto"/>
        <w:bottom w:val="none" w:sz="0" w:space="0" w:color="auto"/>
        <w:right w:val="none" w:sz="0" w:space="0" w:color="auto"/>
      </w:divBdr>
    </w:div>
    <w:div w:id="1443845593">
      <w:bodyDiv w:val="1"/>
      <w:marLeft w:val="0"/>
      <w:marRight w:val="0"/>
      <w:marTop w:val="0"/>
      <w:marBottom w:val="0"/>
      <w:divBdr>
        <w:top w:val="none" w:sz="0" w:space="0" w:color="auto"/>
        <w:left w:val="none" w:sz="0" w:space="0" w:color="auto"/>
        <w:bottom w:val="none" w:sz="0" w:space="0" w:color="auto"/>
        <w:right w:val="none" w:sz="0" w:space="0" w:color="auto"/>
      </w:divBdr>
    </w:div>
    <w:div w:id="1468546323">
      <w:bodyDiv w:val="1"/>
      <w:marLeft w:val="0"/>
      <w:marRight w:val="0"/>
      <w:marTop w:val="0"/>
      <w:marBottom w:val="0"/>
      <w:divBdr>
        <w:top w:val="none" w:sz="0" w:space="0" w:color="auto"/>
        <w:left w:val="none" w:sz="0" w:space="0" w:color="auto"/>
        <w:bottom w:val="none" w:sz="0" w:space="0" w:color="auto"/>
        <w:right w:val="none" w:sz="0" w:space="0" w:color="auto"/>
      </w:divBdr>
    </w:div>
    <w:div w:id="1535998004">
      <w:bodyDiv w:val="1"/>
      <w:marLeft w:val="0"/>
      <w:marRight w:val="0"/>
      <w:marTop w:val="0"/>
      <w:marBottom w:val="0"/>
      <w:divBdr>
        <w:top w:val="none" w:sz="0" w:space="0" w:color="auto"/>
        <w:left w:val="none" w:sz="0" w:space="0" w:color="auto"/>
        <w:bottom w:val="none" w:sz="0" w:space="0" w:color="auto"/>
        <w:right w:val="none" w:sz="0" w:space="0" w:color="auto"/>
      </w:divBdr>
      <w:divsChild>
        <w:div w:id="596409612">
          <w:marLeft w:val="0"/>
          <w:marRight w:val="0"/>
          <w:marTop w:val="0"/>
          <w:marBottom w:val="0"/>
          <w:divBdr>
            <w:top w:val="none" w:sz="0" w:space="0" w:color="auto"/>
            <w:left w:val="none" w:sz="0" w:space="0" w:color="auto"/>
            <w:bottom w:val="none" w:sz="0" w:space="0" w:color="auto"/>
            <w:right w:val="none" w:sz="0" w:space="0" w:color="auto"/>
          </w:divBdr>
          <w:divsChild>
            <w:div w:id="16250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604262358">
      <w:bodyDiv w:val="1"/>
      <w:marLeft w:val="0"/>
      <w:marRight w:val="0"/>
      <w:marTop w:val="0"/>
      <w:marBottom w:val="0"/>
      <w:divBdr>
        <w:top w:val="none" w:sz="0" w:space="0" w:color="auto"/>
        <w:left w:val="none" w:sz="0" w:space="0" w:color="auto"/>
        <w:bottom w:val="none" w:sz="0" w:space="0" w:color="auto"/>
        <w:right w:val="none" w:sz="0" w:space="0" w:color="auto"/>
      </w:divBdr>
    </w:div>
    <w:div w:id="1642537722">
      <w:bodyDiv w:val="1"/>
      <w:marLeft w:val="0"/>
      <w:marRight w:val="0"/>
      <w:marTop w:val="0"/>
      <w:marBottom w:val="0"/>
      <w:divBdr>
        <w:top w:val="none" w:sz="0" w:space="0" w:color="auto"/>
        <w:left w:val="none" w:sz="0" w:space="0" w:color="auto"/>
        <w:bottom w:val="none" w:sz="0" w:space="0" w:color="auto"/>
        <w:right w:val="none" w:sz="0" w:space="0" w:color="auto"/>
      </w:divBdr>
    </w:div>
    <w:div w:id="1683775583">
      <w:bodyDiv w:val="1"/>
      <w:marLeft w:val="0"/>
      <w:marRight w:val="0"/>
      <w:marTop w:val="0"/>
      <w:marBottom w:val="0"/>
      <w:divBdr>
        <w:top w:val="none" w:sz="0" w:space="0" w:color="auto"/>
        <w:left w:val="none" w:sz="0" w:space="0" w:color="auto"/>
        <w:bottom w:val="none" w:sz="0" w:space="0" w:color="auto"/>
        <w:right w:val="none" w:sz="0" w:space="0" w:color="auto"/>
      </w:divBdr>
    </w:div>
    <w:div w:id="1691907395">
      <w:bodyDiv w:val="1"/>
      <w:marLeft w:val="0"/>
      <w:marRight w:val="0"/>
      <w:marTop w:val="0"/>
      <w:marBottom w:val="0"/>
      <w:divBdr>
        <w:top w:val="none" w:sz="0" w:space="0" w:color="auto"/>
        <w:left w:val="none" w:sz="0" w:space="0" w:color="auto"/>
        <w:bottom w:val="none" w:sz="0" w:space="0" w:color="auto"/>
        <w:right w:val="none" w:sz="0" w:space="0" w:color="auto"/>
      </w:divBdr>
    </w:div>
    <w:div w:id="1781221323">
      <w:bodyDiv w:val="1"/>
      <w:marLeft w:val="0"/>
      <w:marRight w:val="0"/>
      <w:marTop w:val="0"/>
      <w:marBottom w:val="0"/>
      <w:divBdr>
        <w:top w:val="none" w:sz="0" w:space="0" w:color="auto"/>
        <w:left w:val="none" w:sz="0" w:space="0" w:color="auto"/>
        <w:bottom w:val="none" w:sz="0" w:space="0" w:color="auto"/>
        <w:right w:val="none" w:sz="0" w:space="0" w:color="auto"/>
      </w:divBdr>
    </w:div>
    <w:div w:id="1819109594">
      <w:bodyDiv w:val="1"/>
      <w:marLeft w:val="0"/>
      <w:marRight w:val="0"/>
      <w:marTop w:val="0"/>
      <w:marBottom w:val="0"/>
      <w:divBdr>
        <w:top w:val="none" w:sz="0" w:space="0" w:color="auto"/>
        <w:left w:val="none" w:sz="0" w:space="0" w:color="auto"/>
        <w:bottom w:val="none" w:sz="0" w:space="0" w:color="auto"/>
        <w:right w:val="none" w:sz="0" w:space="0" w:color="auto"/>
      </w:divBdr>
    </w:div>
    <w:div w:id="1842088836">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 w:id="1959023526">
      <w:bodyDiv w:val="1"/>
      <w:marLeft w:val="0"/>
      <w:marRight w:val="0"/>
      <w:marTop w:val="0"/>
      <w:marBottom w:val="0"/>
      <w:divBdr>
        <w:top w:val="none" w:sz="0" w:space="0" w:color="auto"/>
        <w:left w:val="none" w:sz="0" w:space="0" w:color="auto"/>
        <w:bottom w:val="none" w:sz="0" w:space="0" w:color="auto"/>
        <w:right w:val="none" w:sz="0" w:space="0" w:color="auto"/>
      </w:divBdr>
      <w:divsChild>
        <w:div w:id="117727165">
          <w:marLeft w:val="0"/>
          <w:marRight w:val="0"/>
          <w:marTop w:val="0"/>
          <w:marBottom w:val="0"/>
          <w:divBdr>
            <w:top w:val="none" w:sz="0" w:space="0" w:color="auto"/>
            <w:left w:val="none" w:sz="0" w:space="0" w:color="auto"/>
            <w:bottom w:val="none" w:sz="0" w:space="0" w:color="auto"/>
            <w:right w:val="none" w:sz="0" w:space="0" w:color="auto"/>
          </w:divBdr>
          <w:divsChild>
            <w:div w:id="18392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7102">
      <w:bodyDiv w:val="1"/>
      <w:marLeft w:val="0"/>
      <w:marRight w:val="0"/>
      <w:marTop w:val="0"/>
      <w:marBottom w:val="0"/>
      <w:divBdr>
        <w:top w:val="none" w:sz="0" w:space="0" w:color="auto"/>
        <w:left w:val="none" w:sz="0" w:space="0" w:color="auto"/>
        <w:bottom w:val="none" w:sz="0" w:space="0" w:color="auto"/>
        <w:right w:val="none" w:sz="0" w:space="0" w:color="auto"/>
      </w:divBdr>
    </w:div>
    <w:div w:id="1990671598">
      <w:bodyDiv w:val="1"/>
      <w:marLeft w:val="0"/>
      <w:marRight w:val="0"/>
      <w:marTop w:val="0"/>
      <w:marBottom w:val="0"/>
      <w:divBdr>
        <w:top w:val="none" w:sz="0" w:space="0" w:color="auto"/>
        <w:left w:val="none" w:sz="0" w:space="0" w:color="auto"/>
        <w:bottom w:val="none" w:sz="0" w:space="0" w:color="auto"/>
        <w:right w:val="none" w:sz="0" w:space="0" w:color="auto"/>
      </w:divBdr>
    </w:div>
    <w:div w:id="2059352450">
      <w:bodyDiv w:val="1"/>
      <w:marLeft w:val="0"/>
      <w:marRight w:val="0"/>
      <w:marTop w:val="0"/>
      <w:marBottom w:val="0"/>
      <w:divBdr>
        <w:top w:val="none" w:sz="0" w:space="0" w:color="auto"/>
        <w:left w:val="none" w:sz="0" w:space="0" w:color="auto"/>
        <w:bottom w:val="none" w:sz="0" w:space="0" w:color="auto"/>
        <w:right w:val="none" w:sz="0" w:space="0" w:color="auto"/>
      </w:divBdr>
    </w:div>
    <w:div w:id="2094276719">
      <w:bodyDiv w:val="1"/>
      <w:marLeft w:val="0"/>
      <w:marRight w:val="0"/>
      <w:marTop w:val="0"/>
      <w:marBottom w:val="0"/>
      <w:divBdr>
        <w:top w:val="none" w:sz="0" w:space="0" w:color="auto"/>
        <w:left w:val="none" w:sz="0" w:space="0" w:color="auto"/>
        <w:bottom w:val="none" w:sz="0" w:space="0" w:color="auto"/>
        <w:right w:val="none" w:sz="0" w:space="0" w:color="auto"/>
      </w:divBdr>
    </w:div>
    <w:div w:id="21414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aph.gov.au/~/media/wopapub/senate/committee/corporations_ctte/completed_inquiries/2010_13/fam_bus/report/report_pdf.ashx" TargetMode="External"/><Relationship Id="rId13" Type="http://schemas.openxmlformats.org/officeDocument/2006/relationships/hyperlink" Target="http://www.pc.gov.au/inquiries/current/business/draft/business-draft.pdf" TargetMode="External"/><Relationship Id="rId18" Type="http://schemas.openxmlformats.org/officeDocument/2006/relationships/hyperlink" Target="http://bettertax.gov.au/files/2015/03/TWP_combined-online.pdf" TargetMode="External"/><Relationship Id="rId26" Type="http://schemas.openxmlformats.org/officeDocument/2006/relationships/hyperlink" Target="http://www.pc.gov.au/inquiries/completed/infrastructure" TargetMode="External"/><Relationship Id="rId3" Type="http://schemas.openxmlformats.org/officeDocument/2006/relationships/hyperlink" Target="http://www.taxboard.gov.au/content/reviews_and_consultations/small_business_tax_compliance_costs/scoping_study_report/downloads/small_business_tax_compliance_costs_scoping_study.pdf" TargetMode="External"/><Relationship Id="rId21" Type="http://schemas.openxmlformats.org/officeDocument/2006/relationships/hyperlink" Target="http://www.pc.gov.au/inquiries/completed/infrastructure" TargetMode="External"/><Relationship Id="rId7" Type="http://schemas.openxmlformats.org/officeDocument/2006/relationships/hyperlink" Target="http://www.pc.gov.au/inquiries/current/business/draft/business-draft.pdf" TargetMode="External"/><Relationship Id="rId12" Type="http://schemas.openxmlformats.org/officeDocument/2006/relationships/hyperlink" Target="http://www.aph.gov.au/~/media/wopapub/senate/committee/corporations_ctte/completed_inquiries/2010_13/fam_bus/report/report_pdf.ashx" TargetMode="External"/><Relationship Id="rId17" Type="http://schemas.openxmlformats.org/officeDocument/2006/relationships/hyperlink" Target="http://bettertax.gov.au/files/2015/03/TWP_combined-online.pdf" TargetMode="External"/><Relationship Id="rId25" Type="http://schemas.openxmlformats.org/officeDocument/2006/relationships/hyperlink" Target="http://www.pc.gov.au/inquiries/completed/infrastructure" TargetMode="External"/><Relationship Id="rId2" Type="http://schemas.openxmlformats.org/officeDocument/2006/relationships/hyperlink" Target="http://bettertax.gov.au/files/2015/03/TWP_combined-online.pdf" TargetMode="External"/><Relationship Id="rId16" Type="http://schemas.openxmlformats.org/officeDocument/2006/relationships/hyperlink" Target="http://www.pc.gov.au/inquiries/current/business/draft/business-draft.pdf" TargetMode="External"/><Relationship Id="rId20" Type="http://schemas.openxmlformats.org/officeDocument/2006/relationships/hyperlink" Target="http://www.ntc.gov.au/filemedia/Reports/ModellingTheMarginalCostMay2011.pdf" TargetMode="External"/><Relationship Id="rId1" Type="http://schemas.openxmlformats.org/officeDocument/2006/relationships/hyperlink" Target="http://www.abs.gov.au/ausstats/abs@.nsf/mf/8165.0" TargetMode="External"/><Relationship Id="rId6" Type="http://schemas.openxmlformats.org/officeDocument/2006/relationships/hyperlink" Target="http://www.pc.gov.au/inquiries/current/business/draft/business-draft.pdf" TargetMode="External"/><Relationship Id="rId11" Type="http://schemas.openxmlformats.org/officeDocument/2006/relationships/hyperlink" Target="http://www.aph.gov.au/~/media/wopapub/senate/committee/corporations_ctte/completed_inquiries/2010_13/fam_bus/report/report_pdf.ashx" TargetMode="External"/><Relationship Id="rId24" Type="http://schemas.openxmlformats.org/officeDocument/2006/relationships/hyperlink" Target="http://www.infrastructure.gov.au/infrastructure/publications/files/Productivity_Commission_Inquiry_Report_into_Public_Infrastructure.pdf" TargetMode="External"/><Relationship Id="rId5" Type="http://schemas.openxmlformats.org/officeDocument/2006/relationships/hyperlink" Target="http://www.pc.gov.au/inquiries/current/business/draft/business-draft.pdf" TargetMode="External"/><Relationship Id="rId15" Type="http://schemas.openxmlformats.org/officeDocument/2006/relationships/hyperlink" Target="http://www.pc.gov.au/inquiries/current/business/draft/business-draft.pdf" TargetMode="External"/><Relationship Id="rId23" Type="http://schemas.openxmlformats.org/officeDocument/2006/relationships/hyperlink" Target="http://www.pc.gov.au/inquiries/completed/infrastructure" TargetMode="External"/><Relationship Id="rId10" Type="http://schemas.openxmlformats.org/officeDocument/2006/relationships/hyperlink" Target="http://www.aph.gov.au/~/media/wopapub/senate/committee/corporations_ctte/completed_inquiries/2010_13/fam_bus/report/report_pdf.ashx" TargetMode="External"/><Relationship Id="rId19" Type="http://schemas.openxmlformats.org/officeDocument/2006/relationships/hyperlink" Target="http://www.truck.net.au/industry-resources/future-strategy-road-supply-and-charging-australia" TargetMode="External"/><Relationship Id="rId4" Type="http://schemas.openxmlformats.org/officeDocument/2006/relationships/hyperlink" Target="http://www.aph.gov.au/~/media/wopapub/senate/committee/corporations_ctte/completed_inquiries/2010_13/fam_bus/report/report_pdf.ashx" TargetMode="External"/><Relationship Id="rId9" Type="http://schemas.openxmlformats.org/officeDocument/2006/relationships/hyperlink" Target="http://www.brw.com.au/p/investing/time_running_out_for_many_family_jivQEQzhl6uezXwDVuj6MN" TargetMode="External"/><Relationship Id="rId14" Type="http://schemas.openxmlformats.org/officeDocument/2006/relationships/hyperlink" Target="http://www.pc.gov.au/inquiries/current/business/draft/business-draft.pdf" TargetMode="External"/><Relationship Id="rId22" Type="http://schemas.openxmlformats.org/officeDocument/2006/relationships/hyperlink" Target="http://www.pc.gov.au/inquiries/completed/infrastructure" TargetMode="External"/><Relationship Id="rId27" Type="http://schemas.openxmlformats.org/officeDocument/2006/relationships/hyperlink" Target="http://www.infrastructure.gov.au/infrastructure/publications/files/Productivity_Commission_Inquiry_Report_into_Public_Infrastruc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3B9D-9908-4974-953C-D8F6E22A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4710</Words>
  <Characters>27274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2015-06-01T02:04:00Z</dcterms:created>
  <dcterms:modified xsi:type="dcterms:W3CDTF">2015-06-01T02:05:00Z</dcterms:modified>
</cp:coreProperties>
</file>