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660"/>
        <w:gridCol w:w="6379"/>
      </w:tblGrid>
      <w:tr w:rsidR="00D735FF" w:rsidRPr="00540454" w:rsidTr="000156D1">
        <w:trPr>
          <w:trHeight w:val="756"/>
        </w:trPr>
        <w:tc>
          <w:tcPr>
            <w:tcW w:w="2660" w:type="dxa"/>
            <w:vAlign w:val="center"/>
          </w:tcPr>
          <w:p w:rsidR="00D735FF" w:rsidRPr="00054F0E" w:rsidRDefault="00D735FF" w:rsidP="009D1601">
            <w:pPr>
              <w:pStyle w:val="Header"/>
              <w:rPr>
                <w:rFonts w:ascii="Arial" w:hAnsi="Arial" w:cs="Arial"/>
                <w:b/>
                <w:sz w:val="28"/>
                <w:szCs w:val="28"/>
              </w:rPr>
            </w:pPr>
            <w:bookmarkStart w:id="0" w:name="_GoBack"/>
            <w:bookmarkEnd w:id="0"/>
            <w:r w:rsidRPr="00054F0E">
              <w:rPr>
                <w:rFonts w:ascii="Arial" w:hAnsi="Arial" w:cs="Arial"/>
                <w:b/>
                <w:sz w:val="28"/>
                <w:szCs w:val="28"/>
              </w:rPr>
              <w:t>Submission to:</w:t>
            </w:r>
          </w:p>
        </w:tc>
        <w:tc>
          <w:tcPr>
            <w:tcW w:w="6379" w:type="dxa"/>
            <w:vAlign w:val="center"/>
          </w:tcPr>
          <w:p w:rsidR="00D735FF" w:rsidRPr="00054F0E" w:rsidRDefault="00F3294F" w:rsidP="009D1601">
            <w:pPr>
              <w:pStyle w:val="Header"/>
              <w:rPr>
                <w:rFonts w:ascii="Arial" w:hAnsi="Arial" w:cs="Arial"/>
                <w:sz w:val="28"/>
                <w:szCs w:val="28"/>
              </w:rPr>
            </w:pPr>
            <w:r w:rsidRPr="00054F0E">
              <w:rPr>
                <w:rFonts w:ascii="Arial" w:hAnsi="Arial" w:cs="Arial"/>
                <w:sz w:val="28"/>
                <w:szCs w:val="28"/>
              </w:rPr>
              <w:t>Treasury</w:t>
            </w:r>
          </w:p>
        </w:tc>
      </w:tr>
      <w:tr w:rsidR="00D735FF" w:rsidRPr="00540454" w:rsidTr="000156D1">
        <w:trPr>
          <w:trHeight w:val="756"/>
        </w:trPr>
        <w:tc>
          <w:tcPr>
            <w:tcW w:w="2660" w:type="dxa"/>
            <w:vAlign w:val="center"/>
          </w:tcPr>
          <w:p w:rsidR="00D735FF" w:rsidRPr="00054F0E" w:rsidRDefault="00D735FF" w:rsidP="009D1601">
            <w:pPr>
              <w:pStyle w:val="Header"/>
              <w:rPr>
                <w:rFonts w:ascii="Arial" w:hAnsi="Arial" w:cs="Arial"/>
                <w:b/>
                <w:sz w:val="28"/>
                <w:szCs w:val="28"/>
              </w:rPr>
            </w:pPr>
            <w:r w:rsidRPr="00054F0E">
              <w:rPr>
                <w:rFonts w:ascii="Arial" w:hAnsi="Arial" w:cs="Arial"/>
                <w:b/>
                <w:sz w:val="28"/>
                <w:szCs w:val="28"/>
              </w:rPr>
              <w:t>Title:</w:t>
            </w:r>
          </w:p>
        </w:tc>
        <w:tc>
          <w:tcPr>
            <w:tcW w:w="6379" w:type="dxa"/>
            <w:vAlign w:val="center"/>
          </w:tcPr>
          <w:p w:rsidR="00D735FF" w:rsidRPr="00054F0E" w:rsidRDefault="005507D4" w:rsidP="009D1601">
            <w:pPr>
              <w:pStyle w:val="Header"/>
              <w:rPr>
                <w:rFonts w:ascii="Arial" w:hAnsi="Arial" w:cs="Arial"/>
                <w:sz w:val="28"/>
                <w:szCs w:val="28"/>
              </w:rPr>
            </w:pPr>
            <w:r w:rsidRPr="00054F0E">
              <w:rPr>
                <w:rFonts w:ascii="Arial" w:hAnsi="Arial" w:cs="Arial"/>
                <w:sz w:val="28"/>
                <w:szCs w:val="28"/>
              </w:rPr>
              <w:t>201</w:t>
            </w:r>
            <w:r w:rsidR="00054F0E" w:rsidRPr="00054F0E">
              <w:rPr>
                <w:rFonts w:ascii="Arial" w:hAnsi="Arial" w:cs="Arial"/>
                <w:sz w:val="28"/>
                <w:szCs w:val="28"/>
              </w:rPr>
              <w:t>6</w:t>
            </w:r>
            <w:r w:rsidRPr="00054F0E">
              <w:rPr>
                <w:rFonts w:ascii="Arial" w:hAnsi="Arial" w:cs="Arial"/>
                <w:sz w:val="28"/>
                <w:szCs w:val="28"/>
              </w:rPr>
              <w:t>-</w:t>
            </w:r>
            <w:r w:rsidR="00054F0E" w:rsidRPr="00054F0E">
              <w:rPr>
                <w:rFonts w:ascii="Arial" w:hAnsi="Arial" w:cs="Arial"/>
                <w:sz w:val="28"/>
                <w:szCs w:val="28"/>
              </w:rPr>
              <w:t>17</w:t>
            </w:r>
            <w:r w:rsidR="00072CCE">
              <w:rPr>
                <w:rFonts w:ascii="Arial" w:hAnsi="Arial" w:cs="Arial"/>
                <w:sz w:val="28"/>
                <w:szCs w:val="28"/>
              </w:rPr>
              <w:t xml:space="preserve"> pre-budget s</w:t>
            </w:r>
            <w:r w:rsidR="00EA3322" w:rsidRPr="00054F0E">
              <w:rPr>
                <w:rFonts w:ascii="Arial" w:hAnsi="Arial" w:cs="Arial"/>
                <w:sz w:val="28"/>
                <w:szCs w:val="28"/>
              </w:rPr>
              <w:t>ubmission</w:t>
            </w:r>
          </w:p>
        </w:tc>
      </w:tr>
      <w:tr w:rsidR="00D735FF" w:rsidRPr="00540454" w:rsidTr="000156D1">
        <w:trPr>
          <w:trHeight w:val="756"/>
        </w:trPr>
        <w:tc>
          <w:tcPr>
            <w:tcW w:w="2660" w:type="dxa"/>
            <w:vAlign w:val="center"/>
          </w:tcPr>
          <w:p w:rsidR="00D735FF" w:rsidRPr="00054F0E" w:rsidRDefault="00D735FF" w:rsidP="009D1601">
            <w:pPr>
              <w:pStyle w:val="Header"/>
              <w:rPr>
                <w:rFonts w:ascii="Arial" w:hAnsi="Arial" w:cs="Arial"/>
                <w:b/>
                <w:sz w:val="28"/>
                <w:szCs w:val="28"/>
              </w:rPr>
            </w:pPr>
            <w:r w:rsidRPr="00054F0E">
              <w:rPr>
                <w:rFonts w:ascii="Arial" w:hAnsi="Arial" w:cs="Arial"/>
                <w:b/>
                <w:sz w:val="28"/>
                <w:szCs w:val="28"/>
              </w:rPr>
              <w:t>Date:</w:t>
            </w:r>
          </w:p>
        </w:tc>
        <w:tc>
          <w:tcPr>
            <w:tcW w:w="6379" w:type="dxa"/>
            <w:vAlign w:val="center"/>
          </w:tcPr>
          <w:p w:rsidR="00D735FF" w:rsidRPr="00054F0E" w:rsidRDefault="00054F0E" w:rsidP="009D1601">
            <w:pPr>
              <w:pStyle w:val="Header"/>
              <w:rPr>
                <w:rFonts w:ascii="Arial" w:hAnsi="Arial" w:cs="Arial"/>
                <w:sz w:val="28"/>
                <w:szCs w:val="28"/>
              </w:rPr>
            </w:pPr>
            <w:r w:rsidRPr="00054F0E">
              <w:rPr>
                <w:rFonts w:ascii="Arial" w:hAnsi="Arial" w:cs="Arial"/>
                <w:sz w:val="28"/>
                <w:szCs w:val="28"/>
              </w:rPr>
              <w:t>5 February 2016</w:t>
            </w:r>
          </w:p>
        </w:tc>
      </w:tr>
    </w:tbl>
    <w:p w:rsidR="00D735FF" w:rsidRPr="00540454" w:rsidRDefault="00D735FF" w:rsidP="009D1601">
      <w:pPr>
        <w:pStyle w:val="Header"/>
        <w:rPr>
          <w:rFonts w:ascii="Arial" w:hAnsi="Arial" w:cs="Arial"/>
          <w:sz w:val="32"/>
        </w:rPr>
      </w:pPr>
    </w:p>
    <w:p w:rsidR="00D735FF" w:rsidRPr="00540454" w:rsidRDefault="00D735FF" w:rsidP="009D1601">
      <w:pPr>
        <w:pStyle w:val="Header"/>
        <w:rPr>
          <w:rFonts w:ascii="Arial" w:hAnsi="Arial" w:cs="Arial"/>
          <w:sz w:val="32"/>
        </w:rPr>
      </w:pPr>
    </w:p>
    <w:p w:rsidR="00576ED0" w:rsidRPr="00540454" w:rsidRDefault="00576ED0" w:rsidP="009D1601">
      <w:pPr>
        <w:pStyle w:val="Header"/>
        <w:rPr>
          <w:rFonts w:ascii="Arial" w:hAnsi="Arial" w:cs="Arial"/>
          <w:sz w:val="32"/>
        </w:rPr>
      </w:pPr>
    </w:p>
    <w:p w:rsidR="00576ED0" w:rsidRPr="00540454" w:rsidRDefault="00576ED0" w:rsidP="009D1601">
      <w:pPr>
        <w:rPr>
          <w:rFonts w:ascii="Arial" w:hAnsi="Arial" w:cs="Arial"/>
        </w:rPr>
        <w:sectPr w:rsidR="00576ED0" w:rsidRPr="00540454" w:rsidSect="005F5ACC">
          <w:headerReference w:type="even" r:id="rId8"/>
          <w:headerReference w:type="default" r:id="rId9"/>
          <w:footerReference w:type="even" r:id="rId10"/>
          <w:footerReference w:type="default" r:id="rId11"/>
          <w:headerReference w:type="first" r:id="rId12"/>
          <w:footerReference w:type="first" r:id="rId13"/>
          <w:pgSz w:w="11906" w:h="16838"/>
          <w:pgMar w:top="5103" w:right="1133" w:bottom="1418" w:left="1134" w:header="851" w:footer="651" w:gutter="0"/>
          <w:cols w:space="708"/>
          <w:docGrid w:linePitch="360"/>
        </w:sectPr>
      </w:pPr>
    </w:p>
    <w:p w:rsidR="00576ED0" w:rsidRPr="00540454" w:rsidRDefault="00576ED0" w:rsidP="009D1601">
      <w:pPr>
        <w:rPr>
          <w:rFonts w:ascii="Arial" w:hAnsi="Arial" w:cs="Arial"/>
        </w:rPr>
      </w:pPr>
    </w:p>
    <w:p w:rsidR="0035493A" w:rsidRPr="00540454" w:rsidRDefault="0035493A" w:rsidP="009D1601">
      <w:pPr>
        <w:rPr>
          <w:rFonts w:ascii="Arial" w:hAnsi="Arial" w:cs="Arial"/>
        </w:rPr>
      </w:pPr>
    </w:p>
    <w:p w:rsidR="0035493A" w:rsidRPr="00540454" w:rsidRDefault="0035493A" w:rsidP="009D1601">
      <w:pPr>
        <w:rPr>
          <w:rFonts w:ascii="Arial" w:hAnsi="Arial" w:cs="Arial"/>
        </w:rPr>
      </w:pPr>
    </w:p>
    <w:p w:rsidR="0035493A" w:rsidRPr="00540454" w:rsidRDefault="0035493A" w:rsidP="009D1601">
      <w:pPr>
        <w:rPr>
          <w:rFonts w:ascii="Arial" w:hAnsi="Arial" w:cs="Arial"/>
        </w:rPr>
      </w:pPr>
    </w:p>
    <w:p w:rsidR="0035493A" w:rsidRPr="00540454" w:rsidRDefault="0035493A" w:rsidP="009D1601">
      <w:pPr>
        <w:rPr>
          <w:rFonts w:ascii="Arial" w:hAnsi="Arial" w:cs="Arial"/>
        </w:rPr>
      </w:pPr>
    </w:p>
    <w:p w:rsidR="0035493A" w:rsidRPr="00054F0E" w:rsidRDefault="003B74E4" w:rsidP="009D1601">
      <w:pPr>
        <w:rPr>
          <w:rFonts w:ascii="Arial" w:hAnsi="Arial" w:cs="Arial"/>
          <w:b/>
          <w:color w:val="000064"/>
          <w:sz w:val="28"/>
          <w:szCs w:val="28"/>
        </w:rPr>
      </w:pPr>
      <w:r w:rsidRPr="00054F0E">
        <w:rPr>
          <w:rFonts w:ascii="Arial" w:hAnsi="Arial" w:cs="Arial"/>
          <w:b/>
          <w:color w:val="000064"/>
          <w:sz w:val="28"/>
          <w:szCs w:val="28"/>
        </w:rPr>
        <w:t>Contents</w:t>
      </w:r>
    </w:p>
    <w:p w:rsidR="00576ED0" w:rsidRPr="00540454" w:rsidRDefault="00576ED0" w:rsidP="009D1601">
      <w:pPr>
        <w:rPr>
          <w:rFonts w:ascii="Arial" w:hAnsi="Arial" w:cs="Arial"/>
        </w:rPr>
      </w:pPr>
    </w:p>
    <w:p w:rsidR="009B0520" w:rsidRPr="00540454" w:rsidRDefault="009B0520" w:rsidP="009D1601">
      <w:pPr>
        <w:rPr>
          <w:rFonts w:ascii="Arial" w:hAnsi="Arial" w:cs="Arial"/>
        </w:rPr>
      </w:pPr>
    </w:p>
    <w:p w:rsidR="00F5516D" w:rsidRDefault="003B2024">
      <w:pPr>
        <w:pStyle w:val="TOC1"/>
        <w:tabs>
          <w:tab w:val="left" w:pos="442"/>
        </w:tabs>
        <w:rPr>
          <w:rFonts w:asciiTheme="minorHAnsi" w:eastAsiaTheme="minorEastAsia" w:hAnsiTheme="minorHAnsi" w:cstheme="minorBidi"/>
          <w:b w:val="0"/>
          <w:sz w:val="22"/>
          <w:szCs w:val="22"/>
          <w:lang w:eastAsia="en-AU"/>
        </w:rPr>
      </w:pPr>
      <w:r w:rsidRPr="00054F0E">
        <w:rPr>
          <w:b w:val="0"/>
          <w:sz w:val="22"/>
          <w:szCs w:val="22"/>
        </w:rPr>
        <w:fldChar w:fldCharType="begin"/>
      </w:r>
      <w:r w:rsidR="00BD49FC" w:rsidRPr="00054F0E">
        <w:rPr>
          <w:b w:val="0"/>
          <w:sz w:val="22"/>
          <w:szCs w:val="22"/>
        </w:rPr>
        <w:instrText xml:space="preserve"> TOC \o "1-2" \t "ATA Heading 2,2" </w:instrText>
      </w:r>
      <w:r w:rsidRPr="00054F0E">
        <w:rPr>
          <w:b w:val="0"/>
          <w:sz w:val="22"/>
          <w:szCs w:val="22"/>
        </w:rPr>
        <w:fldChar w:fldCharType="separate"/>
      </w:r>
      <w:r w:rsidR="00F5516D" w:rsidRPr="00890DF9">
        <w:rPr>
          <w:rFonts w:cs="Times New Roman"/>
        </w:rPr>
        <w:t>1.</w:t>
      </w:r>
      <w:r w:rsidR="00F5516D">
        <w:rPr>
          <w:rFonts w:asciiTheme="minorHAnsi" w:eastAsiaTheme="minorEastAsia" w:hAnsiTheme="minorHAnsi" w:cstheme="minorBidi"/>
          <w:b w:val="0"/>
          <w:sz w:val="22"/>
          <w:szCs w:val="22"/>
          <w:lang w:eastAsia="en-AU"/>
        </w:rPr>
        <w:tab/>
      </w:r>
      <w:r w:rsidR="00F5516D">
        <w:t>About the Australian Trucking Association</w:t>
      </w:r>
      <w:r w:rsidR="00F5516D">
        <w:tab/>
      </w:r>
      <w:r w:rsidR="00F5516D">
        <w:fldChar w:fldCharType="begin"/>
      </w:r>
      <w:r w:rsidR="00F5516D">
        <w:instrText xml:space="preserve"> PAGEREF _Toc442434862 \h </w:instrText>
      </w:r>
      <w:r w:rsidR="00F5516D">
        <w:fldChar w:fldCharType="separate"/>
      </w:r>
      <w:r w:rsidR="005C61CC">
        <w:t>3</w:t>
      </w:r>
      <w:r w:rsidR="00F5516D">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2.</w:t>
      </w:r>
      <w:r>
        <w:rPr>
          <w:rFonts w:asciiTheme="minorHAnsi" w:eastAsiaTheme="minorEastAsia" w:hAnsiTheme="minorHAnsi" w:cstheme="minorBidi"/>
          <w:b w:val="0"/>
          <w:sz w:val="22"/>
          <w:szCs w:val="22"/>
          <w:lang w:eastAsia="en-AU"/>
        </w:rPr>
        <w:tab/>
      </w:r>
      <w:r>
        <w:t>Summary of recommendations</w:t>
      </w:r>
      <w:r>
        <w:tab/>
      </w:r>
      <w:r>
        <w:fldChar w:fldCharType="begin"/>
      </w:r>
      <w:r>
        <w:instrText xml:space="preserve"> PAGEREF _Toc442434863 \h </w:instrText>
      </w:r>
      <w:r>
        <w:fldChar w:fldCharType="separate"/>
      </w:r>
      <w:r w:rsidR="005C61CC">
        <w:t>3</w:t>
      </w:r>
      <w:r>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3.</w:t>
      </w:r>
      <w:r>
        <w:rPr>
          <w:rFonts w:asciiTheme="minorHAnsi" w:eastAsiaTheme="minorEastAsia" w:hAnsiTheme="minorHAnsi" w:cstheme="minorBidi"/>
          <w:b w:val="0"/>
          <w:sz w:val="22"/>
          <w:szCs w:val="22"/>
          <w:lang w:eastAsia="en-AU"/>
        </w:rPr>
        <w:tab/>
      </w:r>
      <w:r>
        <w:t>Introduction</w:t>
      </w:r>
      <w:r>
        <w:tab/>
      </w:r>
      <w:r>
        <w:fldChar w:fldCharType="begin"/>
      </w:r>
      <w:r>
        <w:instrText xml:space="preserve"> PAGEREF _Toc442434864 \h </w:instrText>
      </w:r>
      <w:r>
        <w:fldChar w:fldCharType="separate"/>
      </w:r>
      <w:r w:rsidR="005C61CC">
        <w:t>4</w:t>
      </w:r>
      <w:r>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4.</w:t>
      </w:r>
      <w:r>
        <w:rPr>
          <w:rFonts w:asciiTheme="minorHAnsi" w:eastAsiaTheme="minorEastAsia" w:hAnsiTheme="minorHAnsi" w:cstheme="minorBidi"/>
          <w:b w:val="0"/>
          <w:sz w:val="22"/>
          <w:szCs w:val="22"/>
          <w:lang w:eastAsia="en-AU"/>
        </w:rPr>
        <w:tab/>
      </w:r>
      <w:r>
        <w:t>Addressing the overcharging of truck and bus operators</w:t>
      </w:r>
      <w:r>
        <w:tab/>
      </w:r>
      <w:r>
        <w:fldChar w:fldCharType="begin"/>
      </w:r>
      <w:r>
        <w:instrText xml:space="preserve"> PAGEREF _Toc442434865 \h </w:instrText>
      </w:r>
      <w:r>
        <w:fldChar w:fldCharType="separate"/>
      </w:r>
      <w:r w:rsidR="005C61CC">
        <w:t>5</w:t>
      </w:r>
      <w:r>
        <w:fldChar w:fldCharType="end"/>
      </w:r>
    </w:p>
    <w:p w:rsidR="00F5516D" w:rsidRDefault="00F5516D">
      <w:pPr>
        <w:pStyle w:val="TOC2"/>
        <w:rPr>
          <w:rFonts w:asciiTheme="minorHAnsi" w:eastAsiaTheme="minorEastAsia" w:hAnsiTheme="minorHAnsi" w:cstheme="minorBidi"/>
          <w:noProof/>
          <w:sz w:val="22"/>
          <w:lang w:eastAsia="en-AU"/>
        </w:rPr>
      </w:pPr>
      <w:r w:rsidRPr="00890DF9">
        <w:rPr>
          <w:rFonts w:cs="Arial"/>
          <w:noProof/>
        </w:rPr>
        <w:t>Reducing the road user charge</w:t>
      </w:r>
      <w:r>
        <w:rPr>
          <w:noProof/>
        </w:rPr>
        <w:tab/>
      </w:r>
      <w:r>
        <w:rPr>
          <w:noProof/>
        </w:rPr>
        <w:fldChar w:fldCharType="begin"/>
      </w:r>
      <w:r>
        <w:rPr>
          <w:noProof/>
        </w:rPr>
        <w:instrText xml:space="preserve"> PAGEREF _Toc442434866 \h </w:instrText>
      </w:r>
      <w:r>
        <w:rPr>
          <w:noProof/>
        </w:rPr>
      </w:r>
      <w:r>
        <w:rPr>
          <w:noProof/>
        </w:rPr>
        <w:fldChar w:fldCharType="separate"/>
      </w:r>
      <w:r w:rsidR="005C61CC">
        <w:rPr>
          <w:noProof/>
        </w:rPr>
        <w:t>6</w:t>
      </w:r>
      <w:r>
        <w:rPr>
          <w:noProof/>
        </w:rPr>
        <w:fldChar w:fldCharType="end"/>
      </w:r>
    </w:p>
    <w:p w:rsidR="00F5516D" w:rsidRDefault="00F5516D">
      <w:pPr>
        <w:pStyle w:val="TOC2"/>
        <w:rPr>
          <w:rFonts w:asciiTheme="minorHAnsi" w:eastAsiaTheme="minorEastAsia" w:hAnsiTheme="minorHAnsi" w:cstheme="minorBidi"/>
          <w:noProof/>
          <w:sz w:val="22"/>
          <w:lang w:eastAsia="en-AU"/>
        </w:rPr>
      </w:pPr>
      <w:r w:rsidRPr="00890DF9">
        <w:rPr>
          <w:rFonts w:cs="Arial"/>
          <w:noProof/>
        </w:rPr>
        <w:t>Increasing funding for heavy vehicle productivity projects</w:t>
      </w:r>
      <w:r>
        <w:rPr>
          <w:noProof/>
        </w:rPr>
        <w:tab/>
      </w:r>
      <w:r>
        <w:rPr>
          <w:noProof/>
        </w:rPr>
        <w:fldChar w:fldCharType="begin"/>
      </w:r>
      <w:r>
        <w:rPr>
          <w:noProof/>
        </w:rPr>
        <w:instrText xml:space="preserve"> PAGEREF _Toc442434867 \h </w:instrText>
      </w:r>
      <w:r>
        <w:rPr>
          <w:noProof/>
        </w:rPr>
      </w:r>
      <w:r>
        <w:rPr>
          <w:noProof/>
        </w:rPr>
        <w:fldChar w:fldCharType="separate"/>
      </w:r>
      <w:r w:rsidR="005C61CC">
        <w:rPr>
          <w:noProof/>
        </w:rPr>
        <w:t>6</w:t>
      </w:r>
      <w:r>
        <w:rPr>
          <w:noProof/>
        </w:rPr>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5.</w:t>
      </w:r>
      <w:r>
        <w:rPr>
          <w:rFonts w:asciiTheme="minorHAnsi" w:eastAsiaTheme="minorEastAsia" w:hAnsiTheme="minorHAnsi" w:cstheme="minorBidi"/>
          <w:b w:val="0"/>
          <w:sz w:val="22"/>
          <w:szCs w:val="22"/>
          <w:lang w:eastAsia="en-AU"/>
        </w:rPr>
        <w:tab/>
      </w:r>
      <w:r>
        <w:t>Improving the targeting of the HVSPP and BRP</w:t>
      </w:r>
      <w:r>
        <w:tab/>
      </w:r>
      <w:r>
        <w:fldChar w:fldCharType="begin"/>
      </w:r>
      <w:r>
        <w:instrText xml:space="preserve"> PAGEREF _Toc442434868 \h </w:instrText>
      </w:r>
      <w:r>
        <w:fldChar w:fldCharType="separate"/>
      </w:r>
      <w:r w:rsidR="005C61CC">
        <w:t>6</w:t>
      </w:r>
      <w:r>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6.</w:t>
      </w:r>
      <w:r>
        <w:rPr>
          <w:rFonts w:asciiTheme="minorHAnsi" w:eastAsiaTheme="minorEastAsia" w:hAnsiTheme="minorHAnsi" w:cstheme="minorBidi"/>
          <w:b w:val="0"/>
          <w:sz w:val="22"/>
          <w:szCs w:val="22"/>
          <w:lang w:eastAsia="en-AU"/>
        </w:rPr>
        <w:tab/>
      </w:r>
      <w:r>
        <w:t>Planning for road reform</w:t>
      </w:r>
      <w:r>
        <w:tab/>
      </w:r>
      <w:r>
        <w:fldChar w:fldCharType="begin"/>
      </w:r>
      <w:r>
        <w:instrText xml:space="preserve"> PAGEREF _Toc442434869 \h </w:instrText>
      </w:r>
      <w:r>
        <w:fldChar w:fldCharType="separate"/>
      </w:r>
      <w:r w:rsidR="005C61CC">
        <w:t>7</w:t>
      </w:r>
      <w:r>
        <w:fldChar w:fldCharType="end"/>
      </w:r>
    </w:p>
    <w:p w:rsidR="00F5516D" w:rsidRDefault="00F5516D">
      <w:pPr>
        <w:pStyle w:val="TOC2"/>
        <w:rPr>
          <w:rFonts w:asciiTheme="minorHAnsi" w:eastAsiaTheme="minorEastAsia" w:hAnsiTheme="minorHAnsi" w:cstheme="minorBidi"/>
          <w:noProof/>
          <w:sz w:val="22"/>
          <w:lang w:eastAsia="en-AU"/>
        </w:rPr>
      </w:pPr>
      <w:r w:rsidRPr="00890DF9">
        <w:rPr>
          <w:rFonts w:cs="Arial"/>
          <w:noProof/>
          <w:color w:val="000000" w:themeColor="text1"/>
        </w:rPr>
        <w:t>Developing an independent economic regulator and defined service standards</w:t>
      </w:r>
      <w:r>
        <w:rPr>
          <w:noProof/>
        </w:rPr>
        <w:tab/>
      </w:r>
      <w:r>
        <w:rPr>
          <w:noProof/>
        </w:rPr>
        <w:fldChar w:fldCharType="begin"/>
      </w:r>
      <w:r>
        <w:rPr>
          <w:noProof/>
        </w:rPr>
        <w:instrText xml:space="preserve"> PAGEREF _Toc442434870 \h </w:instrText>
      </w:r>
      <w:r>
        <w:rPr>
          <w:noProof/>
        </w:rPr>
      </w:r>
      <w:r>
        <w:rPr>
          <w:noProof/>
        </w:rPr>
        <w:fldChar w:fldCharType="separate"/>
      </w:r>
      <w:r w:rsidR="005C61CC">
        <w:rPr>
          <w:noProof/>
        </w:rPr>
        <w:t>8</w:t>
      </w:r>
      <w:r>
        <w:rPr>
          <w:noProof/>
        </w:rPr>
        <w:fldChar w:fldCharType="end"/>
      </w:r>
    </w:p>
    <w:p w:rsidR="00F5516D" w:rsidRDefault="00F5516D">
      <w:pPr>
        <w:pStyle w:val="TOC2"/>
        <w:rPr>
          <w:rFonts w:asciiTheme="minorHAnsi" w:eastAsiaTheme="minorEastAsia" w:hAnsiTheme="minorHAnsi" w:cstheme="minorBidi"/>
          <w:noProof/>
          <w:sz w:val="22"/>
          <w:lang w:eastAsia="en-AU"/>
        </w:rPr>
      </w:pPr>
      <w:r w:rsidRPr="00890DF9">
        <w:rPr>
          <w:rFonts w:cs="Arial"/>
          <w:noProof/>
          <w:color w:val="000000" w:themeColor="text1"/>
        </w:rPr>
        <w:t>Developing road funds</w:t>
      </w:r>
      <w:r>
        <w:rPr>
          <w:noProof/>
        </w:rPr>
        <w:tab/>
      </w:r>
      <w:r>
        <w:rPr>
          <w:noProof/>
        </w:rPr>
        <w:fldChar w:fldCharType="begin"/>
      </w:r>
      <w:r>
        <w:rPr>
          <w:noProof/>
        </w:rPr>
        <w:instrText xml:space="preserve"> PAGEREF _Toc442434871 \h </w:instrText>
      </w:r>
      <w:r>
        <w:rPr>
          <w:noProof/>
        </w:rPr>
      </w:r>
      <w:r>
        <w:rPr>
          <w:noProof/>
        </w:rPr>
        <w:fldChar w:fldCharType="separate"/>
      </w:r>
      <w:r w:rsidR="005C61CC">
        <w:rPr>
          <w:noProof/>
        </w:rPr>
        <w:t>8</w:t>
      </w:r>
      <w:r>
        <w:rPr>
          <w:noProof/>
        </w:rPr>
        <w:fldChar w:fldCharType="end"/>
      </w:r>
    </w:p>
    <w:p w:rsidR="00F5516D" w:rsidRDefault="00F5516D">
      <w:pPr>
        <w:pStyle w:val="TOC2"/>
        <w:rPr>
          <w:rFonts w:asciiTheme="minorHAnsi" w:eastAsiaTheme="minorEastAsia" w:hAnsiTheme="minorHAnsi" w:cstheme="minorBidi"/>
          <w:noProof/>
          <w:sz w:val="22"/>
          <w:lang w:eastAsia="en-AU"/>
        </w:rPr>
      </w:pPr>
      <w:r w:rsidRPr="00890DF9">
        <w:rPr>
          <w:rFonts w:cs="Arial"/>
          <w:noProof/>
          <w:color w:val="000000" w:themeColor="text1"/>
        </w:rPr>
        <w:t>Reforming fuel tax credit payments</w:t>
      </w:r>
      <w:r>
        <w:rPr>
          <w:noProof/>
        </w:rPr>
        <w:tab/>
      </w:r>
      <w:r>
        <w:rPr>
          <w:noProof/>
        </w:rPr>
        <w:fldChar w:fldCharType="begin"/>
      </w:r>
      <w:r>
        <w:rPr>
          <w:noProof/>
        </w:rPr>
        <w:instrText xml:space="preserve"> PAGEREF _Toc442434872 \h </w:instrText>
      </w:r>
      <w:r>
        <w:rPr>
          <w:noProof/>
        </w:rPr>
      </w:r>
      <w:r>
        <w:rPr>
          <w:noProof/>
        </w:rPr>
        <w:fldChar w:fldCharType="separate"/>
      </w:r>
      <w:r w:rsidR="005C61CC">
        <w:rPr>
          <w:noProof/>
        </w:rPr>
        <w:t>9</w:t>
      </w:r>
      <w:r>
        <w:rPr>
          <w:noProof/>
        </w:rPr>
        <w:fldChar w:fldCharType="end"/>
      </w:r>
    </w:p>
    <w:p w:rsidR="00F5516D" w:rsidRDefault="00F5516D">
      <w:pPr>
        <w:pStyle w:val="TOC1"/>
        <w:tabs>
          <w:tab w:val="left" w:pos="442"/>
        </w:tabs>
        <w:rPr>
          <w:rFonts w:asciiTheme="minorHAnsi" w:eastAsiaTheme="minorEastAsia" w:hAnsiTheme="minorHAnsi" w:cstheme="minorBidi"/>
          <w:b w:val="0"/>
          <w:sz w:val="22"/>
          <w:szCs w:val="22"/>
          <w:lang w:eastAsia="en-AU"/>
        </w:rPr>
      </w:pPr>
      <w:r w:rsidRPr="00890DF9">
        <w:rPr>
          <w:rFonts w:cs="Times New Roman"/>
        </w:rPr>
        <w:t>7.</w:t>
      </w:r>
      <w:r>
        <w:rPr>
          <w:rFonts w:asciiTheme="minorHAnsi" w:eastAsiaTheme="minorEastAsia" w:hAnsiTheme="minorHAnsi" w:cstheme="minorBidi"/>
          <w:b w:val="0"/>
          <w:sz w:val="22"/>
          <w:szCs w:val="22"/>
          <w:lang w:eastAsia="en-AU"/>
        </w:rPr>
        <w:tab/>
      </w:r>
      <w:r>
        <w:t>Other issues</w:t>
      </w:r>
      <w:r>
        <w:tab/>
      </w:r>
      <w:r>
        <w:fldChar w:fldCharType="begin"/>
      </w:r>
      <w:r>
        <w:instrText xml:space="preserve"> PAGEREF _Toc442434873 \h </w:instrText>
      </w:r>
      <w:r>
        <w:fldChar w:fldCharType="separate"/>
      </w:r>
      <w:r w:rsidR="005C61CC">
        <w:t>10</w:t>
      </w:r>
      <w:r>
        <w:fldChar w:fldCharType="end"/>
      </w:r>
    </w:p>
    <w:p w:rsidR="00241C15" w:rsidRPr="006E05F0" w:rsidRDefault="003B2024" w:rsidP="009D1601">
      <w:pPr>
        <w:tabs>
          <w:tab w:val="right" w:leader="dot" w:pos="9645"/>
        </w:tabs>
        <w:rPr>
          <w:rFonts w:ascii="Arial" w:hAnsi="Arial" w:cs="Arial"/>
        </w:rPr>
      </w:pPr>
      <w:r w:rsidRPr="00054F0E">
        <w:rPr>
          <w:rFonts w:ascii="Arial" w:hAnsi="Arial" w:cs="Arial"/>
          <w:noProof/>
        </w:rPr>
        <w:fldChar w:fldCharType="end"/>
      </w:r>
    </w:p>
    <w:p w:rsidR="00576ED0" w:rsidRPr="006E05F0" w:rsidRDefault="00576ED0" w:rsidP="009D1601">
      <w:pPr>
        <w:rPr>
          <w:rFonts w:ascii="Arial" w:hAnsi="Arial" w:cs="Arial"/>
        </w:rPr>
      </w:pPr>
      <w:r w:rsidRPr="006E05F0">
        <w:rPr>
          <w:rFonts w:ascii="Arial" w:hAnsi="Arial" w:cs="Arial"/>
        </w:rPr>
        <w:br w:type="page"/>
      </w:r>
    </w:p>
    <w:p w:rsidR="006233B3" w:rsidRDefault="006233B3" w:rsidP="009D1601">
      <w:pPr>
        <w:pStyle w:val="Heading1"/>
        <w:numPr>
          <w:ilvl w:val="0"/>
          <w:numId w:val="0"/>
        </w:numPr>
        <w:rPr>
          <w:szCs w:val="22"/>
        </w:rPr>
      </w:pPr>
    </w:p>
    <w:p w:rsidR="006233B3" w:rsidRPr="00054F0E" w:rsidRDefault="00054F0E" w:rsidP="009D1601">
      <w:pPr>
        <w:pStyle w:val="Heading1"/>
        <w:rPr>
          <w:sz w:val="24"/>
          <w:szCs w:val="24"/>
        </w:rPr>
      </w:pPr>
      <w:bookmarkStart w:id="1" w:name="_Toc442434862"/>
      <w:r>
        <w:rPr>
          <w:sz w:val="24"/>
          <w:szCs w:val="24"/>
        </w:rPr>
        <w:t xml:space="preserve">About the </w:t>
      </w:r>
      <w:r w:rsidR="006233B3" w:rsidRPr="00054F0E">
        <w:rPr>
          <w:sz w:val="24"/>
          <w:szCs w:val="24"/>
        </w:rPr>
        <w:t>Australian Trucking Association</w:t>
      </w:r>
      <w:bookmarkEnd w:id="1"/>
    </w:p>
    <w:p w:rsidR="006233B3" w:rsidRPr="00540454" w:rsidRDefault="006233B3" w:rsidP="009D1601">
      <w:pPr>
        <w:pStyle w:val="BodyText2"/>
        <w:rPr>
          <w:b w:val="0"/>
          <w:szCs w:val="22"/>
        </w:rPr>
      </w:pPr>
    </w:p>
    <w:p w:rsidR="006233B3" w:rsidRPr="00540454" w:rsidRDefault="006233B3" w:rsidP="009D1601">
      <w:pPr>
        <w:pStyle w:val="BodyText2"/>
        <w:rPr>
          <w:b w:val="0"/>
          <w:szCs w:val="22"/>
        </w:rPr>
      </w:pPr>
      <w:r w:rsidRPr="00540454">
        <w:rPr>
          <w:b w:val="0"/>
          <w:szCs w:val="22"/>
        </w:rPr>
        <w:t>The ATA is the peak body that represents the trucking industry. Its members include state and sector-based trucking associations, some of the nation’s largest transport companies, and businesses with leading expertise in truck technology.</w:t>
      </w:r>
    </w:p>
    <w:p w:rsidR="006233B3" w:rsidRDefault="006233B3" w:rsidP="009D1601">
      <w:pPr>
        <w:pStyle w:val="Heading1"/>
        <w:numPr>
          <w:ilvl w:val="0"/>
          <w:numId w:val="0"/>
        </w:numPr>
        <w:rPr>
          <w:b w:val="0"/>
          <w:sz w:val="22"/>
          <w:szCs w:val="22"/>
        </w:rPr>
      </w:pPr>
    </w:p>
    <w:p w:rsidR="00054F0E" w:rsidRPr="00054F0E" w:rsidRDefault="00054F0E" w:rsidP="00054F0E"/>
    <w:p w:rsidR="00A023EA" w:rsidRPr="00054F0E" w:rsidRDefault="006233B3" w:rsidP="009D1601">
      <w:pPr>
        <w:pStyle w:val="Heading1"/>
        <w:rPr>
          <w:sz w:val="24"/>
          <w:szCs w:val="24"/>
        </w:rPr>
      </w:pPr>
      <w:bookmarkStart w:id="2" w:name="_Toc442434863"/>
      <w:r w:rsidRPr="00054F0E">
        <w:rPr>
          <w:sz w:val="24"/>
          <w:szCs w:val="24"/>
        </w:rPr>
        <w:t>Summary of r</w:t>
      </w:r>
      <w:r w:rsidR="00A023EA" w:rsidRPr="00054F0E">
        <w:rPr>
          <w:sz w:val="24"/>
          <w:szCs w:val="24"/>
        </w:rPr>
        <w:t>ecommendation</w:t>
      </w:r>
      <w:r w:rsidR="00CB73A3" w:rsidRPr="00054F0E">
        <w:rPr>
          <w:sz w:val="24"/>
          <w:szCs w:val="24"/>
        </w:rPr>
        <w:t>s</w:t>
      </w:r>
      <w:bookmarkEnd w:id="2"/>
    </w:p>
    <w:p w:rsidR="00CC3585" w:rsidRDefault="00CC3585" w:rsidP="009D1601">
      <w:pPr>
        <w:rPr>
          <w:rFonts w:ascii="Arial" w:eastAsiaTheme="minorHAnsi" w:hAnsi="Arial" w:cs="Arial"/>
        </w:rPr>
      </w:pPr>
    </w:p>
    <w:p w:rsidR="00AF404A" w:rsidRPr="00540454" w:rsidRDefault="00AF404A" w:rsidP="00AF404A">
      <w:pPr>
        <w:pStyle w:val="NormalWeb"/>
        <w:spacing w:before="0" w:beforeAutospacing="0" w:after="0" w:afterAutospacing="0"/>
        <w:rPr>
          <w:rFonts w:ascii="Arial" w:hAnsi="Arial" w:cs="Arial"/>
          <w:b/>
          <w:iCs/>
          <w:sz w:val="22"/>
          <w:szCs w:val="22"/>
        </w:rPr>
      </w:pPr>
      <w:r w:rsidRPr="00540454">
        <w:rPr>
          <w:rFonts w:ascii="Arial" w:hAnsi="Arial" w:cs="Arial"/>
          <w:b/>
          <w:iCs/>
          <w:sz w:val="22"/>
          <w:szCs w:val="22"/>
        </w:rPr>
        <w:t>Recommendation 1</w:t>
      </w:r>
    </w:p>
    <w:p w:rsidR="00AF404A" w:rsidRPr="00540454" w:rsidRDefault="00AF404A" w:rsidP="00AF404A">
      <w:pPr>
        <w:pStyle w:val="NormalWeb"/>
        <w:spacing w:before="0" w:beforeAutospacing="0" w:after="0" w:afterAutospacing="0"/>
        <w:rPr>
          <w:rFonts w:ascii="Arial" w:hAnsi="Arial" w:cs="Arial"/>
          <w:b/>
          <w:i/>
          <w:iCs/>
          <w:sz w:val="22"/>
          <w:szCs w:val="22"/>
        </w:rPr>
      </w:pPr>
    </w:p>
    <w:p w:rsidR="00AF404A" w:rsidRPr="00540454" w:rsidRDefault="00AF404A" w:rsidP="00AF404A">
      <w:pPr>
        <w:pStyle w:val="NormalWeb"/>
        <w:spacing w:before="0" w:beforeAutospacing="0" w:after="0" w:afterAutospacing="0"/>
        <w:rPr>
          <w:rFonts w:ascii="Arial" w:hAnsi="Arial" w:cs="Arial"/>
          <w:iCs/>
          <w:sz w:val="22"/>
          <w:szCs w:val="22"/>
        </w:rPr>
      </w:pPr>
      <w:r w:rsidRPr="00540454">
        <w:rPr>
          <w:rFonts w:ascii="Arial" w:hAnsi="Arial" w:cs="Arial"/>
          <w:iCs/>
          <w:sz w:val="22"/>
          <w:szCs w:val="22"/>
        </w:rPr>
        <w:t xml:space="preserve">The Government should </w:t>
      </w:r>
      <w:r>
        <w:rPr>
          <w:rFonts w:ascii="Arial" w:hAnsi="Arial" w:cs="Arial"/>
          <w:iCs/>
          <w:sz w:val="22"/>
          <w:szCs w:val="22"/>
        </w:rPr>
        <w:t>reduce the road user charge to 25.9 cents per litre in 2016-17 and 25.3 cents per litre in 2017-18.</w:t>
      </w:r>
    </w:p>
    <w:p w:rsidR="00AF404A" w:rsidRDefault="00AF404A" w:rsidP="009D1601">
      <w:pPr>
        <w:rPr>
          <w:rFonts w:ascii="Arial" w:eastAsiaTheme="minorHAnsi" w:hAnsi="Arial" w:cs="Arial"/>
        </w:rPr>
      </w:pPr>
    </w:p>
    <w:p w:rsidR="00AF404A" w:rsidRPr="00177BE9" w:rsidRDefault="00AF404A" w:rsidP="00AF404A">
      <w:pPr>
        <w:rPr>
          <w:rFonts w:ascii="Arial" w:eastAsiaTheme="minorHAnsi" w:hAnsi="Arial" w:cs="Arial"/>
          <w:b/>
        </w:rPr>
      </w:pPr>
      <w:r w:rsidRPr="00177BE9">
        <w:rPr>
          <w:rFonts w:ascii="Arial" w:eastAsiaTheme="minorHAnsi" w:hAnsi="Arial" w:cs="Arial"/>
          <w:b/>
        </w:rPr>
        <w:t>Recommendation 2</w:t>
      </w:r>
    </w:p>
    <w:p w:rsidR="00AF404A" w:rsidRDefault="00AF404A" w:rsidP="00AF404A">
      <w:pPr>
        <w:rPr>
          <w:rFonts w:ascii="Arial" w:eastAsiaTheme="minorHAnsi" w:hAnsi="Arial" w:cs="Arial"/>
        </w:rPr>
      </w:pPr>
    </w:p>
    <w:p w:rsidR="00AF404A" w:rsidRDefault="00AF404A" w:rsidP="00AF404A">
      <w:pPr>
        <w:rPr>
          <w:rFonts w:ascii="Arial" w:eastAsiaTheme="minorHAnsi" w:hAnsi="Arial" w:cs="Arial"/>
        </w:rPr>
      </w:pPr>
      <w:r>
        <w:rPr>
          <w:rFonts w:ascii="Arial" w:eastAsiaTheme="minorHAnsi" w:hAnsi="Arial" w:cs="Arial"/>
        </w:rPr>
        <w:t>The Government should increase its funding for the HVSPP and productivity projects under the BRP by $49.0 million in 2016-17 and $52.1 million in 2017-18.</w:t>
      </w:r>
    </w:p>
    <w:p w:rsidR="00AF404A" w:rsidRDefault="00AF404A" w:rsidP="009D1601">
      <w:pPr>
        <w:rPr>
          <w:rFonts w:ascii="Arial" w:eastAsiaTheme="minorHAnsi" w:hAnsi="Arial" w:cs="Arial"/>
        </w:rPr>
      </w:pPr>
    </w:p>
    <w:p w:rsidR="00AF404A" w:rsidRPr="00430557" w:rsidRDefault="00AF404A" w:rsidP="00AF404A">
      <w:pPr>
        <w:rPr>
          <w:rFonts w:ascii="Arial" w:eastAsiaTheme="minorHAnsi" w:hAnsi="Arial" w:cs="Arial"/>
          <w:b/>
        </w:rPr>
      </w:pPr>
      <w:r w:rsidRPr="00430557">
        <w:rPr>
          <w:rFonts w:ascii="Arial" w:eastAsiaTheme="minorHAnsi" w:hAnsi="Arial" w:cs="Arial"/>
          <w:b/>
        </w:rPr>
        <w:t>Recommendation 3</w:t>
      </w:r>
    </w:p>
    <w:p w:rsidR="00AF404A" w:rsidRDefault="00AF404A" w:rsidP="00AF404A">
      <w:pPr>
        <w:rPr>
          <w:rFonts w:ascii="Arial" w:eastAsiaTheme="minorHAnsi" w:hAnsi="Arial" w:cs="Arial"/>
        </w:rPr>
      </w:pPr>
    </w:p>
    <w:p w:rsidR="00AF404A" w:rsidRDefault="00AF404A" w:rsidP="00AF404A">
      <w:pPr>
        <w:rPr>
          <w:rFonts w:ascii="Arial" w:eastAsiaTheme="minorHAnsi" w:hAnsi="Arial" w:cs="Arial"/>
        </w:rPr>
      </w:pPr>
      <w:r>
        <w:rPr>
          <w:rFonts w:ascii="Arial" w:eastAsiaTheme="minorHAnsi" w:hAnsi="Arial" w:cs="Arial"/>
        </w:rPr>
        <w:t>The funding criteria for the HVSPP and BRP should be updated progressively to encourage councils to use information from the latest NHVR data analysis and visualisation tools to support their funding applications.</w:t>
      </w:r>
    </w:p>
    <w:p w:rsidR="00AF404A" w:rsidRDefault="00AF404A" w:rsidP="009D1601">
      <w:pPr>
        <w:rPr>
          <w:rFonts w:ascii="Arial" w:eastAsiaTheme="minorHAnsi" w:hAnsi="Arial" w:cs="Arial"/>
        </w:rPr>
      </w:pPr>
    </w:p>
    <w:p w:rsidR="00AF404A" w:rsidRPr="004C78A5" w:rsidRDefault="00AF404A" w:rsidP="00AF404A">
      <w:pPr>
        <w:pStyle w:val="NormalWeb"/>
        <w:spacing w:before="0" w:beforeAutospacing="0" w:after="0" w:afterAutospacing="0"/>
        <w:rPr>
          <w:rFonts w:ascii="Arial" w:hAnsi="Arial" w:cs="Arial"/>
          <w:b/>
          <w:iCs/>
          <w:sz w:val="22"/>
          <w:szCs w:val="22"/>
        </w:rPr>
      </w:pPr>
      <w:r w:rsidRPr="004C78A5">
        <w:rPr>
          <w:rFonts w:ascii="Arial" w:hAnsi="Arial" w:cs="Arial"/>
          <w:b/>
          <w:iCs/>
          <w:sz w:val="22"/>
          <w:szCs w:val="22"/>
        </w:rPr>
        <w:t xml:space="preserve">Recommendation </w:t>
      </w:r>
      <w:r>
        <w:rPr>
          <w:rFonts w:ascii="Arial" w:hAnsi="Arial" w:cs="Arial"/>
          <w:b/>
          <w:iCs/>
          <w:sz w:val="22"/>
          <w:szCs w:val="22"/>
        </w:rPr>
        <w:t>4</w:t>
      </w:r>
    </w:p>
    <w:p w:rsidR="00AF404A" w:rsidRDefault="00AF404A" w:rsidP="00AF404A">
      <w:pPr>
        <w:pStyle w:val="NormalWeb"/>
        <w:spacing w:before="0" w:beforeAutospacing="0" w:after="0" w:afterAutospacing="0"/>
        <w:rPr>
          <w:rFonts w:ascii="Arial" w:hAnsi="Arial" w:cs="Arial"/>
          <w:iCs/>
          <w:sz w:val="22"/>
          <w:szCs w:val="22"/>
        </w:rPr>
      </w:pPr>
    </w:p>
    <w:p w:rsidR="00AF404A" w:rsidRDefault="00AF404A" w:rsidP="00AF404A">
      <w:pPr>
        <w:pStyle w:val="NormalWeb"/>
        <w:spacing w:before="0" w:beforeAutospacing="0" w:after="0" w:afterAutospacing="0"/>
        <w:rPr>
          <w:rFonts w:ascii="Arial" w:hAnsi="Arial" w:cs="Arial"/>
          <w:iCs/>
          <w:sz w:val="22"/>
          <w:szCs w:val="22"/>
        </w:rPr>
      </w:pPr>
      <w:r>
        <w:rPr>
          <w:rFonts w:ascii="Arial" w:hAnsi="Arial" w:cs="Arial"/>
          <w:iCs/>
          <w:sz w:val="22"/>
          <w:szCs w:val="22"/>
        </w:rPr>
        <w:t>The Government should reprioritise existing spending to undertake the following developmental activities with respect to road pricing reform:</w:t>
      </w:r>
    </w:p>
    <w:p w:rsidR="00AF404A" w:rsidRDefault="00AF404A" w:rsidP="00AF404A">
      <w:pPr>
        <w:pStyle w:val="NormalWeb"/>
        <w:spacing w:before="0" w:beforeAutospacing="0" w:after="0" w:afterAutospacing="0"/>
        <w:rPr>
          <w:rFonts w:ascii="Arial" w:hAnsi="Arial" w:cs="Arial"/>
          <w:iCs/>
          <w:sz w:val="22"/>
          <w:szCs w:val="22"/>
        </w:rPr>
      </w:pPr>
    </w:p>
    <w:p w:rsidR="00AF404A" w:rsidRDefault="00AF404A" w:rsidP="00AF404A">
      <w:pPr>
        <w:pStyle w:val="NormalWeb"/>
        <w:numPr>
          <w:ilvl w:val="0"/>
          <w:numId w:val="23"/>
        </w:numPr>
        <w:spacing w:before="0" w:beforeAutospacing="0" w:after="0" w:afterAutospacing="0"/>
        <w:rPr>
          <w:rFonts w:ascii="Arial" w:hAnsi="Arial" w:cs="Arial"/>
          <w:iCs/>
          <w:sz w:val="22"/>
          <w:szCs w:val="22"/>
        </w:rPr>
      </w:pPr>
      <w:r>
        <w:rPr>
          <w:rFonts w:ascii="Arial" w:hAnsi="Arial" w:cs="Arial"/>
          <w:iCs/>
          <w:sz w:val="22"/>
          <w:szCs w:val="22"/>
        </w:rPr>
        <w:t>developing an independent economic regulator for road prices, however they are to be imposed, and regulated service delivery standards for roads</w:t>
      </w:r>
    </w:p>
    <w:p w:rsidR="00AF404A" w:rsidRPr="00546664" w:rsidRDefault="00AF404A" w:rsidP="00AF404A">
      <w:pPr>
        <w:pStyle w:val="NormalWeb"/>
        <w:numPr>
          <w:ilvl w:val="0"/>
          <w:numId w:val="23"/>
        </w:numPr>
        <w:spacing w:before="0" w:beforeAutospacing="0" w:after="0" w:afterAutospacing="0"/>
        <w:rPr>
          <w:rFonts w:ascii="Arial" w:hAnsi="Arial" w:cs="Arial"/>
          <w:iCs/>
          <w:sz w:val="22"/>
          <w:szCs w:val="22"/>
        </w:rPr>
      </w:pPr>
      <w:r w:rsidRPr="00546664">
        <w:rPr>
          <w:rFonts w:ascii="Arial" w:hAnsi="Arial" w:cs="Arial"/>
          <w:iCs/>
          <w:sz w:val="22"/>
          <w:szCs w:val="22"/>
        </w:rPr>
        <w:t xml:space="preserve">developing </w:t>
      </w:r>
      <w:r w:rsidR="0082468F">
        <w:rPr>
          <w:rFonts w:ascii="Arial" w:hAnsi="Arial" w:cs="Arial"/>
          <w:iCs/>
          <w:sz w:val="22"/>
          <w:szCs w:val="22"/>
        </w:rPr>
        <w:t>the road fund concept so it could</w:t>
      </w:r>
      <w:r w:rsidRPr="00546664">
        <w:rPr>
          <w:rFonts w:ascii="Arial" w:hAnsi="Arial" w:cs="Arial"/>
          <w:iCs/>
          <w:sz w:val="22"/>
          <w:szCs w:val="22"/>
        </w:rPr>
        <w:t xml:space="preserve"> be implemented in conjunction with any new pricing system</w:t>
      </w:r>
    </w:p>
    <w:p w:rsidR="00AF404A" w:rsidRDefault="00AF404A" w:rsidP="00AF404A">
      <w:pPr>
        <w:pStyle w:val="NormalWeb"/>
        <w:numPr>
          <w:ilvl w:val="0"/>
          <w:numId w:val="23"/>
        </w:numPr>
        <w:spacing w:before="0" w:beforeAutospacing="0" w:after="0" w:afterAutospacing="0"/>
        <w:rPr>
          <w:rFonts w:ascii="Arial" w:hAnsi="Arial" w:cs="Arial"/>
          <w:iCs/>
          <w:sz w:val="22"/>
          <w:szCs w:val="22"/>
        </w:rPr>
      </w:pPr>
      <w:r>
        <w:rPr>
          <w:rFonts w:ascii="Arial" w:hAnsi="Arial" w:cs="Arial"/>
          <w:iCs/>
          <w:sz w:val="22"/>
          <w:szCs w:val="22"/>
        </w:rPr>
        <w:t>reducing the cash flow gap caused by the interaction between road pricing and the existing fuel tax credits system.</w:t>
      </w:r>
    </w:p>
    <w:p w:rsidR="00AF404A" w:rsidRPr="00AF404A" w:rsidRDefault="00AF404A" w:rsidP="009D1601">
      <w:pPr>
        <w:rPr>
          <w:rFonts w:ascii="Arial" w:eastAsiaTheme="minorHAnsi" w:hAnsi="Arial" w:cs="Arial"/>
        </w:rPr>
      </w:pPr>
    </w:p>
    <w:p w:rsidR="00242D21" w:rsidRDefault="00242D21">
      <w:pPr>
        <w:rPr>
          <w:rFonts w:ascii="Arial" w:hAnsi="Arial" w:cs="Arial"/>
          <w:b/>
          <w:color w:val="000064"/>
          <w:sz w:val="28"/>
        </w:rPr>
      </w:pPr>
      <w:r>
        <w:br w:type="page"/>
      </w:r>
    </w:p>
    <w:p w:rsidR="006233B3" w:rsidRPr="00242D21" w:rsidRDefault="006233B3" w:rsidP="009D1601">
      <w:pPr>
        <w:pStyle w:val="Heading1"/>
        <w:rPr>
          <w:sz w:val="24"/>
          <w:szCs w:val="24"/>
        </w:rPr>
      </w:pPr>
      <w:bookmarkStart w:id="3" w:name="_Toc442434864"/>
      <w:r w:rsidRPr="00242D21">
        <w:rPr>
          <w:sz w:val="24"/>
          <w:szCs w:val="24"/>
        </w:rPr>
        <w:lastRenderedPageBreak/>
        <w:t>Introduction</w:t>
      </w:r>
      <w:bookmarkEnd w:id="3"/>
    </w:p>
    <w:p w:rsidR="006233B3" w:rsidRPr="00540454" w:rsidRDefault="006233B3" w:rsidP="009D1601">
      <w:pPr>
        <w:rPr>
          <w:rFonts w:ascii="Arial" w:eastAsia="Times New Roman" w:hAnsi="Arial" w:cs="Arial"/>
          <w:bCs/>
        </w:rPr>
      </w:pPr>
    </w:p>
    <w:p w:rsidR="00185B28" w:rsidRDefault="00535155" w:rsidP="009D1601">
      <w:pPr>
        <w:pStyle w:val="NormalWeb"/>
        <w:shd w:val="clear" w:color="auto" w:fill="FFFFFF"/>
        <w:spacing w:before="0" w:beforeAutospacing="0" w:after="0" w:afterAutospacing="0"/>
        <w:rPr>
          <w:rFonts w:ascii="Arial" w:hAnsi="Arial" w:cs="Arial"/>
          <w:sz w:val="22"/>
          <w:szCs w:val="22"/>
        </w:rPr>
      </w:pPr>
      <w:r>
        <w:rPr>
          <w:rFonts w:ascii="Arial" w:eastAsiaTheme="minorHAnsi" w:hAnsi="Arial" w:cs="Arial"/>
          <w:bCs/>
          <w:sz w:val="22"/>
          <w:szCs w:val="22"/>
          <w:lang w:eastAsia="en-US"/>
        </w:rPr>
        <w:t>The Australian Govern</w:t>
      </w:r>
      <w:r w:rsidR="005326EB">
        <w:rPr>
          <w:rFonts w:ascii="Arial" w:eastAsiaTheme="minorHAnsi" w:hAnsi="Arial" w:cs="Arial"/>
          <w:bCs/>
          <w:sz w:val="22"/>
          <w:szCs w:val="22"/>
          <w:lang w:eastAsia="en-US"/>
        </w:rPr>
        <w:t>ment is developing the 2016-17 b</w:t>
      </w:r>
      <w:r>
        <w:rPr>
          <w:rFonts w:ascii="Arial" w:eastAsiaTheme="minorHAnsi" w:hAnsi="Arial" w:cs="Arial"/>
          <w:bCs/>
          <w:sz w:val="22"/>
          <w:szCs w:val="22"/>
          <w:lang w:eastAsia="en-US"/>
        </w:rPr>
        <w:t xml:space="preserve">udget at a time of </w:t>
      </w:r>
      <w:r w:rsidR="005326EB">
        <w:rPr>
          <w:rFonts w:ascii="Arial" w:eastAsiaTheme="minorHAnsi" w:hAnsi="Arial" w:cs="Arial"/>
          <w:bCs/>
          <w:sz w:val="22"/>
          <w:szCs w:val="22"/>
          <w:lang w:eastAsia="en-US"/>
        </w:rPr>
        <w:t xml:space="preserve">international </w:t>
      </w:r>
      <w:r>
        <w:rPr>
          <w:rFonts w:ascii="Arial" w:eastAsiaTheme="minorHAnsi" w:hAnsi="Arial" w:cs="Arial"/>
          <w:bCs/>
          <w:sz w:val="22"/>
          <w:szCs w:val="22"/>
          <w:lang w:eastAsia="en-US"/>
        </w:rPr>
        <w:t>economic and f</w:t>
      </w:r>
      <w:r w:rsidR="005326EB">
        <w:rPr>
          <w:rFonts w:ascii="Arial" w:eastAsiaTheme="minorHAnsi" w:hAnsi="Arial" w:cs="Arial"/>
          <w:bCs/>
          <w:sz w:val="22"/>
          <w:szCs w:val="22"/>
          <w:lang w:eastAsia="en-US"/>
        </w:rPr>
        <w:t>inancial volatility</w:t>
      </w:r>
      <w:r>
        <w:rPr>
          <w:rFonts w:ascii="Arial" w:eastAsiaTheme="minorHAnsi" w:hAnsi="Arial" w:cs="Arial"/>
          <w:bCs/>
          <w:sz w:val="22"/>
          <w:szCs w:val="22"/>
          <w:lang w:eastAsia="en-US"/>
        </w:rPr>
        <w:t xml:space="preserve">. </w:t>
      </w:r>
    </w:p>
    <w:p w:rsidR="00185B28" w:rsidRDefault="00185B28" w:rsidP="009D1601">
      <w:pPr>
        <w:pStyle w:val="NormalWeb"/>
        <w:shd w:val="clear" w:color="auto" w:fill="FFFFFF"/>
        <w:spacing w:before="0" w:beforeAutospacing="0" w:after="0" w:afterAutospacing="0"/>
        <w:rPr>
          <w:rFonts w:ascii="Arial" w:hAnsi="Arial" w:cs="Arial"/>
          <w:sz w:val="22"/>
          <w:szCs w:val="22"/>
        </w:rPr>
      </w:pPr>
    </w:p>
    <w:p w:rsidR="005326EB" w:rsidRDefault="005326EB" w:rsidP="009D160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Domestically, </w:t>
      </w:r>
      <w:r w:rsidR="006518D9">
        <w:rPr>
          <w:rFonts w:ascii="Arial" w:hAnsi="Arial" w:cs="Arial"/>
          <w:sz w:val="22"/>
          <w:szCs w:val="22"/>
        </w:rPr>
        <w:t>t</w:t>
      </w:r>
      <w:r>
        <w:rPr>
          <w:rFonts w:ascii="Arial" w:hAnsi="Arial" w:cs="Arial"/>
          <w:sz w:val="22"/>
          <w:szCs w:val="22"/>
        </w:rPr>
        <w:t xml:space="preserve">he economy is still </w:t>
      </w:r>
      <w:r w:rsidR="00304E75">
        <w:rPr>
          <w:rFonts w:ascii="Arial" w:hAnsi="Arial" w:cs="Arial"/>
          <w:sz w:val="22"/>
          <w:szCs w:val="22"/>
        </w:rPr>
        <w:t xml:space="preserve">in </w:t>
      </w:r>
      <w:r>
        <w:rPr>
          <w:rFonts w:ascii="Arial" w:hAnsi="Arial" w:cs="Arial"/>
          <w:sz w:val="22"/>
          <w:szCs w:val="22"/>
        </w:rPr>
        <w:t>transitio</w:t>
      </w:r>
      <w:r w:rsidR="00304E75">
        <w:rPr>
          <w:rFonts w:ascii="Arial" w:hAnsi="Arial" w:cs="Arial"/>
          <w:sz w:val="22"/>
          <w:szCs w:val="22"/>
        </w:rPr>
        <w:t xml:space="preserve">n from the period when growth was led by resource investment to </w:t>
      </w:r>
      <w:r>
        <w:rPr>
          <w:rFonts w:ascii="Arial" w:hAnsi="Arial" w:cs="Arial"/>
          <w:sz w:val="22"/>
          <w:szCs w:val="22"/>
        </w:rPr>
        <w:t xml:space="preserve">broader bases of economic activity. </w:t>
      </w:r>
      <w:r w:rsidR="00304E75">
        <w:rPr>
          <w:rFonts w:ascii="Arial" w:hAnsi="Arial" w:cs="Arial"/>
          <w:sz w:val="22"/>
          <w:szCs w:val="22"/>
        </w:rPr>
        <w:t xml:space="preserve">The transition is proving to be gradual, with </w:t>
      </w:r>
      <w:r w:rsidR="0066270D">
        <w:rPr>
          <w:rFonts w:ascii="Arial" w:hAnsi="Arial" w:cs="Arial"/>
          <w:sz w:val="22"/>
          <w:szCs w:val="22"/>
        </w:rPr>
        <w:t xml:space="preserve">GDP growth in 2015-16 and 2016-17 </w:t>
      </w:r>
      <w:r w:rsidR="00304E75">
        <w:rPr>
          <w:rFonts w:ascii="Arial" w:hAnsi="Arial" w:cs="Arial"/>
          <w:sz w:val="22"/>
          <w:szCs w:val="22"/>
        </w:rPr>
        <w:t xml:space="preserve">now </w:t>
      </w:r>
      <w:r w:rsidR="0066270D">
        <w:rPr>
          <w:rFonts w:ascii="Arial" w:hAnsi="Arial" w:cs="Arial"/>
          <w:sz w:val="22"/>
          <w:szCs w:val="22"/>
        </w:rPr>
        <w:t xml:space="preserve">forecast to be lower than </w:t>
      </w:r>
      <w:r w:rsidR="00304E75">
        <w:rPr>
          <w:rFonts w:ascii="Arial" w:hAnsi="Arial" w:cs="Arial"/>
          <w:sz w:val="22"/>
          <w:szCs w:val="22"/>
        </w:rPr>
        <w:t>expected.</w:t>
      </w:r>
      <w:r w:rsidR="0066270D">
        <w:rPr>
          <w:rFonts w:ascii="Arial" w:hAnsi="Arial" w:cs="Arial"/>
          <w:sz w:val="22"/>
          <w:szCs w:val="22"/>
        </w:rPr>
        <w:t xml:space="preserve"> </w:t>
      </w:r>
      <w:r w:rsidR="00304E75">
        <w:rPr>
          <w:rFonts w:ascii="Arial" w:hAnsi="Arial" w:cs="Arial"/>
          <w:sz w:val="22"/>
          <w:szCs w:val="22"/>
        </w:rPr>
        <w:t xml:space="preserve">Nonetheless, </w:t>
      </w:r>
      <w:r w:rsidR="0066270D">
        <w:rPr>
          <w:rFonts w:ascii="Arial" w:hAnsi="Arial" w:cs="Arial"/>
          <w:sz w:val="22"/>
          <w:szCs w:val="22"/>
        </w:rPr>
        <w:t>t</w:t>
      </w:r>
      <w:r>
        <w:rPr>
          <w:rFonts w:ascii="Arial" w:hAnsi="Arial" w:cs="Arial"/>
          <w:sz w:val="22"/>
          <w:szCs w:val="22"/>
        </w:rPr>
        <w:t xml:space="preserve">he RBA </w:t>
      </w:r>
      <w:r w:rsidR="00304E75">
        <w:rPr>
          <w:rFonts w:ascii="Arial" w:hAnsi="Arial" w:cs="Arial"/>
          <w:sz w:val="22"/>
          <w:szCs w:val="22"/>
        </w:rPr>
        <w:t xml:space="preserve">recently </w:t>
      </w:r>
      <w:r>
        <w:rPr>
          <w:rFonts w:ascii="Arial" w:hAnsi="Arial" w:cs="Arial"/>
          <w:sz w:val="22"/>
          <w:szCs w:val="22"/>
        </w:rPr>
        <w:t>noted that surveys of business conditions are now at above average levels</w:t>
      </w:r>
      <w:r w:rsidR="00304E75">
        <w:rPr>
          <w:rFonts w:ascii="Arial" w:hAnsi="Arial" w:cs="Arial"/>
          <w:sz w:val="22"/>
          <w:szCs w:val="22"/>
        </w:rPr>
        <w:t>, employment growth has picked up and the unemployment rate has declined.</w:t>
      </w:r>
      <w:r>
        <w:rPr>
          <w:rStyle w:val="FootnoteReference"/>
          <w:rFonts w:ascii="Arial" w:hAnsi="Arial"/>
          <w:sz w:val="22"/>
          <w:szCs w:val="22"/>
        </w:rPr>
        <w:footnoteReference w:id="1"/>
      </w:r>
      <w:r>
        <w:rPr>
          <w:rFonts w:ascii="Arial" w:hAnsi="Arial" w:cs="Arial"/>
          <w:sz w:val="22"/>
          <w:szCs w:val="22"/>
        </w:rPr>
        <w:t xml:space="preserve"> </w:t>
      </w:r>
    </w:p>
    <w:p w:rsidR="003A17DE" w:rsidRDefault="003A17DE" w:rsidP="009D1601">
      <w:pPr>
        <w:pStyle w:val="NormalWeb"/>
        <w:shd w:val="clear" w:color="auto" w:fill="FFFFFF"/>
        <w:spacing w:before="0" w:beforeAutospacing="0" w:after="0" w:afterAutospacing="0"/>
        <w:rPr>
          <w:rFonts w:ascii="Arial" w:hAnsi="Arial" w:cs="Arial"/>
          <w:sz w:val="22"/>
          <w:szCs w:val="22"/>
        </w:rPr>
      </w:pPr>
    </w:p>
    <w:p w:rsidR="003A17DE" w:rsidRPr="006233B3" w:rsidRDefault="005326EB" w:rsidP="009D160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w:t>
      </w:r>
      <w:r w:rsidR="003A17DE">
        <w:rPr>
          <w:rFonts w:ascii="Arial" w:hAnsi="Arial" w:cs="Arial"/>
          <w:sz w:val="22"/>
          <w:szCs w:val="22"/>
        </w:rPr>
        <w:t xml:space="preserve">he budget deficit for 2016-17 is forecast to be $33.7 billion, </w:t>
      </w:r>
      <w:r w:rsidR="005C61CC">
        <w:rPr>
          <w:rFonts w:ascii="Arial" w:hAnsi="Arial" w:cs="Arial"/>
          <w:sz w:val="22"/>
          <w:szCs w:val="22"/>
        </w:rPr>
        <w:t xml:space="preserve">mainly because of </w:t>
      </w:r>
      <w:r w:rsidR="007224BA">
        <w:rPr>
          <w:rFonts w:ascii="Arial" w:hAnsi="Arial" w:cs="Arial"/>
          <w:sz w:val="22"/>
          <w:szCs w:val="22"/>
        </w:rPr>
        <w:t>lower than expected tax re</w:t>
      </w:r>
      <w:r w:rsidR="005C1B52">
        <w:rPr>
          <w:rFonts w:ascii="Arial" w:hAnsi="Arial" w:cs="Arial"/>
          <w:sz w:val="22"/>
          <w:szCs w:val="22"/>
        </w:rPr>
        <w:t>venue</w:t>
      </w:r>
      <w:r w:rsidR="007224BA">
        <w:rPr>
          <w:rFonts w:ascii="Arial" w:hAnsi="Arial" w:cs="Arial"/>
          <w:sz w:val="22"/>
          <w:szCs w:val="22"/>
        </w:rPr>
        <w:t>.</w:t>
      </w:r>
    </w:p>
    <w:p w:rsidR="006233B3" w:rsidRDefault="006233B3" w:rsidP="009D1601">
      <w:pPr>
        <w:pStyle w:val="NormalWeb"/>
        <w:shd w:val="clear" w:color="auto" w:fill="FFFFFF"/>
        <w:spacing w:before="0" w:beforeAutospacing="0" w:after="0" w:afterAutospacing="0"/>
        <w:rPr>
          <w:rFonts w:ascii="Arial" w:eastAsiaTheme="minorHAnsi" w:hAnsi="Arial" w:cs="Arial"/>
          <w:bCs/>
          <w:sz w:val="22"/>
          <w:szCs w:val="22"/>
          <w:lang w:eastAsia="en-US"/>
        </w:rPr>
      </w:pPr>
    </w:p>
    <w:p w:rsidR="00ED0E44" w:rsidRDefault="00304E75" w:rsidP="00ED0E44">
      <w:pPr>
        <w:autoSpaceDE w:val="0"/>
        <w:autoSpaceDN w:val="0"/>
        <w:adjustRightInd w:val="0"/>
        <w:rPr>
          <w:rFonts w:ascii="Arial" w:hAnsi="Arial" w:cs="Arial"/>
          <w:color w:val="000000"/>
          <w:lang w:eastAsia="en-AU"/>
        </w:rPr>
      </w:pPr>
      <w:r>
        <w:rPr>
          <w:rFonts w:ascii="Arial" w:eastAsiaTheme="minorHAnsi" w:hAnsi="Arial" w:cs="Arial"/>
          <w:bCs/>
        </w:rPr>
        <w:t>With new spending constrained by the need for budget repair</w:t>
      </w:r>
      <w:r w:rsidR="007224BA">
        <w:rPr>
          <w:rFonts w:ascii="Arial" w:eastAsiaTheme="minorHAnsi" w:hAnsi="Arial" w:cs="Arial"/>
          <w:bCs/>
        </w:rPr>
        <w:t xml:space="preserve">, the ATA </w:t>
      </w:r>
      <w:r w:rsidR="004209B1">
        <w:rPr>
          <w:rFonts w:ascii="Arial" w:eastAsiaTheme="minorHAnsi" w:hAnsi="Arial" w:cs="Arial"/>
          <w:bCs/>
        </w:rPr>
        <w:t>urges</w:t>
      </w:r>
      <w:r w:rsidR="007224BA">
        <w:rPr>
          <w:rFonts w:ascii="Arial" w:eastAsiaTheme="minorHAnsi" w:hAnsi="Arial" w:cs="Arial"/>
          <w:bCs/>
        </w:rPr>
        <w:t xml:space="preserve"> the Government </w:t>
      </w:r>
      <w:r w:rsidR="004209B1">
        <w:rPr>
          <w:rFonts w:ascii="Arial" w:eastAsiaTheme="minorHAnsi" w:hAnsi="Arial" w:cs="Arial"/>
          <w:bCs/>
        </w:rPr>
        <w:t xml:space="preserve">to focus </w:t>
      </w:r>
      <w:r w:rsidR="007224BA">
        <w:rPr>
          <w:rFonts w:ascii="Arial" w:eastAsiaTheme="minorHAnsi" w:hAnsi="Arial" w:cs="Arial"/>
          <w:bCs/>
        </w:rPr>
        <w:t xml:space="preserve">its efforts on carefully targeted measures </w:t>
      </w:r>
      <w:r>
        <w:rPr>
          <w:rFonts w:ascii="Arial" w:eastAsiaTheme="minorHAnsi" w:hAnsi="Arial" w:cs="Arial"/>
          <w:bCs/>
        </w:rPr>
        <w:t xml:space="preserve">to </w:t>
      </w:r>
      <w:r w:rsidR="007224BA">
        <w:rPr>
          <w:rFonts w:ascii="Arial" w:eastAsiaTheme="minorHAnsi" w:hAnsi="Arial" w:cs="Arial"/>
          <w:bCs/>
        </w:rPr>
        <w:t xml:space="preserve">boost economic productivity. </w:t>
      </w:r>
      <w:r w:rsidR="00ED0E44">
        <w:rPr>
          <w:rFonts w:ascii="Arial" w:hAnsi="Arial" w:cs="Arial"/>
          <w:color w:val="000000"/>
          <w:lang w:eastAsia="en-AU"/>
        </w:rPr>
        <w:t>This submission puts forward four recommendations, which would:</w:t>
      </w:r>
    </w:p>
    <w:p w:rsidR="00ED0E44" w:rsidRDefault="00ED0E44" w:rsidP="00ED0E44">
      <w:pPr>
        <w:autoSpaceDE w:val="0"/>
        <w:autoSpaceDN w:val="0"/>
        <w:adjustRightInd w:val="0"/>
        <w:rPr>
          <w:rFonts w:ascii="Arial" w:hAnsi="Arial" w:cs="Arial"/>
          <w:color w:val="000000"/>
          <w:lang w:eastAsia="en-AU"/>
        </w:rPr>
      </w:pPr>
    </w:p>
    <w:p w:rsidR="00ED0E44" w:rsidRPr="00C30B76" w:rsidRDefault="00ED0E44" w:rsidP="00ED0E44">
      <w:pPr>
        <w:pStyle w:val="ListParagraph"/>
        <w:numPr>
          <w:ilvl w:val="0"/>
          <w:numId w:val="21"/>
        </w:numPr>
        <w:autoSpaceDE w:val="0"/>
        <w:autoSpaceDN w:val="0"/>
        <w:adjustRightInd w:val="0"/>
        <w:spacing w:after="0" w:line="240" w:lineRule="auto"/>
        <w:rPr>
          <w:rFonts w:ascii="Arial" w:hAnsi="Arial" w:cs="Arial"/>
          <w:color w:val="000000"/>
          <w:lang w:eastAsia="en-AU"/>
        </w:rPr>
      </w:pPr>
      <w:r w:rsidRPr="00C30B76">
        <w:rPr>
          <w:rFonts w:ascii="Arial" w:hAnsi="Arial" w:cs="Arial"/>
          <w:color w:val="000000"/>
          <w:lang w:eastAsia="en-AU"/>
        </w:rPr>
        <w:t xml:space="preserve">eliminate the </w:t>
      </w:r>
      <w:r>
        <w:rPr>
          <w:rFonts w:ascii="Arial" w:hAnsi="Arial" w:cs="Arial"/>
          <w:color w:val="000000"/>
          <w:lang w:eastAsia="en-AU"/>
        </w:rPr>
        <w:t>Government’s</w:t>
      </w:r>
      <w:r w:rsidRPr="00C30B76">
        <w:rPr>
          <w:rFonts w:ascii="Arial" w:hAnsi="Arial" w:cs="Arial"/>
          <w:color w:val="000000"/>
          <w:lang w:eastAsia="en-AU"/>
        </w:rPr>
        <w:t xml:space="preserve"> </w:t>
      </w:r>
      <w:r w:rsidR="004209B1">
        <w:rPr>
          <w:rFonts w:ascii="Arial" w:hAnsi="Arial" w:cs="Arial"/>
          <w:color w:val="000000"/>
          <w:lang w:eastAsia="en-AU"/>
        </w:rPr>
        <w:t xml:space="preserve">share of the </w:t>
      </w:r>
      <w:r w:rsidRPr="00C30B76">
        <w:rPr>
          <w:rFonts w:ascii="Arial" w:hAnsi="Arial" w:cs="Arial"/>
          <w:color w:val="000000"/>
          <w:lang w:eastAsia="en-AU"/>
        </w:rPr>
        <w:t>overcharging of truck and bus operators, and support further investments in industry productivity (recommendations 1 and 2)</w:t>
      </w:r>
    </w:p>
    <w:p w:rsidR="00ED0E44" w:rsidRPr="00C30B76" w:rsidRDefault="00ED0E44" w:rsidP="00ED0E44">
      <w:pPr>
        <w:pStyle w:val="ListParagraph"/>
        <w:numPr>
          <w:ilvl w:val="0"/>
          <w:numId w:val="21"/>
        </w:numPr>
        <w:autoSpaceDE w:val="0"/>
        <w:autoSpaceDN w:val="0"/>
        <w:adjustRightInd w:val="0"/>
        <w:spacing w:after="0" w:line="240" w:lineRule="auto"/>
        <w:rPr>
          <w:rFonts w:ascii="Arial" w:hAnsi="Arial" w:cs="Arial"/>
          <w:color w:val="000000"/>
          <w:lang w:eastAsia="en-AU"/>
        </w:rPr>
      </w:pPr>
      <w:r w:rsidRPr="00C30B76">
        <w:rPr>
          <w:rFonts w:ascii="Arial" w:hAnsi="Arial" w:cs="Arial"/>
          <w:color w:val="000000"/>
          <w:lang w:eastAsia="en-AU"/>
        </w:rPr>
        <w:t>refine the funding criteria for the Heavy Vehicle Safety and Productivity</w:t>
      </w:r>
      <w:r w:rsidR="005C1B52">
        <w:rPr>
          <w:rFonts w:ascii="Arial" w:hAnsi="Arial" w:cs="Arial"/>
          <w:color w:val="000000"/>
          <w:lang w:eastAsia="en-AU"/>
        </w:rPr>
        <w:t xml:space="preserve"> Program</w:t>
      </w:r>
      <w:r w:rsidRPr="00C30B76">
        <w:rPr>
          <w:rFonts w:ascii="Arial" w:hAnsi="Arial" w:cs="Arial"/>
          <w:color w:val="000000"/>
          <w:lang w:eastAsia="en-AU"/>
        </w:rPr>
        <w:t xml:space="preserve"> and </w:t>
      </w:r>
      <w:r>
        <w:rPr>
          <w:rFonts w:ascii="Arial" w:hAnsi="Arial" w:cs="Arial"/>
          <w:color w:val="000000"/>
          <w:lang w:eastAsia="en-AU"/>
        </w:rPr>
        <w:t>the Bridges</w:t>
      </w:r>
      <w:r w:rsidRPr="00C30B76">
        <w:rPr>
          <w:rFonts w:ascii="Arial" w:hAnsi="Arial" w:cs="Arial"/>
          <w:color w:val="000000"/>
          <w:lang w:eastAsia="en-AU"/>
        </w:rPr>
        <w:t xml:space="preserve"> Renewal </w:t>
      </w:r>
      <w:r w:rsidR="005C1B52">
        <w:rPr>
          <w:rFonts w:ascii="Arial" w:hAnsi="Arial" w:cs="Arial"/>
          <w:color w:val="000000"/>
          <w:lang w:eastAsia="en-AU"/>
        </w:rPr>
        <w:t>Program</w:t>
      </w:r>
      <w:r>
        <w:rPr>
          <w:rFonts w:ascii="Arial" w:hAnsi="Arial" w:cs="Arial"/>
          <w:color w:val="000000"/>
          <w:lang w:eastAsia="en-AU"/>
        </w:rPr>
        <w:t xml:space="preserve"> to incorporate</w:t>
      </w:r>
      <w:r w:rsidRPr="00C30B76">
        <w:rPr>
          <w:rFonts w:ascii="Arial" w:hAnsi="Arial" w:cs="Arial"/>
          <w:color w:val="000000"/>
          <w:lang w:eastAsia="en-AU"/>
        </w:rPr>
        <w:t xml:space="preserve"> </w:t>
      </w:r>
      <w:r w:rsidR="004209B1">
        <w:rPr>
          <w:rFonts w:ascii="Arial" w:hAnsi="Arial" w:cs="Arial"/>
          <w:color w:val="000000"/>
          <w:lang w:eastAsia="en-AU"/>
        </w:rPr>
        <w:t xml:space="preserve">the </w:t>
      </w:r>
      <w:r w:rsidRPr="00C30B76">
        <w:rPr>
          <w:rFonts w:ascii="Arial" w:hAnsi="Arial" w:cs="Arial"/>
          <w:color w:val="000000"/>
          <w:lang w:eastAsia="en-AU"/>
        </w:rPr>
        <w:t xml:space="preserve">digital tools now </w:t>
      </w:r>
      <w:r>
        <w:rPr>
          <w:rFonts w:ascii="Arial" w:hAnsi="Arial" w:cs="Arial"/>
          <w:color w:val="000000"/>
          <w:lang w:eastAsia="en-AU"/>
        </w:rPr>
        <w:t>under development</w:t>
      </w:r>
      <w:r w:rsidRPr="00C30B76">
        <w:rPr>
          <w:rFonts w:ascii="Arial" w:hAnsi="Arial" w:cs="Arial"/>
          <w:color w:val="000000"/>
          <w:lang w:eastAsia="en-AU"/>
        </w:rPr>
        <w:t xml:space="preserve"> </w:t>
      </w:r>
      <w:r w:rsidR="004209B1">
        <w:rPr>
          <w:rFonts w:ascii="Arial" w:hAnsi="Arial" w:cs="Arial"/>
          <w:color w:val="000000"/>
          <w:lang w:eastAsia="en-AU"/>
        </w:rPr>
        <w:t xml:space="preserve">by the NHVR </w:t>
      </w:r>
      <w:r w:rsidRPr="00C30B76">
        <w:rPr>
          <w:rFonts w:ascii="Arial" w:hAnsi="Arial" w:cs="Arial"/>
          <w:color w:val="000000"/>
          <w:lang w:eastAsia="en-AU"/>
        </w:rPr>
        <w:t>(recommendation 3) and</w:t>
      </w:r>
    </w:p>
    <w:p w:rsidR="006233B3" w:rsidRPr="004209B1" w:rsidRDefault="00ED0E44" w:rsidP="00E80E1A">
      <w:pPr>
        <w:pStyle w:val="ListParagraph"/>
        <w:numPr>
          <w:ilvl w:val="0"/>
          <w:numId w:val="21"/>
        </w:numPr>
        <w:autoSpaceDE w:val="0"/>
        <w:autoSpaceDN w:val="0"/>
        <w:adjustRightInd w:val="0"/>
        <w:spacing w:after="0" w:line="240" w:lineRule="auto"/>
        <w:rPr>
          <w:rFonts w:ascii="Arial" w:hAnsi="Arial" w:cs="Arial"/>
          <w:color w:val="000000"/>
          <w:lang w:eastAsia="en-AU"/>
        </w:rPr>
      </w:pPr>
      <w:r w:rsidRPr="004209B1">
        <w:rPr>
          <w:rFonts w:ascii="Arial" w:hAnsi="Arial" w:cs="Arial"/>
          <w:color w:val="000000"/>
          <w:lang w:eastAsia="en-AU"/>
        </w:rPr>
        <w:t>suppor</w:t>
      </w:r>
      <w:r w:rsidR="005C1B52">
        <w:rPr>
          <w:rFonts w:ascii="Arial" w:hAnsi="Arial" w:cs="Arial"/>
          <w:color w:val="000000"/>
          <w:lang w:eastAsia="en-AU"/>
        </w:rPr>
        <w:t>t the development of the proposed</w:t>
      </w:r>
      <w:r w:rsidRPr="004209B1">
        <w:rPr>
          <w:rFonts w:ascii="Arial" w:hAnsi="Arial" w:cs="Arial"/>
          <w:color w:val="000000"/>
          <w:lang w:eastAsia="en-AU"/>
        </w:rPr>
        <w:t xml:space="preserve"> new road pricing and supply system, including work on reducing the cashflow impact of the interaction between road pricing and the existing fuel tax credits system (recommendation 4). The Government must consider cashflow and compliance impacts as it considers any new system, because the trucking industry mainly consists of small businesses. 50 per cent of road freight businesses are non-employing; 98 per cent have fewer than 20 employees.</w:t>
      </w:r>
      <w:r w:rsidRPr="006233B3">
        <w:rPr>
          <w:rStyle w:val="FootnoteReference"/>
          <w:rFonts w:ascii="Arial" w:hAnsi="Arial" w:cs="Arial"/>
          <w:color w:val="000000"/>
          <w:lang w:eastAsia="en-AU"/>
        </w:rPr>
        <w:footnoteReference w:id="2"/>
      </w:r>
      <w:r w:rsidRPr="004209B1">
        <w:rPr>
          <w:rFonts w:ascii="Arial" w:hAnsi="Arial" w:cs="Arial"/>
          <w:color w:val="000000"/>
          <w:lang w:eastAsia="en-AU"/>
        </w:rPr>
        <w:t xml:space="preserve"> </w:t>
      </w:r>
    </w:p>
    <w:p w:rsidR="00242D21" w:rsidRDefault="00242D21">
      <w:pPr>
        <w:rPr>
          <w:rFonts w:ascii="Arial" w:eastAsiaTheme="minorHAnsi" w:hAnsi="Arial" w:cs="Arial"/>
        </w:rPr>
      </w:pPr>
      <w:r>
        <w:rPr>
          <w:rFonts w:ascii="Arial" w:eastAsiaTheme="minorHAnsi" w:hAnsi="Arial" w:cs="Arial"/>
        </w:rPr>
        <w:br w:type="page"/>
      </w:r>
    </w:p>
    <w:p w:rsidR="00706722" w:rsidRPr="00706722" w:rsidRDefault="00222A5F" w:rsidP="00706722">
      <w:pPr>
        <w:pStyle w:val="Heading1"/>
        <w:rPr>
          <w:sz w:val="24"/>
          <w:szCs w:val="24"/>
        </w:rPr>
      </w:pPr>
      <w:bookmarkStart w:id="4" w:name="_Toc442434865"/>
      <w:r>
        <w:rPr>
          <w:sz w:val="24"/>
          <w:szCs w:val="24"/>
        </w:rPr>
        <w:lastRenderedPageBreak/>
        <w:t>Addressing the overcharging of truck and bus operators</w:t>
      </w:r>
      <w:bookmarkEnd w:id="4"/>
    </w:p>
    <w:p w:rsidR="0009785A" w:rsidRDefault="0009785A" w:rsidP="0009785A">
      <w:pPr>
        <w:pStyle w:val="NoSpacing"/>
        <w:rPr>
          <w:rFonts w:ascii="Arial" w:hAnsi="Arial" w:cs="Arial"/>
          <w:color w:val="auto"/>
          <w:sz w:val="22"/>
          <w:szCs w:val="22"/>
        </w:rPr>
      </w:pPr>
    </w:p>
    <w:p w:rsidR="002E4551" w:rsidRPr="002E4551" w:rsidRDefault="002E4551" w:rsidP="002E4551">
      <w:pPr>
        <w:rPr>
          <w:rFonts w:ascii="Arial" w:eastAsia="Times New Roman" w:hAnsi="Arial" w:cs="Arial"/>
        </w:rPr>
      </w:pPr>
      <w:r>
        <w:rPr>
          <w:rFonts w:ascii="Arial" w:eastAsia="Times New Roman" w:hAnsi="Arial" w:cs="Arial"/>
        </w:rPr>
        <w:t xml:space="preserve">Truck and bus operators pay for their use of the road system through </w:t>
      </w:r>
      <w:r w:rsidRPr="002E4551">
        <w:rPr>
          <w:rFonts w:ascii="Arial" w:eastAsia="Times New Roman" w:hAnsi="Arial" w:cs="Arial"/>
        </w:rPr>
        <w:t>a fuel-based road user charge</w:t>
      </w:r>
      <w:r w:rsidR="00617C9D">
        <w:rPr>
          <w:rFonts w:ascii="Arial" w:eastAsia="Times New Roman" w:hAnsi="Arial" w:cs="Arial"/>
        </w:rPr>
        <w:t>, administered as a reduction in their fuel tax credits,</w:t>
      </w:r>
      <w:r w:rsidRPr="002E4551">
        <w:rPr>
          <w:rFonts w:ascii="Arial" w:eastAsia="Times New Roman" w:hAnsi="Arial" w:cs="Arial"/>
        </w:rPr>
        <w:t xml:space="preserve"> and very high registration charges.</w:t>
      </w:r>
    </w:p>
    <w:p w:rsidR="002E4551" w:rsidRPr="002E4551" w:rsidRDefault="002E4551" w:rsidP="002E4551">
      <w:pPr>
        <w:rPr>
          <w:rFonts w:ascii="Arial" w:eastAsia="Times New Roman" w:hAnsi="Arial" w:cs="Arial"/>
        </w:rPr>
      </w:pPr>
    </w:p>
    <w:p w:rsidR="002E4551" w:rsidRPr="002E4551" w:rsidRDefault="002E4551" w:rsidP="002E4551">
      <w:pPr>
        <w:rPr>
          <w:rFonts w:ascii="Arial" w:eastAsia="Times New Roman" w:hAnsi="Arial" w:cs="Arial"/>
        </w:rPr>
      </w:pPr>
      <w:r>
        <w:rPr>
          <w:rFonts w:ascii="Arial" w:eastAsia="Times New Roman" w:hAnsi="Arial" w:cs="Arial"/>
        </w:rPr>
        <w:t>T</w:t>
      </w:r>
      <w:r w:rsidRPr="002E4551">
        <w:rPr>
          <w:rFonts w:ascii="Arial" w:eastAsia="Times New Roman" w:hAnsi="Arial" w:cs="Arial"/>
        </w:rPr>
        <w:t>h</w:t>
      </w:r>
      <w:r>
        <w:rPr>
          <w:rFonts w:ascii="Arial" w:eastAsia="Times New Roman" w:hAnsi="Arial" w:cs="Arial"/>
        </w:rPr>
        <w:t>e National Transport Commission (NTC)</w:t>
      </w:r>
      <w:r w:rsidRPr="002E4551">
        <w:rPr>
          <w:rFonts w:ascii="Arial" w:eastAsia="Times New Roman" w:hAnsi="Arial" w:cs="Arial"/>
        </w:rPr>
        <w:t xml:space="preserve"> </w:t>
      </w:r>
      <w:r>
        <w:rPr>
          <w:rFonts w:ascii="Arial" w:eastAsia="Times New Roman" w:hAnsi="Arial" w:cs="Arial"/>
        </w:rPr>
        <w:t>found in 2014</w:t>
      </w:r>
      <w:r w:rsidRPr="002E4551">
        <w:rPr>
          <w:rFonts w:ascii="Arial" w:eastAsia="Times New Roman" w:hAnsi="Arial" w:cs="Arial"/>
        </w:rPr>
        <w:t xml:space="preserve"> </w:t>
      </w:r>
      <w:r>
        <w:rPr>
          <w:rFonts w:ascii="Arial" w:eastAsia="Times New Roman" w:hAnsi="Arial" w:cs="Arial"/>
        </w:rPr>
        <w:t xml:space="preserve">that this </w:t>
      </w:r>
      <w:r w:rsidR="0002564A">
        <w:rPr>
          <w:rFonts w:ascii="Arial" w:eastAsia="Times New Roman" w:hAnsi="Arial" w:cs="Arial"/>
        </w:rPr>
        <w:t>system</w:t>
      </w:r>
      <w:r>
        <w:rPr>
          <w:rFonts w:ascii="Arial" w:eastAsia="Times New Roman" w:hAnsi="Arial" w:cs="Arial"/>
        </w:rPr>
        <w:t xml:space="preserve"> overcharged</w:t>
      </w:r>
      <w:r w:rsidRPr="002E4551">
        <w:rPr>
          <w:rFonts w:ascii="Arial" w:eastAsia="Times New Roman" w:hAnsi="Arial" w:cs="Arial"/>
        </w:rPr>
        <w:t xml:space="preserve"> truck and bus operators</w:t>
      </w:r>
      <w:r>
        <w:rPr>
          <w:rFonts w:ascii="Arial" w:eastAsia="Times New Roman" w:hAnsi="Arial" w:cs="Arial"/>
        </w:rPr>
        <w:t>,</w:t>
      </w:r>
      <w:r w:rsidRPr="002E4551">
        <w:rPr>
          <w:rFonts w:ascii="Arial" w:eastAsia="Times New Roman" w:hAnsi="Arial" w:cs="Arial"/>
        </w:rPr>
        <w:t xml:space="preserve"> because it consistently underestimated the number of heavy vehicles on the road.</w:t>
      </w:r>
    </w:p>
    <w:p w:rsidR="002E4551" w:rsidRPr="002E4551" w:rsidRDefault="002E4551" w:rsidP="002E4551">
      <w:pPr>
        <w:rPr>
          <w:rFonts w:ascii="Arial" w:eastAsia="Times New Roman" w:hAnsi="Arial" w:cs="Arial"/>
        </w:rPr>
      </w:pPr>
    </w:p>
    <w:p w:rsidR="002E4551" w:rsidRPr="002E4551" w:rsidRDefault="002E4551" w:rsidP="002E4551">
      <w:pPr>
        <w:rPr>
          <w:rFonts w:ascii="Arial" w:eastAsia="Times New Roman" w:hAnsi="Arial" w:cs="Arial"/>
        </w:rPr>
      </w:pPr>
      <w:r w:rsidRPr="002E4551">
        <w:rPr>
          <w:rFonts w:ascii="Arial" w:eastAsia="Times New Roman" w:hAnsi="Arial" w:cs="Arial"/>
        </w:rPr>
        <w:t>The system should raise about $2.9 billion</w:t>
      </w:r>
      <w:r w:rsidR="0002564A">
        <w:rPr>
          <w:rFonts w:ascii="Arial" w:eastAsia="Times New Roman" w:hAnsi="Arial" w:cs="Arial"/>
        </w:rPr>
        <w:t xml:space="preserve"> per year. The NTC estimates that it will</w:t>
      </w:r>
      <w:r w:rsidRPr="002E4551">
        <w:rPr>
          <w:rFonts w:ascii="Arial" w:eastAsia="Times New Roman" w:hAnsi="Arial" w:cs="Arial"/>
        </w:rPr>
        <w:t xml:space="preserve"> overcharge truck and bus oper</w:t>
      </w:r>
      <w:r w:rsidR="0002564A">
        <w:rPr>
          <w:rFonts w:ascii="Arial" w:eastAsia="Times New Roman" w:hAnsi="Arial" w:cs="Arial"/>
        </w:rPr>
        <w:t>ators by $190</w:t>
      </w:r>
      <w:r w:rsidR="00617C9D">
        <w:rPr>
          <w:rFonts w:ascii="Arial" w:eastAsia="Times New Roman" w:hAnsi="Arial" w:cs="Arial"/>
        </w:rPr>
        <w:t>.3</w:t>
      </w:r>
      <w:r w:rsidR="0002564A">
        <w:rPr>
          <w:rFonts w:ascii="Arial" w:eastAsia="Times New Roman" w:hAnsi="Arial" w:cs="Arial"/>
        </w:rPr>
        <w:t xml:space="preserve"> million in 2015-16.</w:t>
      </w:r>
      <w:r w:rsidR="0002564A">
        <w:rPr>
          <w:rStyle w:val="FootnoteReference"/>
          <w:rFonts w:ascii="Arial" w:eastAsia="Times New Roman" w:hAnsi="Arial"/>
        </w:rPr>
        <w:footnoteReference w:id="3"/>
      </w:r>
    </w:p>
    <w:p w:rsidR="002E4551" w:rsidRDefault="002E4551" w:rsidP="0009785A">
      <w:pPr>
        <w:pStyle w:val="NoSpacing"/>
        <w:rPr>
          <w:rFonts w:ascii="Arial" w:hAnsi="Arial" w:cs="Arial"/>
          <w:color w:val="auto"/>
          <w:sz w:val="22"/>
          <w:szCs w:val="22"/>
        </w:rPr>
      </w:pPr>
    </w:p>
    <w:p w:rsidR="007C19F7" w:rsidRDefault="007C19F7" w:rsidP="007C19F7">
      <w:pPr>
        <w:rPr>
          <w:rFonts w:ascii="Arial" w:hAnsi="Arial" w:cs="Arial"/>
          <w:szCs w:val="24"/>
          <w:lang w:eastAsia="en-AU"/>
        </w:rPr>
      </w:pPr>
      <w:r>
        <w:rPr>
          <w:rFonts w:ascii="Arial" w:hAnsi="Arial" w:cs="Arial"/>
        </w:rPr>
        <w:t>T</w:t>
      </w:r>
      <w:r w:rsidR="002E4551">
        <w:rPr>
          <w:rFonts w:ascii="Arial" w:hAnsi="Arial" w:cs="Arial"/>
        </w:rPr>
        <w:t xml:space="preserve">he NTC </w:t>
      </w:r>
      <w:r w:rsidR="0009785A" w:rsidRPr="0009785A">
        <w:rPr>
          <w:rFonts w:ascii="Arial" w:hAnsi="Arial" w:cs="Arial"/>
        </w:rPr>
        <w:t xml:space="preserve">recommended a number of technical amendments to the system, </w:t>
      </w:r>
      <w:r>
        <w:rPr>
          <w:rFonts w:ascii="Arial" w:hAnsi="Arial" w:cs="Arial"/>
        </w:rPr>
        <w:t xml:space="preserve">which </w:t>
      </w:r>
      <w:r w:rsidR="00946124">
        <w:rPr>
          <w:rFonts w:ascii="Arial" w:hAnsi="Arial" w:cs="Arial"/>
        </w:rPr>
        <w:t>governments</w:t>
      </w:r>
      <w:r>
        <w:rPr>
          <w:rFonts w:ascii="Arial" w:hAnsi="Arial" w:cs="Arial"/>
        </w:rPr>
        <w:t xml:space="preserve"> accepted, and later put forward three options for dealing with the overcharging from 2016-17. </w:t>
      </w:r>
      <w:r>
        <w:rPr>
          <w:rFonts w:ascii="Arial" w:hAnsi="Arial" w:cs="Arial"/>
          <w:szCs w:val="24"/>
          <w:lang w:eastAsia="en-AU"/>
        </w:rPr>
        <w:t xml:space="preserve">Of these, the ATA </w:t>
      </w:r>
      <w:r w:rsidR="00604795">
        <w:rPr>
          <w:rFonts w:ascii="Arial" w:hAnsi="Arial" w:cs="Arial"/>
          <w:szCs w:val="24"/>
          <w:lang w:eastAsia="en-AU"/>
        </w:rPr>
        <w:t>urged</w:t>
      </w:r>
      <w:r>
        <w:rPr>
          <w:rFonts w:ascii="Arial" w:hAnsi="Arial" w:cs="Arial"/>
          <w:szCs w:val="24"/>
          <w:lang w:eastAsia="en-AU"/>
        </w:rPr>
        <w:t xml:space="preserve"> </w:t>
      </w:r>
      <w:r w:rsidR="00946124">
        <w:rPr>
          <w:rFonts w:ascii="Arial" w:hAnsi="Arial" w:cs="Arial"/>
          <w:szCs w:val="24"/>
          <w:lang w:eastAsia="en-AU"/>
        </w:rPr>
        <w:t>governments</w:t>
      </w:r>
      <w:r>
        <w:rPr>
          <w:rFonts w:ascii="Arial" w:hAnsi="Arial" w:cs="Arial"/>
          <w:szCs w:val="24"/>
          <w:lang w:eastAsia="en-AU"/>
        </w:rPr>
        <w:t xml:space="preserve"> </w:t>
      </w:r>
      <w:r w:rsidR="00604795">
        <w:rPr>
          <w:rFonts w:ascii="Arial" w:hAnsi="Arial" w:cs="Arial"/>
          <w:szCs w:val="24"/>
          <w:lang w:eastAsia="en-AU"/>
        </w:rPr>
        <w:t xml:space="preserve">to </w:t>
      </w:r>
      <w:r>
        <w:rPr>
          <w:rFonts w:ascii="Arial" w:hAnsi="Arial" w:cs="Arial"/>
          <w:szCs w:val="24"/>
          <w:lang w:eastAsia="en-AU"/>
        </w:rPr>
        <w:t xml:space="preserve">adopt </w:t>
      </w:r>
      <w:r w:rsidR="00617C9D">
        <w:rPr>
          <w:rFonts w:ascii="Arial" w:hAnsi="Arial" w:cs="Arial"/>
          <w:szCs w:val="24"/>
          <w:lang w:eastAsia="en-AU"/>
        </w:rPr>
        <w:t>what the NTC described as ‘direct implementation’ – an immediate cut to the road user charge and registration charges to eliminate the over-recovery.</w:t>
      </w:r>
    </w:p>
    <w:p w:rsidR="007C19F7" w:rsidRPr="007C19F7" w:rsidRDefault="007C19F7" w:rsidP="007C19F7">
      <w:pPr>
        <w:rPr>
          <w:rFonts w:ascii="Arial" w:hAnsi="Arial" w:cs="Arial"/>
          <w:lang w:eastAsia="en-AU"/>
        </w:rPr>
      </w:pPr>
    </w:p>
    <w:p w:rsidR="0009785A" w:rsidRDefault="007C19F7" w:rsidP="007C19F7">
      <w:pPr>
        <w:pStyle w:val="NoSpacing"/>
        <w:rPr>
          <w:rFonts w:ascii="Arial" w:hAnsi="Arial" w:cs="Arial"/>
          <w:color w:val="auto"/>
          <w:sz w:val="22"/>
          <w:szCs w:val="22"/>
        </w:rPr>
      </w:pPr>
      <w:r w:rsidRPr="007C19F7">
        <w:rPr>
          <w:rFonts w:ascii="Arial" w:hAnsi="Arial" w:cs="Arial"/>
          <w:color w:val="auto"/>
          <w:sz w:val="22"/>
          <w:szCs w:val="22"/>
        </w:rPr>
        <w:t xml:space="preserve">Instead, </w:t>
      </w:r>
      <w:r w:rsidR="00946124">
        <w:rPr>
          <w:rFonts w:ascii="Arial" w:hAnsi="Arial" w:cs="Arial"/>
          <w:color w:val="auto"/>
          <w:sz w:val="22"/>
          <w:szCs w:val="22"/>
        </w:rPr>
        <w:t xml:space="preserve">governments </w:t>
      </w:r>
      <w:r w:rsidRPr="007C19F7">
        <w:rPr>
          <w:rFonts w:ascii="Arial" w:hAnsi="Arial" w:cs="Arial"/>
          <w:color w:val="auto"/>
          <w:sz w:val="22"/>
          <w:szCs w:val="22"/>
        </w:rPr>
        <w:t>agreed to freeze the revenue from the road user charge and heavy vehicle registration charges at 2015-16 levels for two yea</w:t>
      </w:r>
      <w:r w:rsidR="00946124">
        <w:rPr>
          <w:rFonts w:ascii="Arial" w:hAnsi="Arial" w:cs="Arial"/>
          <w:color w:val="auto"/>
          <w:sz w:val="22"/>
          <w:szCs w:val="22"/>
        </w:rPr>
        <w:t>rs. They agreed that the charge rates</w:t>
      </w:r>
      <w:r w:rsidRPr="007C19F7">
        <w:rPr>
          <w:rFonts w:ascii="Arial" w:hAnsi="Arial" w:cs="Arial"/>
          <w:color w:val="auto"/>
          <w:sz w:val="22"/>
          <w:szCs w:val="22"/>
        </w:rPr>
        <w:t xml:space="preserve"> would be adjusted appropriately to deliver this result.</w:t>
      </w:r>
    </w:p>
    <w:p w:rsidR="007C19F7" w:rsidRPr="007C19F7" w:rsidRDefault="007C19F7" w:rsidP="007C19F7">
      <w:pPr>
        <w:pStyle w:val="NoSpacing"/>
        <w:rPr>
          <w:rFonts w:ascii="Arial" w:hAnsi="Arial" w:cs="Arial"/>
          <w:color w:val="auto"/>
          <w:sz w:val="22"/>
          <w:szCs w:val="22"/>
        </w:rPr>
      </w:pPr>
    </w:p>
    <w:p w:rsidR="007C19F7" w:rsidRDefault="007C19F7" w:rsidP="007C19F7">
      <w:pPr>
        <w:rPr>
          <w:rFonts w:ascii="Arial" w:hAnsi="Arial" w:cs="Arial"/>
          <w:szCs w:val="24"/>
          <w:lang w:eastAsia="en-AU"/>
        </w:rPr>
      </w:pPr>
      <w:r w:rsidRPr="0039737E">
        <w:rPr>
          <w:rFonts w:ascii="Arial" w:hAnsi="Arial" w:cs="Arial"/>
          <w:szCs w:val="24"/>
          <w:lang w:eastAsia="en-AU"/>
        </w:rPr>
        <w:t xml:space="preserve">Based on NTC figures, </w:t>
      </w:r>
      <w:r>
        <w:rPr>
          <w:rFonts w:ascii="Arial" w:hAnsi="Arial" w:cs="Arial"/>
          <w:szCs w:val="24"/>
          <w:lang w:eastAsia="en-AU"/>
        </w:rPr>
        <w:t xml:space="preserve">the </w:t>
      </w:r>
      <w:r w:rsidR="00946124">
        <w:rPr>
          <w:rFonts w:ascii="Arial" w:hAnsi="Arial" w:cs="Arial"/>
          <w:szCs w:val="24"/>
          <w:lang w:eastAsia="en-AU"/>
        </w:rPr>
        <w:t xml:space="preserve">governments’ </w:t>
      </w:r>
      <w:r>
        <w:rPr>
          <w:rFonts w:ascii="Arial" w:hAnsi="Arial" w:cs="Arial"/>
          <w:szCs w:val="24"/>
          <w:lang w:eastAsia="en-AU"/>
        </w:rPr>
        <w:t>decision</w:t>
      </w:r>
      <w:r w:rsidRPr="0039737E">
        <w:rPr>
          <w:rFonts w:ascii="Arial" w:hAnsi="Arial" w:cs="Arial"/>
          <w:szCs w:val="24"/>
          <w:lang w:eastAsia="en-AU"/>
        </w:rPr>
        <w:t xml:space="preserve"> will overcharge truck and bus operators $250.2 million in 2016-17 and $264.8 million in 2017-18 </w:t>
      </w:r>
      <w:r w:rsidRPr="00617C9D">
        <w:rPr>
          <w:rFonts w:ascii="Arial" w:hAnsi="Arial" w:cs="Arial"/>
          <w:szCs w:val="24"/>
          <w:lang w:eastAsia="en-AU"/>
        </w:rPr>
        <w:t>– $515</w:t>
      </w:r>
      <w:r w:rsidR="00617C9D">
        <w:rPr>
          <w:rFonts w:ascii="Arial" w:hAnsi="Arial" w:cs="Arial"/>
          <w:szCs w:val="24"/>
          <w:lang w:eastAsia="en-AU"/>
        </w:rPr>
        <w:t>.0</w:t>
      </w:r>
      <w:r w:rsidRPr="00617C9D">
        <w:rPr>
          <w:rFonts w:ascii="Arial" w:hAnsi="Arial" w:cs="Arial"/>
          <w:szCs w:val="24"/>
          <w:lang w:eastAsia="en-AU"/>
        </w:rPr>
        <w:t xml:space="preserve"> million in all</w:t>
      </w:r>
      <w:r w:rsidRPr="0039737E">
        <w:rPr>
          <w:rFonts w:ascii="Arial" w:hAnsi="Arial" w:cs="Arial"/>
          <w:szCs w:val="24"/>
          <w:lang w:eastAsia="en-AU"/>
        </w:rPr>
        <w:t xml:space="preserve">. </w:t>
      </w:r>
      <w:r>
        <w:rPr>
          <w:rFonts w:ascii="Arial" w:hAnsi="Arial" w:cs="Arial"/>
          <w:szCs w:val="24"/>
          <w:lang w:eastAsia="en-AU"/>
        </w:rPr>
        <w:t>Table 1 summarises how these figures are calculated:</w:t>
      </w:r>
    </w:p>
    <w:p w:rsidR="007C19F7" w:rsidRDefault="007C19F7" w:rsidP="007C19F7">
      <w:pPr>
        <w:rPr>
          <w:rFonts w:ascii="Arial" w:hAnsi="Arial" w:cs="Arial"/>
          <w:szCs w:val="24"/>
          <w:lang w:eastAsia="en-AU"/>
        </w:rPr>
      </w:pPr>
    </w:p>
    <w:p w:rsidR="00222A5F" w:rsidRDefault="00222A5F" w:rsidP="007C19F7">
      <w:pPr>
        <w:rPr>
          <w:rFonts w:ascii="Arial" w:hAnsi="Arial" w:cs="Arial"/>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395"/>
        <w:gridCol w:w="2396"/>
        <w:gridCol w:w="2100"/>
      </w:tblGrid>
      <w:tr w:rsidR="00222A5F" w:rsidTr="00222A5F">
        <w:tc>
          <w:tcPr>
            <w:tcW w:w="9498" w:type="dxa"/>
            <w:gridSpan w:val="4"/>
            <w:tcBorders>
              <w:bottom w:val="single" w:sz="4" w:space="0" w:color="auto"/>
            </w:tcBorders>
          </w:tcPr>
          <w:p w:rsidR="00222A5F" w:rsidRPr="00222A5F" w:rsidRDefault="00617C9D" w:rsidP="00222A5F">
            <w:pPr>
              <w:rPr>
                <w:rFonts w:ascii="Arial" w:hAnsi="Arial" w:cs="Arial"/>
                <w:b/>
                <w:sz w:val="20"/>
                <w:szCs w:val="20"/>
              </w:rPr>
            </w:pPr>
            <w:r>
              <w:rPr>
                <w:rFonts w:ascii="Arial" w:hAnsi="Arial" w:cs="Arial"/>
                <w:b/>
                <w:sz w:val="20"/>
                <w:szCs w:val="20"/>
              </w:rPr>
              <w:t>Table 1: B</w:t>
            </w:r>
            <w:r w:rsidR="00222A5F" w:rsidRPr="00222A5F">
              <w:rPr>
                <w:rFonts w:ascii="Arial" w:hAnsi="Arial" w:cs="Arial"/>
                <w:b/>
                <w:sz w:val="20"/>
                <w:szCs w:val="20"/>
              </w:rPr>
              <w:t>reakdown of overcharging, 2016-17 and 2017-18</w:t>
            </w:r>
          </w:p>
        </w:tc>
      </w:tr>
      <w:tr w:rsidR="00222A5F" w:rsidTr="00222A5F">
        <w:tc>
          <w:tcPr>
            <w:tcW w:w="2607" w:type="dxa"/>
            <w:tcBorders>
              <w:top w:val="single" w:sz="4" w:space="0" w:color="auto"/>
              <w:bottom w:val="single" w:sz="4" w:space="0" w:color="auto"/>
            </w:tcBorders>
          </w:tcPr>
          <w:p w:rsidR="00222A5F" w:rsidRDefault="00222A5F" w:rsidP="006638EB">
            <w:pPr>
              <w:rPr>
                <w:rFonts w:ascii="Arial" w:hAnsi="Arial" w:cs="Arial"/>
              </w:rPr>
            </w:pPr>
          </w:p>
        </w:tc>
        <w:tc>
          <w:tcPr>
            <w:tcW w:w="2395" w:type="dxa"/>
            <w:tcBorders>
              <w:top w:val="single" w:sz="4" w:space="0" w:color="auto"/>
              <w:bottom w:val="single" w:sz="4" w:space="0" w:color="auto"/>
            </w:tcBorders>
          </w:tcPr>
          <w:p w:rsidR="00222A5F" w:rsidRPr="002B3C02" w:rsidRDefault="00222A5F" w:rsidP="006638EB">
            <w:pPr>
              <w:jc w:val="right"/>
              <w:rPr>
                <w:rFonts w:ascii="Arial" w:hAnsi="Arial" w:cs="Arial"/>
                <w:sz w:val="20"/>
                <w:szCs w:val="20"/>
              </w:rPr>
            </w:pPr>
            <w:r w:rsidRPr="002B3C02">
              <w:rPr>
                <w:rFonts w:ascii="Arial" w:hAnsi="Arial" w:cs="Arial"/>
                <w:sz w:val="20"/>
                <w:szCs w:val="20"/>
              </w:rPr>
              <w:t>2016-17</w:t>
            </w:r>
          </w:p>
        </w:tc>
        <w:tc>
          <w:tcPr>
            <w:tcW w:w="2396" w:type="dxa"/>
            <w:tcBorders>
              <w:top w:val="single" w:sz="4" w:space="0" w:color="auto"/>
              <w:bottom w:val="single" w:sz="4" w:space="0" w:color="auto"/>
            </w:tcBorders>
          </w:tcPr>
          <w:p w:rsidR="00222A5F" w:rsidRPr="002B3C02" w:rsidRDefault="00222A5F" w:rsidP="006638EB">
            <w:pPr>
              <w:jc w:val="right"/>
              <w:rPr>
                <w:rFonts w:ascii="Arial" w:hAnsi="Arial" w:cs="Arial"/>
                <w:sz w:val="20"/>
                <w:szCs w:val="20"/>
              </w:rPr>
            </w:pPr>
            <w:r w:rsidRPr="002B3C02">
              <w:rPr>
                <w:rFonts w:ascii="Arial" w:hAnsi="Arial" w:cs="Arial"/>
                <w:sz w:val="20"/>
                <w:szCs w:val="20"/>
              </w:rPr>
              <w:t>2017-18</w:t>
            </w:r>
          </w:p>
        </w:tc>
        <w:tc>
          <w:tcPr>
            <w:tcW w:w="2100" w:type="dxa"/>
            <w:tcBorders>
              <w:top w:val="single" w:sz="4" w:space="0" w:color="auto"/>
              <w:bottom w:val="single" w:sz="4" w:space="0" w:color="auto"/>
            </w:tcBorders>
          </w:tcPr>
          <w:p w:rsidR="00222A5F" w:rsidRPr="002B3C02" w:rsidRDefault="00222A5F" w:rsidP="006638EB">
            <w:pPr>
              <w:jc w:val="right"/>
              <w:rPr>
                <w:rFonts w:ascii="Arial" w:hAnsi="Arial" w:cs="Arial"/>
                <w:sz w:val="20"/>
                <w:szCs w:val="20"/>
              </w:rPr>
            </w:pPr>
            <w:r>
              <w:rPr>
                <w:rFonts w:ascii="Arial" w:hAnsi="Arial" w:cs="Arial"/>
                <w:sz w:val="20"/>
                <w:szCs w:val="20"/>
              </w:rPr>
              <w:t>Total</w:t>
            </w:r>
          </w:p>
        </w:tc>
      </w:tr>
      <w:tr w:rsidR="00222A5F" w:rsidTr="00222A5F">
        <w:tc>
          <w:tcPr>
            <w:tcW w:w="2607" w:type="dxa"/>
            <w:tcBorders>
              <w:top w:val="single" w:sz="4" w:space="0" w:color="auto"/>
            </w:tcBorders>
          </w:tcPr>
          <w:p w:rsidR="00222A5F" w:rsidRPr="002B3C02" w:rsidRDefault="00617C9D" w:rsidP="006638EB">
            <w:pPr>
              <w:rPr>
                <w:rFonts w:ascii="Arial" w:hAnsi="Arial" w:cs="Arial"/>
                <w:sz w:val="20"/>
                <w:szCs w:val="20"/>
              </w:rPr>
            </w:pPr>
            <w:r>
              <w:rPr>
                <w:rFonts w:ascii="Arial" w:hAnsi="Arial" w:cs="Arial"/>
                <w:sz w:val="20"/>
                <w:szCs w:val="20"/>
              </w:rPr>
              <w:t>Registration</w:t>
            </w:r>
            <w:r w:rsidR="00222A5F" w:rsidRPr="002B3C02">
              <w:rPr>
                <w:rFonts w:ascii="Arial" w:hAnsi="Arial" w:cs="Arial"/>
                <w:sz w:val="20"/>
                <w:szCs w:val="20"/>
              </w:rPr>
              <w:t xml:space="preserve"> charges</w:t>
            </w:r>
          </w:p>
        </w:tc>
        <w:tc>
          <w:tcPr>
            <w:tcW w:w="2395" w:type="dxa"/>
            <w:tcBorders>
              <w:top w:val="single" w:sz="4" w:space="0" w:color="auto"/>
            </w:tcBorders>
          </w:tcPr>
          <w:p w:rsidR="00222A5F" w:rsidRPr="002B3C02" w:rsidRDefault="00222A5F" w:rsidP="006638EB">
            <w:pPr>
              <w:jc w:val="right"/>
              <w:rPr>
                <w:rFonts w:ascii="Arial" w:hAnsi="Arial" w:cs="Arial"/>
                <w:sz w:val="20"/>
                <w:szCs w:val="20"/>
              </w:rPr>
            </w:pPr>
            <w:r>
              <w:rPr>
                <w:rFonts w:ascii="Arial" w:hAnsi="Arial" w:cs="Arial"/>
                <w:sz w:val="20"/>
                <w:szCs w:val="20"/>
              </w:rPr>
              <w:t>201.2</w:t>
            </w:r>
          </w:p>
        </w:tc>
        <w:tc>
          <w:tcPr>
            <w:tcW w:w="2396" w:type="dxa"/>
            <w:tcBorders>
              <w:top w:val="single" w:sz="4" w:space="0" w:color="auto"/>
            </w:tcBorders>
          </w:tcPr>
          <w:p w:rsidR="00222A5F" w:rsidRPr="002B3C02" w:rsidRDefault="00222A5F" w:rsidP="006638EB">
            <w:pPr>
              <w:jc w:val="right"/>
              <w:rPr>
                <w:rFonts w:ascii="Arial" w:hAnsi="Arial" w:cs="Arial"/>
                <w:sz w:val="20"/>
                <w:szCs w:val="20"/>
              </w:rPr>
            </w:pPr>
            <w:r>
              <w:rPr>
                <w:rFonts w:ascii="Arial" w:hAnsi="Arial" w:cs="Arial"/>
                <w:sz w:val="20"/>
                <w:szCs w:val="20"/>
              </w:rPr>
              <w:t>212.8</w:t>
            </w:r>
          </w:p>
        </w:tc>
        <w:tc>
          <w:tcPr>
            <w:tcW w:w="2100" w:type="dxa"/>
            <w:tcBorders>
              <w:top w:val="single" w:sz="4" w:space="0" w:color="auto"/>
            </w:tcBorders>
          </w:tcPr>
          <w:p w:rsidR="00222A5F" w:rsidRDefault="00222A5F" w:rsidP="006638EB">
            <w:pP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=SUM(LEFT) \# "#,##.0" </w:instrText>
            </w:r>
            <w:r>
              <w:rPr>
                <w:rFonts w:ascii="Arial" w:hAnsi="Arial" w:cs="Arial"/>
                <w:sz w:val="20"/>
                <w:szCs w:val="20"/>
              </w:rPr>
              <w:fldChar w:fldCharType="separate"/>
            </w:r>
            <w:r>
              <w:rPr>
                <w:rFonts w:ascii="Arial" w:hAnsi="Arial" w:cs="Arial"/>
                <w:noProof/>
                <w:sz w:val="20"/>
                <w:szCs w:val="20"/>
              </w:rPr>
              <w:t>414.0</w:t>
            </w:r>
            <w:r>
              <w:rPr>
                <w:rFonts w:ascii="Arial" w:hAnsi="Arial" w:cs="Arial"/>
                <w:sz w:val="20"/>
                <w:szCs w:val="20"/>
              </w:rPr>
              <w:fldChar w:fldCharType="end"/>
            </w:r>
          </w:p>
        </w:tc>
      </w:tr>
      <w:tr w:rsidR="00222A5F" w:rsidTr="00617C9D">
        <w:tc>
          <w:tcPr>
            <w:tcW w:w="2607" w:type="dxa"/>
          </w:tcPr>
          <w:p w:rsidR="00222A5F" w:rsidRPr="002B3C02" w:rsidRDefault="00222A5F" w:rsidP="006638EB">
            <w:pPr>
              <w:rPr>
                <w:rFonts w:ascii="Arial" w:hAnsi="Arial" w:cs="Arial"/>
                <w:sz w:val="20"/>
                <w:szCs w:val="20"/>
              </w:rPr>
            </w:pPr>
            <w:r w:rsidRPr="002B3C02">
              <w:rPr>
                <w:rFonts w:ascii="Arial" w:hAnsi="Arial" w:cs="Arial"/>
                <w:sz w:val="20"/>
                <w:szCs w:val="20"/>
              </w:rPr>
              <w:t>Road user charge</w:t>
            </w:r>
          </w:p>
        </w:tc>
        <w:tc>
          <w:tcPr>
            <w:tcW w:w="2395" w:type="dxa"/>
          </w:tcPr>
          <w:p w:rsidR="00222A5F" w:rsidRPr="002B3C02" w:rsidRDefault="00222A5F" w:rsidP="006638EB">
            <w:pPr>
              <w:jc w:val="right"/>
              <w:rPr>
                <w:rFonts w:ascii="Arial" w:hAnsi="Arial" w:cs="Arial"/>
                <w:sz w:val="20"/>
                <w:szCs w:val="20"/>
              </w:rPr>
            </w:pPr>
            <w:r>
              <w:rPr>
                <w:rFonts w:ascii="Arial" w:hAnsi="Arial" w:cs="Arial"/>
                <w:sz w:val="20"/>
                <w:szCs w:val="20"/>
              </w:rPr>
              <w:t>49.0</w:t>
            </w:r>
          </w:p>
        </w:tc>
        <w:tc>
          <w:tcPr>
            <w:tcW w:w="2396" w:type="dxa"/>
          </w:tcPr>
          <w:p w:rsidR="00222A5F" w:rsidRPr="002B3C02" w:rsidRDefault="00222A5F" w:rsidP="006638EB">
            <w:pPr>
              <w:jc w:val="right"/>
              <w:rPr>
                <w:rFonts w:ascii="Arial" w:hAnsi="Arial" w:cs="Arial"/>
                <w:sz w:val="20"/>
                <w:szCs w:val="20"/>
              </w:rPr>
            </w:pPr>
            <w:r>
              <w:rPr>
                <w:rFonts w:ascii="Arial" w:hAnsi="Arial" w:cs="Arial"/>
                <w:sz w:val="20"/>
                <w:szCs w:val="20"/>
              </w:rPr>
              <w:t>52.1</w:t>
            </w:r>
          </w:p>
        </w:tc>
        <w:tc>
          <w:tcPr>
            <w:tcW w:w="2100" w:type="dxa"/>
          </w:tcPr>
          <w:p w:rsidR="00222A5F" w:rsidRDefault="00222A5F" w:rsidP="006638EB">
            <w:pP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=SUM(LEFT) </w:instrText>
            </w:r>
            <w:r>
              <w:rPr>
                <w:rFonts w:ascii="Arial" w:hAnsi="Arial" w:cs="Arial"/>
                <w:sz w:val="20"/>
                <w:szCs w:val="20"/>
              </w:rPr>
              <w:fldChar w:fldCharType="separate"/>
            </w:r>
            <w:r>
              <w:rPr>
                <w:rFonts w:ascii="Arial" w:hAnsi="Arial" w:cs="Arial"/>
                <w:noProof/>
                <w:sz w:val="20"/>
                <w:szCs w:val="20"/>
              </w:rPr>
              <w:t>101.1</w:t>
            </w:r>
            <w:r>
              <w:rPr>
                <w:rFonts w:ascii="Arial" w:hAnsi="Arial" w:cs="Arial"/>
                <w:sz w:val="20"/>
                <w:szCs w:val="20"/>
              </w:rPr>
              <w:fldChar w:fldCharType="end"/>
            </w:r>
          </w:p>
        </w:tc>
      </w:tr>
      <w:tr w:rsidR="00222A5F" w:rsidTr="00617C9D">
        <w:tc>
          <w:tcPr>
            <w:tcW w:w="2607" w:type="dxa"/>
            <w:tcBorders>
              <w:bottom w:val="single" w:sz="4" w:space="0" w:color="auto"/>
            </w:tcBorders>
          </w:tcPr>
          <w:p w:rsidR="00222A5F" w:rsidRPr="002B3C02" w:rsidRDefault="00222A5F" w:rsidP="006638EB">
            <w:pPr>
              <w:rPr>
                <w:rFonts w:ascii="Arial" w:hAnsi="Arial" w:cs="Arial"/>
                <w:sz w:val="20"/>
                <w:szCs w:val="20"/>
              </w:rPr>
            </w:pPr>
            <w:r>
              <w:rPr>
                <w:rFonts w:ascii="Arial" w:hAnsi="Arial" w:cs="Arial"/>
                <w:sz w:val="20"/>
                <w:szCs w:val="20"/>
              </w:rPr>
              <w:t>Total</w:t>
            </w:r>
          </w:p>
        </w:tc>
        <w:tc>
          <w:tcPr>
            <w:tcW w:w="2395" w:type="dxa"/>
            <w:tcBorders>
              <w:bottom w:val="single" w:sz="4" w:space="0" w:color="auto"/>
            </w:tcBorders>
          </w:tcPr>
          <w:p w:rsidR="00222A5F" w:rsidRPr="002B3C02" w:rsidRDefault="00222A5F" w:rsidP="006638EB">
            <w:pP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250.2</w:t>
            </w:r>
            <w:r>
              <w:rPr>
                <w:rFonts w:ascii="Arial" w:hAnsi="Arial" w:cs="Arial"/>
                <w:sz w:val="20"/>
                <w:szCs w:val="20"/>
              </w:rPr>
              <w:fldChar w:fldCharType="end"/>
            </w:r>
          </w:p>
        </w:tc>
        <w:tc>
          <w:tcPr>
            <w:tcW w:w="2396" w:type="dxa"/>
            <w:tcBorders>
              <w:bottom w:val="single" w:sz="4" w:space="0" w:color="auto"/>
            </w:tcBorders>
          </w:tcPr>
          <w:p w:rsidR="00222A5F" w:rsidRPr="002B3C02" w:rsidRDefault="00617C9D" w:rsidP="006638EB">
            <w:pPr>
              <w:jc w:val="right"/>
              <w:rPr>
                <w:rFonts w:ascii="Arial" w:hAnsi="Arial" w:cs="Arial"/>
                <w:sz w:val="20"/>
                <w:szCs w:val="20"/>
              </w:rPr>
            </w:pPr>
            <w:r>
              <w:rPr>
                <w:rFonts w:ascii="Arial" w:hAnsi="Arial" w:cs="Arial"/>
                <w:sz w:val="20"/>
                <w:szCs w:val="20"/>
              </w:rPr>
              <w:t>264.8</w:t>
            </w:r>
          </w:p>
        </w:tc>
        <w:tc>
          <w:tcPr>
            <w:tcW w:w="2100" w:type="dxa"/>
            <w:tcBorders>
              <w:bottom w:val="single" w:sz="4" w:space="0" w:color="auto"/>
            </w:tcBorders>
          </w:tcPr>
          <w:p w:rsidR="00222A5F" w:rsidRDefault="00617C9D" w:rsidP="006638EB">
            <w:pPr>
              <w:jc w:val="right"/>
              <w:rPr>
                <w:rFonts w:ascii="Arial" w:hAnsi="Arial" w:cs="Arial"/>
                <w:sz w:val="20"/>
                <w:szCs w:val="20"/>
              </w:rPr>
            </w:pPr>
            <w:r>
              <w:rPr>
                <w:rFonts w:ascii="Arial" w:hAnsi="Arial" w:cs="Arial"/>
                <w:sz w:val="20"/>
                <w:szCs w:val="20"/>
              </w:rPr>
              <w:t>515.0</w:t>
            </w:r>
          </w:p>
        </w:tc>
      </w:tr>
      <w:tr w:rsidR="00617C9D" w:rsidTr="0065373A">
        <w:tc>
          <w:tcPr>
            <w:tcW w:w="9498" w:type="dxa"/>
            <w:gridSpan w:val="4"/>
            <w:tcBorders>
              <w:top w:val="single" w:sz="4" w:space="0" w:color="auto"/>
            </w:tcBorders>
          </w:tcPr>
          <w:p w:rsidR="00617C9D" w:rsidRPr="00617C9D" w:rsidRDefault="00617C9D" w:rsidP="00617C9D">
            <w:pPr>
              <w:rPr>
                <w:rFonts w:ascii="Arial" w:hAnsi="Arial" w:cs="Arial"/>
                <w:sz w:val="18"/>
                <w:szCs w:val="18"/>
              </w:rPr>
            </w:pPr>
            <w:r>
              <w:rPr>
                <w:rFonts w:ascii="Arial" w:hAnsi="Arial" w:cs="Arial"/>
                <w:sz w:val="18"/>
                <w:szCs w:val="18"/>
              </w:rPr>
              <w:t>Source: NTC. Figures may not add to totals due to rounding.</w:t>
            </w:r>
          </w:p>
        </w:tc>
      </w:tr>
    </w:tbl>
    <w:p w:rsidR="007C19F7" w:rsidRDefault="007C19F7" w:rsidP="007C19F7">
      <w:pPr>
        <w:rPr>
          <w:rFonts w:ascii="Arial" w:hAnsi="Arial" w:cs="Arial"/>
          <w:szCs w:val="24"/>
          <w:lang w:eastAsia="en-AU"/>
        </w:rPr>
      </w:pPr>
    </w:p>
    <w:p w:rsidR="007C19F7" w:rsidRDefault="007C19F7" w:rsidP="007C19F7">
      <w:pPr>
        <w:rPr>
          <w:rFonts w:ascii="Arial" w:hAnsi="Arial" w:cs="Arial"/>
          <w:szCs w:val="24"/>
          <w:lang w:eastAsia="en-AU"/>
        </w:rPr>
      </w:pPr>
    </w:p>
    <w:p w:rsidR="0009718D" w:rsidRPr="00177BE9" w:rsidRDefault="0009718D" w:rsidP="0009718D">
      <w:pPr>
        <w:pStyle w:val="NoSpacing"/>
        <w:rPr>
          <w:rFonts w:ascii="Arial" w:hAnsi="Arial" w:cs="Arial"/>
          <w:color w:val="auto"/>
          <w:sz w:val="22"/>
          <w:szCs w:val="22"/>
        </w:rPr>
      </w:pPr>
      <w:r w:rsidRPr="00177BE9">
        <w:rPr>
          <w:rFonts w:ascii="Arial" w:hAnsi="Arial" w:cs="Arial"/>
          <w:color w:val="auto"/>
          <w:sz w:val="22"/>
          <w:szCs w:val="22"/>
        </w:rPr>
        <w:t xml:space="preserve">As an economic principle, user charges should </w:t>
      </w:r>
      <w:r w:rsidR="00617C9D">
        <w:rPr>
          <w:rFonts w:ascii="Arial" w:hAnsi="Arial" w:cs="Arial"/>
          <w:color w:val="auto"/>
          <w:sz w:val="22"/>
          <w:szCs w:val="22"/>
        </w:rPr>
        <w:t>reflect the</w:t>
      </w:r>
      <w:r w:rsidRPr="00177BE9">
        <w:rPr>
          <w:rFonts w:ascii="Arial" w:hAnsi="Arial" w:cs="Arial"/>
          <w:color w:val="auto"/>
          <w:sz w:val="22"/>
          <w:szCs w:val="22"/>
        </w:rPr>
        <w:t xml:space="preserve"> cost of providing infrastructure – in this case, roads. Giving businesses a </w:t>
      </w:r>
      <w:r w:rsidR="00617C9D">
        <w:rPr>
          <w:rFonts w:ascii="Arial" w:hAnsi="Arial" w:cs="Arial"/>
          <w:color w:val="auto"/>
          <w:sz w:val="22"/>
          <w:szCs w:val="22"/>
        </w:rPr>
        <w:t xml:space="preserve">transparent </w:t>
      </w:r>
      <w:r w:rsidRPr="00177BE9">
        <w:rPr>
          <w:rFonts w:ascii="Arial" w:hAnsi="Arial" w:cs="Arial"/>
          <w:color w:val="auto"/>
          <w:sz w:val="22"/>
          <w:szCs w:val="22"/>
        </w:rPr>
        <w:t>signal about the cost of infrastructure gives them an incentive to use it efficiently.</w:t>
      </w:r>
      <w:r w:rsidR="00617C9D">
        <w:rPr>
          <w:rFonts w:ascii="Arial" w:hAnsi="Arial" w:cs="Arial"/>
          <w:color w:val="auto"/>
          <w:sz w:val="22"/>
          <w:szCs w:val="22"/>
        </w:rPr>
        <w:t xml:space="preserve"> </w:t>
      </w:r>
    </w:p>
    <w:p w:rsidR="0009718D" w:rsidRPr="00177BE9" w:rsidRDefault="0009718D" w:rsidP="0009718D">
      <w:pPr>
        <w:pStyle w:val="NoSpacing"/>
        <w:rPr>
          <w:rFonts w:ascii="Arial" w:hAnsi="Arial" w:cs="Arial"/>
          <w:color w:val="auto"/>
          <w:sz w:val="22"/>
          <w:szCs w:val="22"/>
        </w:rPr>
      </w:pPr>
    </w:p>
    <w:p w:rsidR="0009718D" w:rsidRPr="00177BE9" w:rsidRDefault="0009718D" w:rsidP="0009718D">
      <w:pPr>
        <w:pStyle w:val="NoSpacing"/>
        <w:rPr>
          <w:rFonts w:ascii="Arial" w:hAnsi="Arial" w:cs="Arial"/>
          <w:color w:val="auto"/>
          <w:sz w:val="22"/>
          <w:szCs w:val="22"/>
        </w:rPr>
      </w:pPr>
      <w:r w:rsidRPr="00177BE9">
        <w:rPr>
          <w:rFonts w:ascii="Arial" w:hAnsi="Arial" w:cs="Arial"/>
          <w:color w:val="auto"/>
          <w:sz w:val="22"/>
          <w:szCs w:val="22"/>
        </w:rPr>
        <w:t>In addition, the NTC has previously recognised that charges can significantly affect the competitive position of individual operators, because the industry operates on tight margins.</w:t>
      </w:r>
      <w:r w:rsidRPr="00177BE9">
        <w:rPr>
          <w:rStyle w:val="FootnoteReference"/>
          <w:rFonts w:ascii="Arial" w:hAnsi="Arial" w:cs="Arial"/>
          <w:color w:val="auto"/>
          <w:sz w:val="22"/>
          <w:szCs w:val="22"/>
        </w:rPr>
        <w:footnoteReference w:id="4"/>
      </w:r>
      <w:r w:rsidRPr="00177BE9">
        <w:rPr>
          <w:rFonts w:ascii="Arial" w:hAnsi="Arial" w:cs="Arial"/>
          <w:color w:val="auto"/>
          <w:sz w:val="22"/>
          <w:szCs w:val="22"/>
        </w:rPr>
        <w:t xml:space="preserve"> The problem is exacerbated by the </w:t>
      </w:r>
      <w:r w:rsidR="00604795">
        <w:rPr>
          <w:rFonts w:ascii="Arial" w:hAnsi="Arial" w:cs="Arial"/>
          <w:color w:val="auto"/>
          <w:sz w:val="22"/>
          <w:szCs w:val="22"/>
        </w:rPr>
        <w:t xml:space="preserve">yearly imposition of </w:t>
      </w:r>
      <w:r w:rsidR="006F6C3C">
        <w:rPr>
          <w:rFonts w:ascii="Arial" w:hAnsi="Arial" w:cs="Arial"/>
          <w:color w:val="auto"/>
          <w:sz w:val="22"/>
          <w:szCs w:val="22"/>
        </w:rPr>
        <w:t xml:space="preserve">the </w:t>
      </w:r>
      <w:r w:rsidR="00604795">
        <w:rPr>
          <w:rFonts w:ascii="Arial" w:hAnsi="Arial" w:cs="Arial"/>
          <w:color w:val="auto"/>
          <w:sz w:val="22"/>
          <w:szCs w:val="22"/>
        </w:rPr>
        <w:t>large</w:t>
      </w:r>
      <w:r w:rsidRPr="00177BE9">
        <w:rPr>
          <w:rFonts w:ascii="Arial" w:hAnsi="Arial" w:cs="Arial"/>
          <w:color w:val="auto"/>
          <w:sz w:val="22"/>
          <w:szCs w:val="22"/>
        </w:rPr>
        <w:t xml:space="preserve"> heavy vehicle registration charges, which create</w:t>
      </w:r>
      <w:r w:rsidR="0082468F">
        <w:rPr>
          <w:rFonts w:ascii="Arial" w:hAnsi="Arial" w:cs="Arial"/>
          <w:color w:val="auto"/>
          <w:sz w:val="22"/>
          <w:szCs w:val="22"/>
        </w:rPr>
        <w:t>s</w:t>
      </w:r>
      <w:r w:rsidRPr="00177BE9">
        <w:rPr>
          <w:rFonts w:ascii="Arial" w:hAnsi="Arial" w:cs="Arial"/>
          <w:color w:val="auto"/>
          <w:sz w:val="22"/>
          <w:szCs w:val="22"/>
        </w:rPr>
        <w:t xml:space="preserve"> cashflow difficulties for businesses.</w:t>
      </w:r>
    </w:p>
    <w:p w:rsidR="0009718D" w:rsidRPr="00177BE9" w:rsidRDefault="0009718D" w:rsidP="0009718D">
      <w:pPr>
        <w:pStyle w:val="NoSpacing"/>
        <w:rPr>
          <w:rFonts w:ascii="Arial" w:hAnsi="Arial" w:cs="Arial"/>
          <w:color w:val="auto"/>
          <w:sz w:val="22"/>
          <w:szCs w:val="22"/>
        </w:rPr>
      </w:pPr>
    </w:p>
    <w:p w:rsidR="0009718D" w:rsidRPr="00177BE9" w:rsidRDefault="0009718D" w:rsidP="0009718D">
      <w:pPr>
        <w:pStyle w:val="NoSpacing"/>
        <w:rPr>
          <w:rFonts w:ascii="Arial" w:hAnsi="Arial" w:cs="Arial"/>
          <w:color w:val="auto"/>
          <w:sz w:val="22"/>
          <w:szCs w:val="22"/>
        </w:rPr>
      </w:pPr>
      <w:r w:rsidRPr="00177BE9">
        <w:rPr>
          <w:rFonts w:ascii="Arial" w:hAnsi="Arial" w:cs="Arial"/>
          <w:color w:val="auto"/>
          <w:sz w:val="22"/>
          <w:szCs w:val="22"/>
        </w:rPr>
        <w:t xml:space="preserve">There is a </w:t>
      </w:r>
      <w:r w:rsidR="00946124">
        <w:rPr>
          <w:rFonts w:ascii="Arial" w:hAnsi="Arial" w:cs="Arial"/>
          <w:color w:val="auto"/>
          <w:sz w:val="22"/>
          <w:szCs w:val="22"/>
        </w:rPr>
        <w:t>further</w:t>
      </w:r>
      <w:r w:rsidRPr="00177BE9">
        <w:rPr>
          <w:rFonts w:ascii="Arial" w:hAnsi="Arial" w:cs="Arial"/>
          <w:color w:val="auto"/>
          <w:sz w:val="22"/>
          <w:szCs w:val="22"/>
        </w:rPr>
        <w:t xml:space="preserve"> reason for getting the level of cost recovery right: the eventual need to tran</w:t>
      </w:r>
      <w:r w:rsidR="00617C9D">
        <w:rPr>
          <w:rFonts w:ascii="Arial" w:hAnsi="Arial" w:cs="Arial"/>
          <w:color w:val="auto"/>
          <w:sz w:val="22"/>
          <w:szCs w:val="22"/>
        </w:rPr>
        <w:t>sition to a new charging system.</w:t>
      </w:r>
    </w:p>
    <w:p w:rsidR="0009718D" w:rsidRPr="00177BE9" w:rsidRDefault="0009718D" w:rsidP="0009718D">
      <w:pPr>
        <w:pStyle w:val="NoSpacing"/>
        <w:rPr>
          <w:rFonts w:ascii="Arial" w:hAnsi="Arial" w:cs="Arial"/>
          <w:color w:val="auto"/>
          <w:sz w:val="22"/>
          <w:szCs w:val="22"/>
        </w:rPr>
      </w:pPr>
    </w:p>
    <w:p w:rsidR="0009718D" w:rsidRDefault="0009718D" w:rsidP="0009718D">
      <w:pPr>
        <w:rPr>
          <w:rFonts w:ascii="Arial" w:hAnsi="Arial" w:cs="Arial"/>
          <w:szCs w:val="24"/>
          <w:lang w:eastAsia="en-AU"/>
        </w:rPr>
      </w:pPr>
      <w:r w:rsidRPr="00177BE9">
        <w:rPr>
          <w:rFonts w:ascii="Arial" w:hAnsi="Arial" w:cs="Arial"/>
        </w:rPr>
        <w:t xml:space="preserve">As the Productivity Commission has pointed out, complex reforms like road </w:t>
      </w:r>
      <w:r w:rsidR="00617C9D">
        <w:rPr>
          <w:rFonts w:ascii="Arial" w:hAnsi="Arial" w:cs="Arial"/>
        </w:rPr>
        <w:t xml:space="preserve">pricing </w:t>
      </w:r>
      <w:r w:rsidRPr="00177BE9">
        <w:rPr>
          <w:rFonts w:ascii="Arial" w:hAnsi="Arial" w:cs="Arial"/>
        </w:rPr>
        <w:t>require an institutional base accepted by all parties.</w:t>
      </w:r>
      <w:r w:rsidRPr="00177BE9">
        <w:rPr>
          <w:rStyle w:val="FootnoteReference"/>
          <w:rFonts w:ascii="Arial" w:hAnsi="Arial" w:cs="Arial"/>
        </w:rPr>
        <w:footnoteReference w:id="5"/>
      </w:r>
      <w:r w:rsidRPr="00177BE9">
        <w:rPr>
          <w:rFonts w:ascii="Arial" w:hAnsi="Arial" w:cs="Arial"/>
        </w:rPr>
        <w:t xml:space="preserve"> Governments will struggle to gain public and industry support for any new road charging system unless they first show they have the capacity to fix the </w:t>
      </w:r>
      <w:r w:rsidR="00946124">
        <w:rPr>
          <w:rFonts w:ascii="Arial" w:hAnsi="Arial" w:cs="Arial"/>
        </w:rPr>
        <w:t>known</w:t>
      </w:r>
      <w:r w:rsidRPr="00177BE9">
        <w:rPr>
          <w:rFonts w:ascii="Arial" w:hAnsi="Arial" w:cs="Arial"/>
        </w:rPr>
        <w:t xml:space="preserve"> problems with the charging system we have now.</w:t>
      </w:r>
    </w:p>
    <w:p w:rsidR="00222A5F" w:rsidRDefault="00222A5F" w:rsidP="007C19F7">
      <w:pPr>
        <w:rPr>
          <w:rFonts w:ascii="Arial" w:hAnsi="Arial" w:cs="Arial"/>
          <w:szCs w:val="24"/>
          <w:lang w:eastAsia="en-AU"/>
        </w:rPr>
      </w:pPr>
    </w:p>
    <w:p w:rsidR="007C19F7" w:rsidRPr="0009718D" w:rsidRDefault="00617C9D" w:rsidP="007C19F7">
      <w:pPr>
        <w:rPr>
          <w:rFonts w:ascii="Arial" w:hAnsi="Arial" w:cs="Arial"/>
          <w:szCs w:val="24"/>
          <w:lang w:eastAsia="en-AU"/>
        </w:rPr>
      </w:pPr>
      <w:r>
        <w:rPr>
          <w:rFonts w:ascii="Arial" w:hAnsi="Arial" w:cs="Arial"/>
          <w:szCs w:val="24"/>
          <w:lang w:eastAsia="en-AU"/>
        </w:rPr>
        <w:t>For these reasons,</w:t>
      </w:r>
      <w:r w:rsidR="005350B5">
        <w:rPr>
          <w:rFonts w:ascii="Arial" w:hAnsi="Arial" w:cs="Arial"/>
          <w:szCs w:val="24"/>
          <w:lang w:eastAsia="en-AU"/>
        </w:rPr>
        <w:t xml:space="preserve"> the ATA considers that</w:t>
      </w:r>
      <w:r w:rsidR="0009718D">
        <w:rPr>
          <w:rFonts w:ascii="Arial" w:hAnsi="Arial" w:cs="Arial"/>
          <w:szCs w:val="24"/>
          <w:lang w:eastAsia="en-AU"/>
        </w:rPr>
        <w:t xml:space="preserve"> the Government should </w:t>
      </w:r>
      <w:r>
        <w:rPr>
          <w:rFonts w:ascii="Arial" w:hAnsi="Arial" w:cs="Arial"/>
          <w:szCs w:val="24"/>
          <w:lang w:eastAsia="en-AU"/>
        </w:rPr>
        <w:t xml:space="preserve">use the 2016-17 budget to </w:t>
      </w:r>
      <w:r w:rsidR="0009718D">
        <w:rPr>
          <w:rFonts w:ascii="Arial" w:hAnsi="Arial" w:cs="Arial"/>
          <w:szCs w:val="24"/>
          <w:lang w:eastAsia="en-AU"/>
        </w:rPr>
        <w:t>address its share</w:t>
      </w:r>
      <w:r w:rsidR="00604795">
        <w:rPr>
          <w:rFonts w:ascii="Arial" w:hAnsi="Arial" w:cs="Arial"/>
          <w:szCs w:val="24"/>
          <w:lang w:eastAsia="en-AU"/>
        </w:rPr>
        <w:t xml:space="preserve"> of the overcharging</w:t>
      </w:r>
      <w:r w:rsidR="0009718D">
        <w:rPr>
          <w:rFonts w:ascii="Arial" w:hAnsi="Arial" w:cs="Arial"/>
          <w:szCs w:val="24"/>
          <w:lang w:eastAsia="en-AU"/>
        </w:rPr>
        <w:t>.</w:t>
      </w:r>
    </w:p>
    <w:p w:rsidR="007C19F7" w:rsidRDefault="007C19F7" w:rsidP="00706722">
      <w:pPr>
        <w:rPr>
          <w:rFonts w:ascii="Arial" w:hAnsi="Arial" w:cs="Arial"/>
        </w:rPr>
      </w:pPr>
    </w:p>
    <w:p w:rsidR="00222A5F" w:rsidRDefault="00222A5F" w:rsidP="00706722">
      <w:pPr>
        <w:rPr>
          <w:rFonts w:ascii="Arial" w:hAnsi="Arial" w:cs="Arial"/>
        </w:rPr>
      </w:pPr>
    </w:p>
    <w:p w:rsidR="00222A5F" w:rsidRPr="00E816A2" w:rsidRDefault="00222A5F" w:rsidP="00E816A2">
      <w:pPr>
        <w:pStyle w:val="Heading2"/>
        <w:rPr>
          <w:rFonts w:ascii="Arial" w:hAnsi="Arial" w:cs="Arial"/>
          <w:b w:val="0"/>
          <w:color w:val="auto"/>
          <w:sz w:val="22"/>
          <w:szCs w:val="22"/>
        </w:rPr>
      </w:pPr>
      <w:bookmarkStart w:id="5" w:name="_Toc442434866"/>
      <w:r w:rsidRPr="00E816A2">
        <w:rPr>
          <w:rFonts w:ascii="Arial" w:hAnsi="Arial" w:cs="Arial"/>
          <w:color w:val="auto"/>
          <w:sz w:val="22"/>
          <w:szCs w:val="22"/>
        </w:rPr>
        <w:lastRenderedPageBreak/>
        <w:t>Reducing the road user charge</w:t>
      </w:r>
      <w:bookmarkEnd w:id="5"/>
    </w:p>
    <w:p w:rsidR="00222A5F" w:rsidRPr="0009785A" w:rsidRDefault="00222A5F" w:rsidP="00617C9D">
      <w:pPr>
        <w:keepNext/>
        <w:rPr>
          <w:rFonts w:ascii="Arial" w:hAnsi="Arial" w:cs="Arial"/>
        </w:rPr>
      </w:pPr>
    </w:p>
    <w:p w:rsidR="0009718D" w:rsidRDefault="0009718D" w:rsidP="00617C9D">
      <w:pPr>
        <w:keepNext/>
        <w:rPr>
          <w:rFonts w:ascii="Arial" w:hAnsi="Arial" w:cs="Arial"/>
        </w:rPr>
      </w:pPr>
      <w:r>
        <w:rPr>
          <w:rFonts w:ascii="Arial" w:hAnsi="Arial" w:cs="Arial"/>
        </w:rPr>
        <w:t xml:space="preserve">As a result of the </w:t>
      </w:r>
      <w:r w:rsidR="00946124">
        <w:rPr>
          <w:rFonts w:ascii="Arial" w:hAnsi="Arial" w:cs="Arial"/>
        </w:rPr>
        <w:t>governments’</w:t>
      </w:r>
      <w:r w:rsidR="0009785A">
        <w:rPr>
          <w:rFonts w:ascii="Arial" w:hAnsi="Arial" w:cs="Arial"/>
        </w:rPr>
        <w:t xml:space="preserve"> decision</w:t>
      </w:r>
      <w:r>
        <w:rPr>
          <w:rFonts w:ascii="Arial" w:hAnsi="Arial" w:cs="Arial"/>
        </w:rPr>
        <w:t xml:space="preserve"> to </w:t>
      </w:r>
      <w:r w:rsidRPr="00E816A2">
        <w:rPr>
          <w:rFonts w:ascii="Arial" w:hAnsi="Arial" w:cs="Arial"/>
        </w:rPr>
        <w:t>freeze revenue and not rates</w:t>
      </w:r>
      <w:r w:rsidR="0009785A">
        <w:rPr>
          <w:rFonts w:ascii="Arial" w:hAnsi="Arial" w:cs="Arial"/>
        </w:rPr>
        <w:t xml:space="preserve">, the </w:t>
      </w:r>
      <w:r w:rsidR="002E4551">
        <w:rPr>
          <w:rFonts w:ascii="Arial" w:hAnsi="Arial" w:cs="Arial"/>
        </w:rPr>
        <w:t xml:space="preserve">NTC has estimated that the </w:t>
      </w:r>
      <w:r w:rsidR="0009785A">
        <w:rPr>
          <w:rFonts w:ascii="Arial" w:hAnsi="Arial" w:cs="Arial"/>
        </w:rPr>
        <w:t xml:space="preserve">road user charge should </w:t>
      </w:r>
      <w:r w:rsidR="00E924CE">
        <w:rPr>
          <w:rFonts w:ascii="Arial" w:hAnsi="Arial" w:cs="Arial"/>
        </w:rPr>
        <w:t>fall from 26.14 cents per litre</w:t>
      </w:r>
      <w:r w:rsidR="00604795">
        <w:rPr>
          <w:rFonts w:ascii="Arial" w:hAnsi="Arial" w:cs="Arial"/>
        </w:rPr>
        <w:t xml:space="preserve"> in 2015-16 to 25.9</w:t>
      </w:r>
      <w:r w:rsidR="00E924CE">
        <w:rPr>
          <w:rFonts w:ascii="Arial" w:hAnsi="Arial" w:cs="Arial"/>
        </w:rPr>
        <w:t xml:space="preserve"> cents per litre in 2016-17 and 25.3 cents per litre in 2017-18. </w:t>
      </w:r>
    </w:p>
    <w:p w:rsidR="0009718D" w:rsidRDefault="0009718D" w:rsidP="0009718D">
      <w:pPr>
        <w:pStyle w:val="ATAHeading2"/>
        <w:numPr>
          <w:ilvl w:val="0"/>
          <w:numId w:val="0"/>
        </w:numPr>
        <w:spacing w:before="0" w:after="0" w:line="240" w:lineRule="auto"/>
        <w:rPr>
          <w:b w:val="0"/>
          <w:color w:val="auto"/>
          <w:sz w:val="22"/>
          <w:szCs w:val="22"/>
        </w:rPr>
      </w:pPr>
    </w:p>
    <w:p w:rsidR="005C36D1" w:rsidRPr="0009785A" w:rsidRDefault="0009718D" w:rsidP="0009718D">
      <w:pPr>
        <w:rPr>
          <w:rFonts w:ascii="Arial" w:hAnsi="Arial" w:cs="Arial"/>
        </w:rPr>
      </w:pPr>
      <w:r>
        <w:rPr>
          <w:rFonts w:ascii="Arial" w:hAnsi="Arial" w:cs="Arial"/>
        </w:rPr>
        <w:t>The Government should proceed with these redu</w:t>
      </w:r>
      <w:r w:rsidR="00222A5F">
        <w:rPr>
          <w:rFonts w:ascii="Arial" w:hAnsi="Arial" w:cs="Arial"/>
        </w:rPr>
        <w:t>c</w:t>
      </w:r>
      <w:r>
        <w:rPr>
          <w:rFonts w:ascii="Arial" w:hAnsi="Arial" w:cs="Arial"/>
        </w:rPr>
        <w:t>t</w:t>
      </w:r>
      <w:r w:rsidR="00133207">
        <w:rPr>
          <w:rFonts w:ascii="Arial" w:hAnsi="Arial" w:cs="Arial"/>
        </w:rPr>
        <w:t>ions in the road user charge. T</w:t>
      </w:r>
      <w:r w:rsidR="00222A5F">
        <w:rPr>
          <w:rFonts w:ascii="Arial" w:hAnsi="Arial" w:cs="Arial"/>
        </w:rPr>
        <w:t xml:space="preserve">he reductions in expected revenue were </w:t>
      </w:r>
      <w:r w:rsidR="002E4551">
        <w:rPr>
          <w:rFonts w:ascii="Arial" w:hAnsi="Arial" w:cs="Arial"/>
        </w:rPr>
        <w:t>included</w:t>
      </w:r>
      <w:r w:rsidR="00222A5F">
        <w:rPr>
          <w:rFonts w:ascii="Arial" w:hAnsi="Arial" w:cs="Arial"/>
        </w:rPr>
        <w:t xml:space="preserve"> in MYEFO</w:t>
      </w:r>
      <w:r w:rsidR="00946124">
        <w:rPr>
          <w:rFonts w:ascii="Arial" w:hAnsi="Arial" w:cs="Arial"/>
        </w:rPr>
        <w:t>; t</w:t>
      </w:r>
      <w:r w:rsidR="00E816A2">
        <w:rPr>
          <w:rFonts w:ascii="Arial" w:hAnsi="Arial" w:cs="Arial"/>
        </w:rPr>
        <w:t>he over-recovery estimates in table 1 of this submission also incorporate the charge reductions.</w:t>
      </w:r>
    </w:p>
    <w:p w:rsidR="0009718D" w:rsidRPr="0009785A" w:rsidRDefault="0009718D" w:rsidP="00242D21">
      <w:pPr>
        <w:pStyle w:val="ATAHeading2"/>
        <w:numPr>
          <w:ilvl w:val="0"/>
          <w:numId w:val="0"/>
        </w:numPr>
        <w:spacing w:before="0" w:after="0" w:line="240" w:lineRule="auto"/>
        <w:rPr>
          <w:b w:val="0"/>
          <w:color w:val="auto"/>
          <w:sz w:val="22"/>
          <w:szCs w:val="22"/>
        </w:rPr>
      </w:pPr>
    </w:p>
    <w:p w:rsidR="00242D21" w:rsidRPr="0009785A" w:rsidRDefault="00242D21" w:rsidP="00242D21">
      <w:pPr>
        <w:pStyle w:val="ATAHeading2"/>
        <w:numPr>
          <w:ilvl w:val="0"/>
          <w:numId w:val="0"/>
        </w:numPr>
        <w:spacing w:before="0" w:after="0" w:line="240" w:lineRule="auto"/>
        <w:rPr>
          <w:b w:val="0"/>
          <w:color w:val="auto"/>
          <w:sz w:val="22"/>
          <w:szCs w:val="22"/>
        </w:rPr>
      </w:pPr>
    </w:p>
    <w:p w:rsidR="00242D21" w:rsidRPr="00540454" w:rsidRDefault="00242D21" w:rsidP="00242D21">
      <w:pPr>
        <w:pStyle w:val="NormalWeb"/>
        <w:spacing w:before="0" w:beforeAutospacing="0" w:after="0" w:afterAutospacing="0"/>
        <w:rPr>
          <w:rFonts w:ascii="Arial" w:hAnsi="Arial" w:cs="Arial"/>
          <w:b/>
          <w:iCs/>
          <w:sz w:val="22"/>
          <w:szCs w:val="22"/>
        </w:rPr>
      </w:pPr>
      <w:bookmarkStart w:id="6" w:name="_Toc377118304"/>
      <w:bookmarkStart w:id="7" w:name="_Toc377461077"/>
      <w:r w:rsidRPr="00540454">
        <w:rPr>
          <w:rFonts w:ascii="Arial" w:hAnsi="Arial" w:cs="Arial"/>
          <w:b/>
          <w:iCs/>
          <w:sz w:val="22"/>
          <w:szCs w:val="22"/>
        </w:rPr>
        <w:t>Recommendation 1</w:t>
      </w:r>
    </w:p>
    <w:p w:rsidR="00242D21" w:rsidRPr="00540454" w:rsidRDefault="00242D21" w:rsidP="00242D21">
      <w:pPr>
        <w:pStyle w:val="NormalWeb"/>
        <w:spacing w:before="0" w:beforeAutospacing="0" w:after="0" w:afterAutospacing="0"/>
        <w:rPr>
          <w:rFonts w:ascii="Arial" w:hAnsi="Arial" w:cs="Arial"/>
          <w:b/>
          <w:i/>
          <w:iCs/>
          <w:sz w:val="22"/>
          <w:szCs w:val="22"/>
        </w:rPr>
      </w:pPr>
    </w:p>
    <w:p w:rsidR="00242D21" w:rsidRPr="00540454" w:rsidRDefault="00242D21" w:rsidP="00242D21">
      <w:pPr>
        <w:pStyle w:val="NormalWeb"/>
        <w:spacing w:before="0" w:beforeAutospacing="0" w:after="0" w:afterAutospacing="0"/>
        <w:rPr>
          <w:rFonts w:ascii="Arial" w:hAnsi="Arial" w:cs="Arial"/>
          <w:iCs/>
          <w:sz w:val="22"/>
          <w:szCs w:val="22"/>
        </w:rPr>
      </w:pPr>
      <w:r w:rsidRPr="00540454">
        <w:rPr>
          <w:rFonts w:ascii="Arial" w:hAnsi="Arial" w:cs="Arial"/>
          <w:iCs/>
          <w:sz w:val="22"/>
          <w:szCs w:val="22"/>
        </w:rPr>
        <w:t xml:space="preserve">The Government should </w:t>
      </w:r>
      <w:r w:rsidR="00E924CE">
        <w:rPr>
          <w:rFonts w:ascii="Arial" w:hAnsi="Arial" w:cs="Arial"/>
          <w:iCs/>
          <w:sz w:val="22"/>
          <w:szCs w:val="22"/>
        </w:rPr>
        <w:t xml:space="preserve">reduce the road user charge to </w:t>
      </w:r>
      <w:r w:rsidR="00604795">
        <w:rPr>
          <w:rFonts w:ascii="Arial" w:hAnsi="Arial" w:cs="Arial"/>
          <w:iCs/>
          <w:sz w:val="22"/>
          <w:szCs w:val="22"/>
        </w:rPr>
        <w:t>25.9</w:t>
      </w:r>
      <w:r w:rsidR="002E4551">
        <w:rPr>
          <w:rFonts w:ascii="Arial" w:hAnsi="Arial" w:cs="Arial"/>
          <w:iCs/>
          <w:sz w:val="22"/>
          <w:szCs w:val="22"/>
        </w:rPr>
        <w:t xml:space="preserve"> cents per litre</w:t>
      </w:r>
      <w:r w:rsidR="00E924CE">
        <w:rPr>
          <w:rFonts w:ascii="Arial" w:hAnsi="Arial" w:cs="Arial"/>
          <w:iCs/>
          <w:sz w:val="22"/>
          <w:szCs w:val="22"/>
        </w:rPr>
        <w:t xml:space="preserve"> in 2016-17 and 25.3 c</w:t>
      </w:r>
      <w:r w:rsidR="002E4551">
        <w:rPr>
          <w:rFonts w:ascii="Arial" w:hAnsi="Arial" w:cs="Arial"/>
          <w:iCs/>
          <w:sz w:val="22"/>
          <w:szCs w:val="22"/>
        </w:rPr>
        <w:t>ents per litre</w:t>
      </w:r>
      <w:r w:rsidR="00E924CE">
        <w:rPr>
          <w:rFonts w:ascii="Arial" w:hAnsi="Arial" w:cs="Arial"/>
          <w:iCs/>
          <w:sz w:val="22"/>
          <w:szCs w:val="22"/>
        </w:rPr>
        <w:t xml:space="preserve"> in 2017-18.</w:t>
      </w:r>
    </w:p>
    <w:bookmarkEnd w:id="6"/>
    <w:bookmarkEnd w:id="7"/>
    <w:p w:rsidR="00242D21" w:rsidRPr="00B41E03" w:rsidRDefault="00242D21" w:rsidP="00242D21">
      <w:pPr>
        <w:pStyle w:val="Heading1"/>
        <w:numPr>
          <w:ilvl w:val="0"/>
          <w:numId w:val="0"/>
        </w:numPr>
        <w:rPr>
          <w:b w:val="0"/>
          <w:color w:val="auto"/>
          <w:sz w:val="22"/>
          <w:szCs w:val="22"/>
        </w:rPr>
      </w:pPr>
    </w:p>
    <w:p w:rsidR="00606FFD" w:rsidRDefault="00606FFD" w:rsidP="00B41E03">
      <w:pPr>
        <w:rPr>
          <w:rFonts w:ascii="Arial" w:hAnsi="Arial" w:cs="Arial"/>
        </w:rPr>
      </w:pPr>
    </w:p>
    <w:p w:rsidR="00222A5F" w:rsidRPr="00E816A2" w:rsidRDefault="00222A5F" w:rsidP="00E816A2">
      <w:pPr>
        <w:pStyle w:val="Heading2"/>
        <w:spacing w:before="0"/>
        <w:rPr>
          <w:rFonts w:ascii="Arial" w:hAnsi="Arial" w:cs="Arial"/>
          <w:b w:val="0"/>
          <w:color w:val="auto"/>
          <w:sz w:val="22"/>
          <w:szCs w:val="22"/>
        </w:rPr>
      </w:pPr>
      <w:bookmarkStart w:id="8" w:name="_Toc442434867"/>
      <w:r w:rsidRPr="00E816A2">
        <w:rPr>
          <w:rFonts w:ascii="Arial" w:hAnsi="Arial" w:cs="Arial"/>
          <w:color w:val="auto"/>
          <w:sz w:val="22"/>
          <w:szCs w:val="22"/>
        </w:rPr>
        <w:t xml:space="preserve">Increasing funding for heavy vehicle productivity </w:t>
      </w:r>
      <w:r w:rsidR="00E816A2" w:rsidRPr="00E816A2">
        <w:rPr>
          <w:rFonts w:ascii="Arial" w:hAnsi="Arial" w:cs="Arial"/>
          <w:color w:val="auto"/>
          <w:sz w:val="22"/>
          <w:szCs w:val="22"/>
        </w:rPr>
        <w:t>projects</w:t>
      </w:r>
      <w:bookmarkEnd w:id="8"/>
    </w:p>
    <w:p w:rsidR="00222A5F" w:rsidRDefault="00222A5F" w:rsidP="00B41E03">
      <w:pPr>
        <w:rPr>
          <w:rFonts w:ascii="Arial" w:hAnsi="Arial" w:cs="Arial"/>
        </w:rPr>
      </w:pPr>
    </w:p>
    <w:p w:rsidR="00596DBF" w:rsidRDefault="00596DBF" w:rsidP="00B41E03">
      <w:pPr>
        <w:rPr>
          <w:rFonts w:ascii="Arial" w:hAnsi="Arial" w:cs="Arial"/>
        </w:rPr>
      </w:pPr>
      <w:r>
        <w:rPr>
          <w:rFonts w:ascii="Arial" w:hAnsi="Arial" w:cs="Arial"/>
        </w:rPr>
        <w:t>The Australian Government has two infrastructure programs that target heavy vehicle productivity.</w:t>
      </w:r>
    </w:p>
    <w:p w:rsidR="00596DBF" w:rsidRDefault="00596DBF" w:rsidP="00B41E03">
      <w:pPr>
        <w:rPr>
          <w:rFonts w:ascii="Arial" w:hAnsi="Arial" w:cs="Arial"/>
        </w:rPr>
      </w:pPr>
    </w:p>
    <w:p w:rsidR="005C77F4" w:rsidRPr="005C77F4" w:rsidRDefault="00596DBF" w:rsidP="005C77F4">
      <w:pPr>
        <w:rPr>
          <w:rFonts w:ascii="Arial" w:hAnsi="Arial" w:cs="Arial"/>
        </w:rPr>
      </w:pPr>
      <w:r>
        <w:rPr>
          <w:rFonts w:ascii="Arial" w:hAnsi="Arial" w:cs="Arial"/>
        </w:rPr>
        <w:t xml:space="preserve">The Heavy Vehicle Safety and Productivity Program (HVSPP) </w:t>
      </w:r>
      <w:r w:rsidR="005C77F4">
        <w:rPr>
          <w:rFonts w:ascii="Arial" w:hAnsi="Arial" w:cs="Arial"/>
        </w:rPr>
        <w:t xml:space="preserve">aims </w:t>
      </w:r>
      <w:r w:rsidR="005C77F4" w:rsidRPr="005C77F4">
        <w:rPr>
          <w:rFonts w:ascii="Arial" w:hAnsi="Arial" w:cs="Arial"/>
        </w:rPr>
        <w:t>to</w:t>
      </w:r>
      <w:r w:rsidR="005C77F4">
        <w:rPr>
          <w:rFonts w:ascii="Arial" w:hAnsi="Arial" w:cs="Arial"/>
        </w:rPr>
        <w:t xml:space="preserve"> i</w:t>
      </w:r>
      <w:r w:rsidR="005C77F4" w:rsidRPr="005C77F4">
        <w:rPr>
          <w:rFonts w:ascii="Arial" w:hAnsi="Arial" w:cs="Arial"/>
        </w:rPr>
        <w:t xml:space="preserve">ncrease </w:t>
      </w:r>
      <w:r w:rsidR="005C77F4">
        <w:rPr>
          <w:rFonts w:ascii="Arial" w:hAnsi="Arial" w:cs="Arial"/>
        </w:rPr>
        <w:t xml:space="preserve">the </w:t>
      </w:r>
      <w:r w:rsidR="005C77F4" w:rsidRPr="005C77F4">
        <w:rPr>
          <w:rFonts w:ascii="Arial" w:hAnsi="Arial" w:cs="Arial"/>
        </w:rPr>
        <w:t xml:space="preserve">productivity of heavy vehicles by enhancing the capacity of existing roads and improving </w:t>
      </w:r>
      <w:r w:rsidR="005C77F4">
        <w:rPr>
          <w:rFonts w:ascii="Arial" w:hAnsi="Arial" w:cs="Arial"/>
        </w:rPr>
        <w:t>connections to freight networks,</w:t>
      </w:r>
      <w:r w:rsidR="005C77F4" w:rsidRPr="005C77F4">
        <w:rPr>
          <w:rFonts w:ascii="Arial" w:hAnsi="Arial" w:cs="Arial"/>
        </w:rPr>
        <w:t xml:space="preserve"> and</w:t>
      </w:r>
      <w:r w:rsidR="005C77F4">
        <w:rPr>
          <w:rFonts w:ascii="Arial" w:hAnsi="Arial" w:cs="Arial"/>
        </w:rPr>
        <w:t xml:space="preserve"> </w:t>
      </w:r>
      <w:r w:rsidR="00E816A2">
        <w:rPr>
          <w:rFonts w:ascii="Arial" w:hAnsi="Arial" w:cs="Arial"/>
        </w:rPr>
        <w:t xml:space="preserve">also seeks to </w:t>
      </w:r>
      <w:r w:rsidR="005C77F4">
        <w:rPr>
          <w:rFonts w:ascii="Arial" w:hAnsi="Arial" w:cs="Arial"/>
        </w:rPr>
        <w:t>i</w:t>
      </w:r>
      <w:r w:rsidR="005C77F4" w:rsidRPr="005C77F4">
        <w:rPr>
          <w:rFonts w:ascii="Arial" w:hAnsi="Arial" w:cs="Arial"/>
        </w:rPr>
        <w:t xml:space="preserve">mprove the safety environment for </w:t>
      </w:r>
      <w:r w:rsidR="00E816A2">
        <w:rPr>
          <w:rFonts w:ascii="Arial" w:hAnsi="Arial" w:cs="Arial"/>
        </w:rPr>
        <w:t>the industry and its drivers</w:t>
      </w:r>
      <w:r w:rsidR="005C77F4" w:rsidRPr="005C77F4">
        <w:rPr>
          <w:rFonts w:ascii="Arial" w:hAnsi="Arial" w:cs="Arial"/>
        </w:rPr>
        <w:t>.</w:t>
      </w:r>
      <w:r w:rsidR="005C77F4">
        <w:rPr>
          <w:rFonts w:ascii="Arial" w:hAnsi="Arial" w:cs="Arial"/>
        </w:rPr>
        <w:t xml:space="preserve"> Round 5 of </w:t>
      </w:r>
      <w:r w:rsidR="00946124">
        <w:rPr>
          <w:rFonts w:ascii="Arial" w:hAnsi="Arial" w:cs="Arial"/>
        </w:rPr>
        <w:t>the program closes on 10</w:t>
      </w:r>
      <w:r w:rsidR="005C77F4">
        <w:rPr>
          <w:rFonts w:ascii="Arial" w:hAnsi="Arial" w:cs="Arial"/>
        </w:rPr>
        <w:t xml:space="preserve"> February 2016.</w:t>
      </w:r>
    </w:p>
    <w:p w:rsidR="00596DBF" w:rsidRDefault="00596DBF" w:rsidP="00B41E03">
      <w:pPr>
        <w:rPr>
          <w:rFonts w:ascii="Arial" w:hAnsi="Arial" w:cs="Arial"/>
        </w:rPr>
      </w:pPr>
    </w:p>
    <w:p w:rsidR="00596DBF" w:rsidRDefault="00596DBF" w:rsidP="00B41E03">
      <w:pPr>
        <w:rPr>
          <w:rFonts w:ascii="Arial" w:hAnsi="Arial" w:cs="Arial"/>
        </w:rPr>
      </w:pPr>
      <w:r>
        <w:rPr>
          <w:rFonts w:ascii="Arial" w:hAnsi="Arial" w:cs="Arial"/>
        </w:rPr>
        <w:t xml:space="preserve">The </w:t>
      </w:r>
      <w:r w:rsidR="005C77F4" w:rsidRPr="005C77F4">
        <w:rPr>
          <w:rFonts w:ascii="Arial" w:hAnsi="Arial" w:cs="Arial"/>
        </w:rPr>
        <w:t>objectives of the B</w:t>
      </w:r>
      <w:r w:rsidR="00E816A2">
        <w:rPr>
          <w:rFonts w:ascii="Arial" w:hAnsi="Arial" w:cs="Arial"/>
        </w:rPr>
        <w:t>ridges Renewal Program (BRP)</w:t>
      </w:r>
      <w:r w:rsidR="005C77F4" w:rsidRPr="005C77F4">
        <w:rPr>
          <w:rFonts w:ascii="Arial" w:hAnsi="Arial" w:cs="Arial"/>
        </w:rPr>
        <w:t xml:space="preserve"> are to contribute to the productivity of br</w:t>
      </w:r>
      <w:r w:rsidR="005C77F4">
        <w:rPr>
          <w:rFonts w:ascii="Arial" w:hAnsi="Arial" w:cs="Arial"/>
        </w:rPr>
        <w:t>idges serving local communities</w:t>
      </w:r>
      <w:r w:rsidR="005C77F4" w:rsidRPr="005C77F4">
        <w:rPr>
          <w:rFonts w:ascii="Arial" w:hAnsi="Arial" w:cs="Arial"/>
        </w:rPr>
        <w:t xml:space="preserve"> and facilitate higher productivity vehicle access.</w:t>
      </w:r>
      <w:r w:rsidR="005C77F4">
        <w:rPr>
          <w:rFonts w:ascii="Arial" w:hAnsi="Arial" w:cs="Arial"/>
        </w:rPr>
        <w:t xml:space="preserve"> </w:t>
      </w:r>
      <w:r w:rsidR="00E816A2">
        <w:rPr>
          <w:rFonts w:ascii="Arial" w:hAnsi="Arial" w:cs="Arial"/>
        </w:rPr>
        <w:t xml:space="preserve">The program also aims to improve access for local communities. </w:t>
      </w:r>
      <w:r w:rsidR="005C77F4">
        <w:rPr>
          <w:rFonts w:ascii="Arial" w:hAnsi="Arial" w:cs="Arial"/>
        </w:rPr>
        <w:t>The projects funded under round 2 of the BRP were announced in January 2016.</w:t>
      </w:r>
    </w:p>
    <w:p w:rsidR="00596DBF" w:rsidRPr="00177BE9" w:rsidRDefault="00596DBF" w:rsidP="00B41E03">
      <w:pPr>
        <w:rPr>
          <w:rFonts w:ascii="Arial" w:hAnsi="Arial" w:cs="Arial"/>
        </w:rPr>
      </w:pPr>
    </w:p>
    <w:p w:rsidR="00E924CE" w:rsidRPr="00177BE9" w:rsidRDefault="00222A5F" w:rsidP="009D1601">
      <w:pPr>
        <w:rPr>
          <w:rFonts w:ascii="Arial" w:hAnsi="Arial" w:cs="Arial"/>
        </w:rPr>
      </w:pPr>
      <w:r>
        <w:rPr>
          <w:rFonts w:ascii="Arial" w:hAnsi="Arial" w:cs="Arial"/>
          <w:color w:val="000000" w:themeColor="text1"/>
        </w:rPr>
        <w:t xml:space="preserve">The ATA proposes that the Government should address its over-recovery of charges from truck and bus operators by increasing </w:t>
      </w:r>
      <w:r w:rsidR="00604795">
        <w:rPr>
          <w:rFonts w:ascii="Arial" w:hAnsi="Arial" w:cs="Arial"/>
          <w:color w:val="000000" w:themeColor="text1"/>
        </w:rPr>
        <w:t xml:space="preserve">its </w:t>
      </w:r>
      <w:r>
        <w:rPr>
          <w:rFonts w:ascii="Arial" w:hAnsi="Arial" w:cs="Arial"/>
          <w:color w:val="000000" w:themeColor="text1"/>
        </w:rPr>
        <w:t>funding for the</w:t>
      </w:r>
      <w:r w:rsidR="005C77F4">
        <w:rPr>
          <w:rFonts w:ascii="Arial" w:hAnsi="Arial" w:cs="Arial"/>
          <w:color w:val="000000" w:themeColor="text1"/>
        </w:rPr>
        <w:t>se programs in 2016-17 and 2017-18.</w:t>
      </w:r>
      <w:r w:rsidR="005C77F4" w:rsidRPr="00177BE9">
        <w:rPr>
          <w:rFonts w:ascii="Arial" w:hAnsi="Arial" w:cs="Arial"/>
        </w:rPr>
        <w:t xml:space="preserve"> </w:t>
      </w:r>
    </w:p>
    <w:p w:rsidR="00177BE9" w:rsidRDefault="00177BE9" w:rsidP="009D1601">
      <w:pPr>
        <w:rPr>
          <w:rFonts w:ascii="Arial" w:hAnsi="Arial" w:cs="Arial"/>
          <w:color w:val="000000" w:themeColor="text1"/>
        </w:rPr>
      </w:pPr>
    </w:p>
    <w:p w:rsidR="00177BE9" w:rsidRDefault="00177BE9" w:rsidP="009D1601">
      <w:pPr>
        <w:rPr>
          <w:rFonts w:ascii="Arial" w:hAnsi="Arial" w:cs="Arial"/>
          <w:color w:val="000000" w:themeColor="text1"/>
        </w:rPr>
      </w:pPr>
      <w:r>
        <w:rPr>
          <w:rFonts w:ascii="Arial" w:hAnsi="Arial" w:cs="Arial"/>
          <w:color w:val="000000" w:themeColor="text1"/>
        </w:rPr>
        <w:t>This would see</w:t>
      </w:r>
      <w:r w:rsidR="00604795">
        <w:rPr>
          <w:rFonts w:ascii="Arial" w:hAnsi="Arial" w:cs="Arial"/>
          <w:color w:val="000000" w:themeColor="text1"/>
        </w:rPr>
        <w:t xml:space="preserve"> the</w:t>
      </w:r>
      <w:r>
        <w:rPr>
          <w:rFonts w:ascii="Arial" w:hAnsi="Arial" w:cs="Arial"/>
          <w:color w:val="000000" w:themeColor="text1"/>
        </w:rPr>
        <w:t xml:space="preserve"> funding for these programs increase as follows:</w:t>
      </w:r>
    </w:p>
    <w:p w:rsidR="00E924CE" w:rsidRDefault="00E924CE" w:rsidP="009D1601">
      <w:pPr>
        <w:rPr>
          <w:rFonts w:ascii="Arial" w:hAnsi="Arial" w:cs="Arial"/>
          <w:color w:val="000000" w:themeColor="text1"/>
        </w:rPr>
      </w:pPr>
    </w:p>
    <w:p w:rsidR="0041041B" w:rsidRDefault="0041041B" w:rsidP="009D1601">
      <w:pPr>
        <w:rPr>
          <w:rFonts w:ascii="Arial" w:hAnsi="Arial" w:cs="Arial"/>
          <w:color w:val="000000" w:themeColor="text1"/>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1"/>
        <w:gridCol w:w="1701"/>
        <w:gridCol w:w="1559"/>
        <w:gridCol w:w="1559"/>
      </w:tblGrid>
      <w:tr w:rsidR="00604795" w:rsidTr="00604795">
        <w:tc>
          <w:tcPr>
            <w:tcW w:w="9634" w:type="dxa"/>
            <w:gridSpan w:val="5"/>
            <w:tcBorders>
              <w:bottom w:val="single" w:sz="4" w:space="0" w:color="auto"/>
            </w:tcBorders>
          </w:tcPr>
          <w:p w:rsidR="00604795" w:rsidRPr="00604795" w:rsidRDefault="00E816A2" w:rsidP="00604795">
            <w:pPr>
              <w:ind w:left="459" w:hanging="459"/>
              <w:rPr>
                <w:rFonts w:ascii="Arial" w:hAnsi="Arial" w:cs="Arial"/>
                <w:b/>
                <w:color w:val="000000" w:themeColor="text1"/>
                <w:sz w:val="20"/>
                <w:szCs w:val="20"/>
              </w:rPr>
            </w:pPr>
            <w:r>
              <w:rPr>
                <w:rFonts w:ascii="Arial" w:hAnsi="Arial" w:cs="Arial"/>
                <w:b/>
                <w:color w:val="000000" w:themeColor="text1"/>
                <w:sz w:val="20"/>
                <w:szCs w:val="20"/>
              </w:rPr>
              <w:t>Table 2: I</w:t>
            </w:r>
            <w:r w:rsidR="00604795" w:rsidRPr="00604795">
              <w:rPr>
                <w:rFonts w:ascii="Arial" w:hAnsi="Arial" w:cs="Arial"/>
                <w:b/>
                <w:color w:val="000000" w:themeColor="text1"/>
                <w:sz w:val="20"/>
                <w:szCs w:val="20"/>
              </w:rPr>
              <w:t>ncreased funding for the HVSPP and BRP</w:t>
            </w:r>
          </w:p>
        </w:tc>
      </w:tr>
      <w:tr w:rsidR="0041041B" w:rsidTr="002B3C02">
        <w:tc>
          <w:tcPr>
            <w:tcW w:w="3114" w:type="dxa"/>
            <w:tcBorders>
              <w:top w:val="single" w:sz="4" w:space="0" w:color="auto"/>
              <w:bottom w:val="single" w:sz="4" w:space="0" w:color="auto"/>
            </w:tcBorders>
          </w:tcPr>
          <w:p w:rsidR="0041041B" w:rsidRDefault="0041041B" w:rsidP="009D1601">
            <w:pPr>
              <w:rPr>
                <w:rFonts w:ascii="Arial" w:hAnsi="Arial" w:cs="Arial"/>
                <w:color w:val="000000" w:themeColor="text1"/>
              </w:rPr>
            </w:pPr>
          </w:p>
        </w:tc>
        <w:tc>
          <w:tcPr>
            <w:tcW w:w="1701" w:type="dxa"/>
            <w:tcBorders>
              <w:top w:val="single" w:sz="4" w:space="0" w:color="auto"/>
              <w:bottom w:val="single" w:sz="4" w:space="0" w:color="auto"/>
            </w:tcBorders>
          </w:tcPr>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2016-17</w:t>
            </w:r>
          </w:p>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$m</w:t>
            </w:r>
          </w:p>
        </w:tc>
        <w:tc>
          <w:tcPr>
            <w:tcW w:w="1701" w:type="dxa"/>
            <w:tcBorders>
              <w:top w:val="single" w:sz="4" w:space="0" w:color="auto"/>
              <w:bottom w:val="single" w:sz="4" w:space="0" w:color="auto"/>
            </w:tcBorders>
          </w:tcPr>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2017-18</w:t>
            </w:r>
          </w:p>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$m</w:t>
            </w:r>
          </w:p>
        </w:tc>
        <w:tc>
          <w:tcPr>
            <w:tcW w:w="1559" w:type="dxa"/>
            <w:tcBorders>
              <w:top w:val="single" w:sz="4" w:space="0" w:color="auto"/>
              <w:bottom w:val="single" w:sz="4" w:space="0" w:color="auto"/>
            </w:tcBorders>
          </w:tcPr>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2018-19</w:t>
            </w:r>
          </w:p>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$m</w:t>
            </w:r>
          </w:p>
        </w:tc>
        <w:tc>
          <w:tcPr>
            <w:tcW w:w="1559" w:type="dxa"/>
            <w:tcBorders>
              <w:top w:val="single" w:sz="4" w:space="0" w:color="auto"/>
              <w:bottom w:val="single" w:sz="4" w:space="0" w:color="auto"/>
            </w:tcBorders>
          </w:tcPr>
          <w:p w:rsidR="0041041B" w:rsidRPr="0041041B" w:rsidRDefault="0041041B" w:rsidP="0041041B">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2019-20</w:t>
            </w:r>
          </w:p>
          <w:p w:rsidR="002B3C02" w:rsidRPr="0041041B" w:rsidRDefault="0041041B" w:rsidP="002B3C02">
            <w:pPr>
              <w:ind w:left="459" w:hanging="459"/>
              <w:jc w:val="right"/>
              <w:rPr>
                <w:rFonts w:ascii="Arial" w:hAnsi="Arial" w:cs="Arial"/>
                <w:color w:val="000000" w:themeColor="text1"/>
                <w:sz w:val="20"/>
                <w:szCs w:val="20"/>
              </w:rPr>
            </w:pPr>
            <w:r w:rsidRPr="0041041B">
              <w:rPr>
                <w:rFonts w:ascii="Arial" w:hAnsi="Arial" w:cs="Arial"/>
                <w:color w:val="000000" w:themeColor="text1"/>
                <w:sz w:val="20"/>
                <w:szCs w:val="20"/>
              </w:rPr>
              <w:t>$m</w:t>
            </w:r>
          </w:p>
        </w:tc>
      </w:tr>
      <w:tr w:rsidR="0041041B" w:rsidTr="002B3C02">
        <w:tc>
          <w:tcPr>
            <w:tcW w:w="3114" w:type="dxa"/>
            <w:tcBorders>
              <w:top w:val="single" w:sz="4" w:space="0" w:color="auto"/>
              <w:bottom w:val="single" w:sz="4" w:space="0" w:color="auto"/>
            </w:tcBorders>
          </w:tcPr>
          <w:p w:rsidR="0041041B" w:rsidRPr="002B3C02" w:rsidRDefault="002B3C02" w:rsidP="009D1601">
            <w:pPr>
              <w:rPr>
                <w:rFonts w:ascii="Arial" w:hAnsi="Arial" w:cs="Arial"/>
                <w:color w:val="000000" w:themeColor="text1"/>
                <w:sz w:val="20"/>
                <w:szCs w:val="20"/>
              </w:rPr>
            </w:pPr>
            <w:r w:rsidRPr="002B3C02">
              <w:rPr>
                <w:rFonts w:ascii="Arial" w:hAnsi="Arial" w:cs="Arial"/>
                <w:color w:val="000000" w:themeColor="text1"/>
                <w:sz w:val="20"/>
                <w:szCs w:val="20"/>
              </w:rPr>
              <w:t>Increase in funding for the HVSPP and BRP</w:t>
            </w:r>
          </w:p>
        </w:tc>
        <w:tc>
          <w:tcPr>
            <w:tcW w:w="1701" w:type="dxa"/>
            <w:tcBorders>
              <w:top w:val="single" w:sz="4" w:space="0" w:color="auto"/>
              <w:bottom w:val="single" w:sz="4" w:space="0" w:color="auto"/>
            </w:tcBorders>
          </w:tcPr>
          <w:p w:rsidR="0041041B" w:rsidRPr="0041041B" w:rsidRDefault="002B3C02" w:rsidP="0041041B">
            <w:pPr>
              <w:ind w:left="459" w:hanging="459"/>
              <w:jc w:val="right"/>
              <w:rPr>
                <w:rFonts w:ascii="Arial" w:hAnsi="Arial" w:cs="Arial"/>
                <w:color w:val="000000" w:themeColor="text1"/>
                <w:sz w:val="20"/>
                <w:szCs w:val="20"/>
              </w:rPr>
            </w:pPr>
            <w:r>
              <w:rPr>
                <w:rFonts w:ascii="Arial" w:hAnsi="Arial" w:cs="Arial"/>
                <w:color w:val="000000" w:themeColor="text1"/>
                <w:sz w:val="20"/>
                <w:szCs w:val="20"/>
              </w:rPr>
              <w:t>49.0</w:t>
            </w:r>
          </w:p>
        </w:tc>
        <w:tc>
          <w:tcPr>
            <w:tcW w:w="1701" w:type="dxa"/>
            <w:tcBorders>
              <w:top w:val="single" w:sz="4" w:space="0" w:color="auto"/>
              <w:bottom w:val="single" w:sz="4" w:space="0" w:color="auto"/>
            </w:tcBorders>
          </w:tcPr>
          <w:p w:rsidR="0041041B" w:rsidRPr="0041041B" w:rsidRDefault="002B3C02" w:rsidP="0041041B">
            <w:pPr>
              <w:ind w:left="459" w:hanging="459"/>
              <w:jc w:val="right"/>
              <w:rPr>
                <w:rFonts w:ascii="Arial" w:hAnsi="Arial" w:cs="Arial"/>
                <w:color w:val="000000" w:themeColor="text1"/>
                <w:sz w:val="20"/>
                <w:szCs w:val="20"/>
              </w:rPr>
            </w:pPr>
            <w:r>
              <w:rPr>
                <w:rFonts w:ascii="Arial" w:hAnsi="Arial" w:cs="Arial"/>
                <w:color w:val="000000" w:themeColor="text1"/>
                <w:sz w:val="20"/>
                <w:szCs w:val="20"/>
              </w:rPr>
              <w:t>52.1</w:t>
            </w:r>
          </w:p>
        </w:tc>
        <w:tc>
          <w:tcPr>
            <w:tcW w:w="1559" w:type="dxa"/>
            <w:tcBorders>
              <w:top w:val="single" w:sz="4" w:space="0" w:color="auto"/>
              <w:bottom w:val="single" w:sz="4" w:space="0" w:color="auto"/>
            </w:tcBorders>
          </w:tcPr>
          <w:p w:rsidR="0041041B" w:rsidRPr="0041041B" w:rsidRDefault="002B3C02" w:rsidP="0041041B">
            <w:pPr>
              <w:ind w:left="459" w:hanging="459"/>
              <w:jc w:val="right"/>
              <w:rPr>
                <w:rFonts w:ascii="Arial" w:hAnsi="Arial" w:cs="Arial"/>
                <w:color w:val="000000" w:themeColor="text1"/>
                <w:sz w:val="20"/>
                <w:szCs w:val="20"/>
              </w:rPr>
            </w:pPr>
            <w:r>
              <w:rPr>
                <w:rFonts w:ascii="Arial" w:hAnsi="Arial" w:cs="Arial"/>
                <w:color w:val="000000" w:themeColor="text1"/>
                <w:sz w:val="20"/>
                <w:szCs w:val="20"/>
              </w:rPr>
              <w:t>--</w:t>
            </w:r>
          </w:p>
        </w:tc>
        <w:tc>
          <w:tcPr>
            <w:tcW w:w="1559" w:type="dxa"/>
            <w:tcBorders>
              <w:top w:val="single" w:sz="4" w:space="0" w:color="auto"/>
              <w:bottom w:val="single" w:sz="4" w:space="0" w:color="auto"/>
            </w:tcBorders>
          </w:tcPr>
          <w:p w:rsidR="0041041B" w:rsidRPr="0041041B" w:rsidRDefault="002B3C02" w:rsidP="0041041B">
            <w:pPr>
              <w:ind w:left="459" w:hanging="459"/>
              <w:jc w:val="right"/>
              <w:rPr>
                <w:rFonts w:ascii="Arial" w:hAnsi="Arial" w:cs="Arial"/>
                <w:color w:val="000000" w:themeColor="text1"/>
                <w:sz w:val="20"/>
                <w:szCs w:val="20"/>
              </w:rPr>
            </w:pPr>
            <w:r>
              <w:rPr>
                <w:rFonts w:ascii="Arial" w:hAnsi="Arial" w:cs="Arial"/>
                <w:color w:val="000000" w:themeColor="text1"/>
                <w:sz w:val="20"/>
                <w:szCs w:val="20"/>
              </w:rPr>
              <w:t>--</w:t>
            </w:r>
          </w:p>
        </w:tc>
      </w:tr>
    </w:tbl>
    <w:p w:rsidR="0041041B" w:rsidRDefault="0041041B" w:rsidP="009D1601">
      <w:pPr>
        <w:rPr>
          <w:rFonts w:ascii="Arial" w:hAnsi="Arial" w:cs="Arial"/>
          <w:color w:val="000000" w:themeColor="text1"/>
        </w:rPr>
      </w:pPr>
    </w:p>
    <w:p w:rsidR="008045A8" w:rsidRDefault="008045A8" w:rsidP="00665680">
      <w:pPr>
        <w:rPr>
          <w:rFonts w:ascii="Arial" w:eastAsiaTheme="minorHAnsi" w:hAnsi="Arial" w:cs="Arial"/>
        </w:rPr>
      </w:pPr>
    </w:p>
    <w:p w:rsidR="00177BE9" w:rsidRPr="00177BE9" w:rsidRDefault="00177BE9" w:rsidP="00665680">
      <w:pPr>
        <w:rPr>
          <w:rFonts w:ascii="Arial" w:eastAsiaTheme="minorHAnsi" w:hAnsi="Arial" w:cs="Arial"/>
          <w:b/>
        </w:rPr>
      </w:pPr>
      <w:r w:rsidRPr="00177BE9">
        <w:rPr>
          <w:rFonts w:ascii="Arial" w:eastAsiaTheme="minorHAnsi" w:hAnsi="Arial" w:cs="Arial"/>
          <w:b/>
        </w:rPr>
        <w:t>Recommendation 2</w:t>
      </w:r>
    </w:p>
    <w:p w:rsidR="00177BE9" w:rsidRDefault="00177BE9" w:rsidP="00665680">
      <w:pPr>
        <w:rPr>
          <w:rFonts w:ascii="Arial" w:eastAsiaTheme="minorHAnsi" w:hAnsi="Arial" w:cs="Arial"/>
        </w:rPr>
      </w:pPr>
    </w:p>
    <w:p w:rsidR="00177BE9" w:rsidRDefault="00177BE9" w:rsidP="00665680">
      <w:pPr>
        <w:rPr>
          <w:rFonts w:ascii="Arial" w:eastAsiaTheme="minorHAnsi" w:hAnsi="Arial" w:cs="Arial"/>
        </w:rPr>
      </w:pPr>
      <w:r>
        <w:rPr>
          <w:rFonts w:ascii="Arial" w:eastAsiaTheme="minorHAnsi" w:hAnsi="Arial" w:cs="Arial"/>
        </w:rPr>
        <w:t xml:space="preserve">The Government should increase </w:t>
      </w:r>
      <w:r w:rsidR="005350B5">
        <w:rPr>
          <w:rFonts w:ascii="Arial" w:eastAsiaTheme="minorHAnsi" w:hAnsi="Arial" w:cs="Arial"/>
        </w:rPr>
        <w:t xml:space="preserve">its </w:t>
      </w:r>
      <w:r>
        <w:rPr>
          <w:rFonts w:ascii="Arial" w:eastAsiaTheme="minorHAnsi" w:hAnsi="Arial" w:cs="Arial"/>
        </w:rPr>
        <w:t>funding for the HVSPP and productiv</w:t>
      </w:r>
      <w:r w:rsidR="0041041B">
        <w:rPr>
          <w:rFonts w:ascii="Arial" w:eastAsiaTheme="minorHAnsi" w:hAnsi="Arial" w:cs="Arial"/>
        </w:rPr>
        <w:t>ity projects under the BRP by $49</w:t>
      </w:r>
      <w:r w:rsidR="005350B5">
        <w:rPr>
          <w:rFonts w:ascii="Arial" w:eastAsiaTheme="minorHAnsi" w:hAnsi="Arial" w:cs="Arial"/>
        </w:rPr>
        <w:t>.0</w:t>
      </w:r>
      <w:r>
        <w:rPr>
          <w:rFonts w:ascii="Arial" w:eastAsiaTheme="minorHAnsi" w:hAnsi="Arial" w:cs="Arial"/>
        </w:rPr>
        <w:t xml:space="preserve"> million in 2016-17</w:t>
      </w:r>
      <w:r w:rsidR="0041041B">
        <w:rPr>
          <w:rFonts w:ascii="Arial" w:eastAsiaTheme="minorHAnsi" w:hAnsi="Arial" w:cs="Arial"/>
        </w:rPr>
        <w:t xml:space="preserve"> and $52.1</w:t>
      </w:r>
      <w:r>
        <w:rPr>
          <w:rFonts w:ascii="Arial" w:eastAsiaTheme="minorHAnsi" w:hAnsi="Arial" w:cs="Arial"/>
        </w:rPr>
        <w:t xml:space="preserve"> million in 2017-18.</w:t>
      </w:r>
    </w:p>
    <w:p w:rsidR="008045A8" w:rsidRDefault="008045A8" w:rsidP="00665680">
      <w:pPr>
        <w:rPr>
          <w:rFonts w:ascii="Arial" w:eastAsiaTheme="minorHAnsi" w:hAnsi="Arial" w:cs="Arial"/>
        </w:rPr>
      </w:pPr>
    </w:p>
    <w:p w:rsidR="008045A8" w:rsidRDefault="008045A8" w:rsidP="00665680">
      <w:pPr>
        <w:rPr>
          <w:rFonts w:ascii="Arial" w:eastAsiaTheme="minorHAnsi" w:hAnsi="Arial" w:cs="Arial"/>
        </w:rPr>
      </w:pPr>
    </w:p>
    <w:p w:rsidR="004B08E7" w:rsidRPr="00706722" w:rsidRDefault="004B08E7" w:rsidP="00604795">
      <w:pPr>
        <w:pStyle w:val="Heading1"/>
        <w:keepNext/>
        <w:rPr>
          <w:sz w:val="24"/>
          <w:szCs w:val="24"/>
        </w:rPr>
      </w:pPr>
      <w:bookmarkStart w:id="9" w:name="_Toc442434868"/>
      <w:r>
        <w:rPr>
          <w:sz w:val="24"/>
          <w:szCs w:val="24"/>
        </w:rPr>
        <w:t xml:space="preserve">Improving the targeting of </w:t>
      </w:r>
      <w:r w:rsidR="00E816A2">
        <w:rPr>
          <w:sz w:val="24"/>
          <w:szCs w:val="24"/>
        </w:rPr>
        <w:t xml:space="preserve">the </w:t>
      </w:r>
      <w:r>
        <w:rPr>
          <w:sz w:val="24"/>
          <w:szCs w:val="24"/>
        </w:rPr>
        <w:t>HVSPP and BRP</w:t>
      </w:r>
      <w:bookmarkEnd w:id="9"/>
    </w:p>
    <w:p w:rsidR="004C78A5" w:rsidRDefault="004C78A5" w:rsidP="00604795">
      <w:pPr>
        <w:keepNext/>
        <w:rPr>
          <w:rFonts w:ascii="Arial" w:eastAsiaTheme="minorHAnsi" w:hAnsi="Arial" w:cs="Arial"/>
        </w:rPr>
      </w:pPr>
    </w:p>
    <w:p w:rsidR="004C78A5" w:rsidRDefault="004C78A5" w:rsidP="00604795">
      <w:pPr>
        <w:keepNext/>
        <w:rPr>
          <w:rFonts w:ascii="Arial" w:eastAsiaTheme="minorHAnsi" w:hAnsi="Arial" w:cs="Arial"/>
        </w:rPr>
      </w:pPr>
      <w:r>
        <w:rPr>
          <w:rFonts w:ascii="Arial" w:eastAsiaTheme="minorHAnsi" w:hAnsi="Arial" w:cs="Arial"/>
        </w:rPr>
        <w:t xml:space="preserve">The funding guidelines for the </w:t>
      </w:r>
      <w:r w:rsidR="00604795">
        <w:rPr>
          <w:rFonts w:ascii="Arial" w:eastAsiaTheme="minorHAnsi" w:hAnsi="Arial" w:cs="Arial"/>
        </w:rPr>
        <w:t>HVSPP and BRP</w:t>
      </w:r>
      <w:r w:rsidR="007B4B84">
        <w:rPr>
          <w:rFonts w:ascii="Arial" w:eastAsiaTheme="minorHAnsi" w:hAnsi="Arial" w:cs="Arial"/>
        </w:rPr>
        <w:t xml:space="preserve"> seek to align applications </w:t>
      </w:r>
      <w:r w:rsidR="00E816A2">
        <w:rPr>
          <w:rFonts w:ascii="Arial" w:eastAsiaTheme="minorHAnsi" w:hAnsi="Arial" w:cs="Arial"/>
        </w:rPr>
        <w:t>with</w:t>
      </w:r>
      <w:r w:rsidR="007B4B84">
        <w:rPr>
          <w:rFonts w:ascii="Arial" w:eastAsiaTheme="minorHAnsi" w:hAnsi="Arial" w:cs="Arial"/>
        </w:rPr>
        <w:t xml:space="preserve"> the industry’s productivity priorities.</w:t>
      </w:r>
    </w:p>
    <w:p w:rsidR="007B4B84" w:rsidRDefault="007B4B84" w:rsidP="007B4B84">
      <w:pPr>
        <w:rPr>
          <w:rFonts w:ascii="Arial" w:eastAsiaTheme="minorHAnsi" w:hAnsi="Arial" w:cs="Arial"/>
        </w:rPr>
      </w:pPr>
    </w:p>
    <w:p w:rsidR="007B4B84" w:rsidRDefault="007B4B84" w:rsidP="007B4B84">
      <w:pPr>
        <w:rPr>
          <w:rFonts w:ascii="Arial" w:eastAsiaTheme="minorHAnsi" w:hAnsi="Arial" w:cs="Arial"/>
        </w:rPr>
      </w:pPr>
      <w:r>
        <w:rPr>
          <w:rFonts w:ascii="Arial" w:eastAsiaTheme="minorHAnsi" w:hAnsi="Arial" w:cs="Arial"/>
        </w:rPr>
        <w:t xml:space="preserve">The guidelines for round 2 of the BRP asked applicants to provide quantified evidence about the extent their project would contribute to increased productivity for heavy vehicles. It also required </w:t>
      </w:r>
      <w:r>
        <w:rPr>
          <w:rFonts w:ascii="Arial" w:eastAsiaTheme="minorHAnsi" w:hAnsi="Arial" w:cs="Arial"/>
        </w:rPr>
        <w:lastRenderedPageBreak/>
        <w:t xml:space="preserve">applicants to provide assurances that all efforts would be made to ensure </w:t>
      </w:r>
      <w:r w:rsidR="00451BB7">
        <w:rPr>
          <w:rFonts w:ascii="Arial" w:eastAsiaTheme="minorHAnsi" w:hAnsi="Arial" w:cs="Arial"/>
        </w:rPr>
        <w:t xml:space="preserve">that </w:t>
      </w:r>
      <w:r>
        <w:rPr>
          <w:rFonts w:ascii="Arial" w:eastAsiaTheme="minorHAnsi" w:hAnsi="Arial" w:cs="Arial"/>
        </w:rPr>
        <w:t>regulator</w:t>
      </w:r>
      <w:r w:rsidR="00451BB7">
        <w:rPr>
          <w:rFonts w:ascii="Arial" w:eastAsiaTheme="minorHAnsi" w:hAnsi="Arial" w:cs="Arial"/>
        </w:rPr>
        <w:t>y</w:t>
      </w:r>
      <w:r>
        <w:rPr>
          <w:rFonts w:ascii="Arial" w:eastAsiaTheme="minorHAnsi" w:hAnsi="Arial" w:cs="Arial"/>
        </w:rPr>
        <w:t xml:space="preserve"> access through the </w:t>
      </w:r>
      <w:r w:rsidR="00902F10">
        <w:rPr>
          <w:rFonts w:ascii="Arial" w:eastAsiaTheme="minorHAnsi" w:hAnsi="Arial" w:cs="Arial"/>
        </w:rPr>
        <w:t>NHVR</w:t>
      </w:r>
      <w:r>
        <w:rPr>
          <w:rFonts w:ascii="Arial" w:eastAsiaTheme="minorHAnsi" w:hAnsi="Arial" w:cs="Arial"/>
        </w:rPr>
        <w:t xml:space="preserve"> was also gained.</w:t>
      </w:r>
      <w:r w:rsidR="00902F10">
        <w:rPr>
          <w:rStyle w:val="FootnoteReference"/>
          <w:rFonts w:ascii="Arial" w:eastAsiaTheme="minorHAnsi" w:hAnsi="Arial"/>
        </w:rPr>
        <w:footnoteReference w:id="6"/>
      </w:r>
    </w:p>
    <w:p w:rsidR="007B4B84" w:rsidRDefault="007B4B84" w:rsidP="007B4B84">
      <w:pPr>
        <w:rPr>
          <w:rFonts w:ascii="Arial" w:eastAsiaTheme="minorHAnsi" w:hAnsi="Arial" w:cs="Arial"/>
        </w:rPr>
      </w:pPr>
    </w:p>
    <w:p w:rsidR="007B4B84" w:rsidRDefault="00902F10" w:rsidP="007B4B84">
      <w:pPr>
        <w:rPr>
          <w:rFonts w:ascii="Arial" w:eastAsiaTheme="minorHAnsi" w:hAnsi="Arial" w:cs="Arial"/>
        </w:rPr>
      </w:pPr>
      <w:r>
        <w:rPr>
          <w:rFonts w:ascii="Arial" w:eastAsiaTheme="minorHAnsi" w:hAnsi="Arial" w:cs="Arial"/>
        </w:rPr>
        <w:t>Applicants for funding under round 5 of the HVSPP are required to provide a similar assurance, and to explain how their project is aligned with the NHVR’s access management operations.</w:t>
      </w:r>
      <w:r>
        <w:rPr>
          <w:rStyle w:val="FootnoteReference"/>
          <w:rFonts w:ascii="Arial" w:eastAsiaTheme="minorHAnsi" w:hAnsi="Arial"/>
        </w:rPr>
        <w:footnoteReference w:id="7"/>
      </w:r>
    </w:p>
    <w:p w:rsidR="00F8275D" w:rsidRDefault="00F8275D" w:rsidP="00665680">
      <w:pPr>
        <w:rPr>
          <w:rFonts w:ascii="Arial" w:eastAsiaTheme="minorHAnsi" w:hAnsi="Arial" w:cs="Arial"/>
        </w:rPr>
      </w:pPr>
    </w:p>
    <w:p w:rsidR="00604795" w:rsidRDefault="00902F10" w:rsidP="00665680">
      <w:pPr>
        <w:rPr>
          <w:rFonts w:ascii="Arial" w:eastAsiaTheme="minorHAnsi" w:hAnsi="Arial" w:cs="Arial"/>
        </w:rPr>
      </w:pPr>
      <w:r>
        <w:rPr>
          <w:rFonts w:ascii="Arial" w:eastAsiaTheme="minorHAnsi" w:hAnsi="Arial" w:cs="Arial"/>
        </w:rPr>
        <w:t xml:space="preserve">The NHVR </w:t>
      </w:r>
      <w:r w:rsidR="008A5348">
        <w:rPr>
          <w:rFonts w:ascii="Arial" w:eastAsiaTheme="minorHAnsi" w:hAnsi="Arial" w:cs="Arial"/>
        </w:rPr>
        <w:t xml:space="preserve">is developing new </w:t>
      </w:r>
      <w:r w:rsidR="00451BB7">
        <w:rPr>
          <w:rFonts w:ascii="Arial" w:eastAsiaTheme="minorHAnsi" w:hAnsi="Arial" w:cs="Arial"/>
        </w:rPr>
        <w:t xml:space="preserve">data analysis and visualisation </w:t>
      </w:r>
      <w:r w:rsidR="008A5348">
        <w:rPr>
          <w:rFonts w:ascii="Arial" w:eastAsiaTheme="minorHAnsi" w:hAnsi="Arial" w:cs="Arial"/>
        </w:rPr>
        <w:t xml:space="preserve">tools </w:t>
      </w:r>
      <w:r w:rsidR="00451BB7">
        <w:rPr>
          <w:rFonts w:ascii="Arial" w:eastAsiaTheme="minorHAnsi" w:hAnsi="Arial" w:cs="Arial"/>
        </w:rPr>
        <w:t xml:space="preserve">based on its growing </w:t>
      </w:r>
      <w:r w:rsidR="0045153A">
        <w:rPr>
          <w:rFonts w:ascii="Arial" w:eastAsiaTheme="minorHAnsi" w:hAnsi="Arial" w:cs="Arial"/>
        </w:rPr>
        <w:t xml:space="preserve">permit </w:t>
      </w:r>
      <w:r w:rsidR="00451BB7">
        <w:rPr>
          <w:rFonts w:ascii="Arial" w:eastAsiaTheme="minorHAnsi" w:hAnsi="Arial" w:cs="Arial"/>
        </w:rPr>
        <w:t xml:space="preserve">database. These tools aim to </w:t>
      </w:r>
      <w:r w:rsidR="008A5348">
        <w:rPr>
          <w:rFonts w:ascii="Arial" w:eastAsiaTheme="minorHAnsi" w:hAnsi="Arial" w:cs="Arial"/>
        </w:rPr>
        <w:t xml:space="preserve">track blockages in the road system and help councils </w:t>
      </w:r>
      <w:r w:rsidR="00451BB7">
        <w:rPr>
          <w:rFonts w:ascii="Arial" w:eastAsiaTheme="minorHAnsi" w:hAnsi="Arial" w:cs="Arial"/>
        </w:rPr>
        <w:t xml:space="preserve">pinpoint </w:t>
      </w:r>
      <w:r w:rsidR="008A5348">
        <w:rPr>
          <w:rFonts w:ascii="Arial" w:eastAsiaTheme="minorHAnsi" w:hAnsi="Arial" w:cs="Arial"/>
        </w:rPr>
        <w:t>where improvements need to be made to the road network.</w:t>
      </w:r>
      <w:r w:rsidR="008A5348">
        <w:rPr>
          <w:rStyle w:val="FootnoteReference"/>
          <w:rFonts w:ascii="Arial" w:eastAsiaTheme="minorHAnsi" w:hAnsi="Arial"/>
        </w:rPr>
        <w:footnoteReference w:id="8"/>
      </w:r>
      <w:r w:rsidR="008A5348">
        <w:rPr>
          <w:rFonts w:ascii="Arial" w:eastAsiaTheme="minorHAnsi" w:hAnsi="Arial" w:cs="Arial"/>
        </w:rPr>
        <w:t xml:space="preserve"> </w:t>
      </w:r>
    </w:p>
    <w:p w:rsidR="00604795" w:rsidRDefault="00604795" w:rsidP="00665680">
      <w:pPr>
        <w:rPr>
          <w:rFonts w:ascii="Arial" w:eastAsiaTheme="minorHAnsi" w:hAnsi="Arial" w:cs="Arial"/>
        </w:rPr>
      </w:pPr>
    </w:p>
    <w:p w:rsidR="00F8275D" w:rsidRDefault="008A5348" w:rsidP="00665680">
      <w:pPr>
        <w:rPr>
          <w:rFonts w:ascii="Arial" w:eastAsiaTheme="minorHAnsi" w:hAnsi="Arial" w:cs="Arial"/>
        </w:rPr>
      </w:pPr>
      <w:r>
        <w:rPr>
          <w:rFonts w:ascii="Arial" w:eastAsiaTheme="minorHAnsi" w:hAnsi="Arial" w:cs="Arial"/>
        </w:rPr>
        <w:t xml:space="preserve">The </w:t>
      </w:r>
      <w:r w:rsidR="0045153A">
        <w:rPr>
          <w:rFonts w:ascii="Arial" w:eastAsiaTheme="minorHAnsi" w:hAnsi="Arial" w:cs="Arial"/>
        </w:rPr>
        <w:t>funding criteria</w:t>
      </w:r>
      <w:r>
        <w:rPr>
          <w:rFonts w:ascii="Arial" w:eastAsiaTheme="minorHAnsi" w:hAnsi="Arial" w:cs="Arial"/>
        </w:rPr>
        <w:t xml:space="preserve"> for the HVSPP and BRP should be updated progressively to </w:t>
      </w:r>
      <w:r w:rsidR="00451BB7">
        <w:rPr>
          <w:rFonts w:ascii="Arial" w:eastAsiaTheme="minorHAnsi" w:hAnsi="Arial" w:cs="Arial"/>
        </w:rPr>
        <w:t xml:space="preserve">encourage </w:t>
      </w:r>
      <w:r>
        <w:rPr>
          <w:rFonts w:ascii="Arial" w:eastAsiaTheme="minorHAnsi" w:hAnsi="Arial" w:cs="Arial"/>
        </w:rPr>
        <w:t xml:space="preserve">councils to </w:t>
      </w:r>
      <w:r w:rsidR="0045153A">
        <w:rPr>
          <w:rFonts w:ascii="Arial" w:eastAsiaTheme="minorHAnsi" w:hAnsi="Arial" w:cs="Arial"/>
        </w:rPr>
        <w:t xml:space="preserve">use these tools </w:t>
      </w:r>
      <w:r>
        <w:rPr>
          <w:rFonts w:ascii="Arial" w:eastAsiaTheme="minorHAnsi" w:hAnsi="Arial" w:cs="Arial"/>
        </w:rPr>
        <w:t>when they make applications under the future rounds of these programs.</w:t>
      </w:r>
    </w:p>
    <w:p w:rsidR="00430557" w:rsidRDefault="00430557" w:rsidP="00665680">
      <w:pPr>
        <w:rPr>
          <w:rFonts w:ascii="Arial" w:eastAsiaTheme="minorHAnsi" w:hAnsi="Arial" w:cs="Arial"/>
        </w:rPr>
      </w:pPr>
    </w:p>
    <w:p w:rsidR="00430557" w:rsidRDefault="00430557" w:rsidP="00665680">
      <w:pPr>
        <w:rPr>
          <w:rFonts w:ascii="Arial" w:eastAsiaTheme="minorHAnsi" w:hAnsi="Arial" w:cs="Arial"/>
        </w:rPr>
      </w:pPr>
    </w:p>
    <w:p w:rsidR="00430557" w:rsidRPr="00430557" w:rsidRDefault="00430557" w:rsidP="00665680">
      <w:pPr>
        <w:rPr>
          <w:rFonts w:ascii="Arial" w:eastAsiaTheme="minorHAnsi" w:hAnsi="Arial" w:cs="Arial"/>
          <w:b/>
        </w:rPr>
      </w:pPr>
      <w:r w:rsidRPr="00430557">
        <w:rPr>
          <w:rFonts w:ascii="Arial" w:eastAsiaTheme="minorHAnsi" w:hAnsi="Arial" w:cs="Arial"/>
          <w:b/>
        </w:rPr>
        <w:t>Recommendation 3</w:t>
      </w:r>
    </w:p>
    <w:p w:rsidR="00430557" w:rsidRDefault="00430557" w:rsidP="00665680">
      <w:pPr>
        <w:rPr>
          <w:rFonts w:ascii="Arial" w:eastAsiaTheme="minorHAnsi" w:hAnsi="Arial" w:cs="Arial"/>
        </w:rPr>
      </w:pPr>
    </w:p>
    <w:p w:rsidR="00EE51AD" w:rsidRDefault="00430557" w:rsidP="00430557">
      <w:pPr>
        <w:rPr>
          <w:rFonts w:ascii="Arial" w:eastAsiaTheme="minorHAnsi" w:hAnsi="Arial" w:cs="Arial"/>
        </w:rPr>
      </w:pPr>
      <w:r>
        <w:rPr>
          <w:rFonts w:ascii="Arial" w:eastAsiaTheme="minorHAnsi" w:hAnsi="Arial" w:cs="Arial"/>
        </w:rPr>
        <w:t xml:space="preserve">The funding criteria for the HVSPP and BRP should be </w:t>
      </w:r>
      <w:r w:rsidR="008A5348">
        <w:rPr>
          <w:rFonts w:ascii="Arial" w:eastAsiaTheme="minorHAnsi" w:hAnsi="Arial" w:cs="Arial"/>
        </w:rPr>
        <w:t xml:space="preserve">updated progressively to </w:t>
      </w:r>
      <w:r w:rsidR="00451BB7">
        <w:rPr>
          <w:rFonts w:ascii="Arial" w:eastAsiaTheme="minorHAnsi" w:hAnsi="Arial" w:cs="Arial"/>
        </w:rPr>
        <w:t xml:space="preserve">encourage </w:t>
      </w:r>
      <w:r w:rsidR="008A5348">
        <w:rPr>
          <w:rFonts w:ascii="Arial" w:eastAsiaTheme="minorHAnsi" w:hAnsi="Arial" w:cs="Arial"/>
        </w:rPr>
        <w:t xml:space="preserve">councils to use </w:t>
      </w:r>
      <w:r w:rsidR="0045153A">
        <w:rPr>
          <w:rFonts w:ascii="Arial" w:eastAsiaTheme="minorHAnsi" w:hAnsi="Arial" w:cs="Arial"/>
        </w:rPr>
        <w:t xml:space="preserve">information from the </w:t>
      </w:r>
      <w:r w:rsidR="008A5348">
        <w:rPr>
          <w:rFonts w:ascii="Arial" w:eastAsiaTheme="minorHAnsi" w:hAnsi="Arial" w:cs="Arial"/>
        </w:rPr>
        <w:t xml:space="preserve">latest NHVR </w:t>
      </w:r>
      <w:r w:rsidR="00451BB7">
        <w:rPr>
          <w:rFonts w:ascii="Arial" w:eastAsiaTheme="minorHAnsi" w:hAnsi="Arial" w:cs="Arial"/>
        </w:rPr>
        <w:t xml:space="preserve">data analysis and visualisation </w:t>
      </w:r>
      <w:r w:rsidR="008A5348">
        <w:rPr>
          <w:rFonts w:ascii="Arial" w:eastAsiaTheme="minorHAnsi" w:hAnsi="Arial" w:cs="Arial"/>
        </w:rPr>
        <w:t>tools to support their funding applications.</w:t>
      </w:r>
    </w:p>
    <w:p w:rsidR="002B3C02" w:rsidRDefault="002B3C02" w:rsidP="00430557">
      <w:pPr>
        <w:rPr>
          <w:rFonts w:ascii="Arial" w:eastAsiaTheme="minorHAnsi" w:hAnsi="Arial" w:cs="Arial"/>
        </w:rPr>
      </w:pPr>
    </w:p>
    <w:p w:rsidR="002B3C02" w:rsidRPr="00EE51AD" w:rsidRDefault="002B3C02" w:rsidP="00430557">
      <w:pPr>
        <w:rPr>
          <w:rFonts w:ascii="Arial" w:eastAsiaTheme="minorHAnsi" w:hAnsi="Arial" w:cs="Arial"/>
        </w:rPr>
      </w:pPr>
    </w:p>
    <w:p w:rsidR="00706722" w:rsidRPr="00706722" w:rsidRDefault="00706722" w:rsidP="00936935">
      <w:pPr>
        <w:pStyle w:val="Heading1"/>
        <w:keepNext/>
        <w:rPr>
          <w:sz w:val="24"/>
          <w:szCs w:val="24"/>
        </w:rPr>
      </w:pPr>
      <w:bookmarkStart w:id="10" w:name="_Toc442434869"/>
      <w:r w:rsidRPr="00706722">
        <w:rPr>
          <w:sz w:val="24"/>
          <w:szCs w:val="24"/>
        </w:rPr>
        <w:t>Planning for road reform</w:t>
      </w:r>
      <w:bookmarkEnd w:id="10"/>
    </w:p>
    <w:p w:rsidR="00B74C0E" w:rsidRDefault="00B74C0E" w:rsidP="00936935">
      <w:pPr>
        <w:keepNext/>
        <w:rPr>
          <w:rFonts w:ascii="Arial" w:eastAsiaTheme="minorHAnsi" w:hAnsi="Arial" w:cs="Arial"/>
        </w:rPr>
      </w:pPr>
    </w:p>
    <w:p w:rsidR="00D9376C" w:rsidRDefault="0045153A" w:rsidP="00936935">
      <w:pPr>
        <w:keepNext/>
        <w:rPr>
          <w:rFonts w:ascii="Arial" w:eastAsiaTheme="minorHAnsi" w:hAnsi="Arial" w:cs="Arial"/>
        </w:rPr>
      </w:pPr>
      <w:r>
        <w:rPr>
          <w:rFonts w:ascii="Arial" w:eastAsiaTheme="minorHAnsi" w:hAnsi="Arial" w:cs="Arial"/>
        </w:rPr>
        <w:t>In its public infrastructure inquiry report, t</w:t>
      </w:r>
      <w:r w:rsidR="00D9376C">
        <w:rPr>
          <w:rFonts w:ascii="Arial" w:eastAsiaTheme="minorHAnsi" w:hAnsi="Arial" w:cs="Arial"/>
        </w:rPr>
        <w:t>he Productivity Commission concluded that the current governance, taxation and institutional arrangements for the provision and funding of roads are unsustainable. The Commission pointed out that:</w:t>
      </w:r>
    </w:p>
    <w:p w:rsidR="00D9376C" w:rsidRDefault="00D9376C" w:rsidP="00936935">
      <w:pPr>
        <w:keepNext/>
        <w:rPr>
          <w:rFonts w:ascii="Arial" w:eastAsiaTheme="minorHAnsi" w:hAnsi="Arial" w:cs="Arial"/>
        </w:rPr>
      </w:pPr>
    </w:p>
    <w:p w:rsidR="00D9376C" w:rsidRPr="00D9376C" w:rsidRDefault="00604795" w:rsidP="00936935">
      <w:pPr>
        <w:pStyle w:val="ListParagraph"/>
        <w:keepNext/>
        <w:numPr>
          <w:ilvl w:val="0"/>
          <w:numId w:val="19"/>
        </w:numPr>
        <w:spacing w:after="0" w:line="240" w:lineRule="auto"/>
        <w:ind w:left="714" w:hanging="357"/>
        <w:rPr>
          <w:rFonts w:ascii="Arial" w:eastAsiaTheme="minorHAnsi" w:hAnsi="Arial" w:cs="Arial"/>
        </w:rPr>
      </w:pPr>
      <w:r>
        <w:rPr>
          <w:rFonts w:ascii="Arial" w:eastAsiaTheme="minorHAnsi" w:hAnsi="Arial" w:cs="Arial"/>
        </w:rPr>
        <w:t>t</w:t>
      </w:r>
      <w:r w:rsidR="00D9376C" w:rsidRPr="00D9376C">
        <w:rPr>
          <w:rFonts w:ascii="Arial" w:eastAsiaTheme="minorHAnsi" w:hAnsi="Arial" w:cs="Arial"/>
        </w:rPr>
        <w:t>here is no direct link between road-related revenue and road-related expenditure. This makes it difficult to determine road users’ preferences and willingness to pay for roads</w:t>
      </w:r>
    </w:p>
    <w:p w:rsidR="00D9376C" w:rsidRPr="00D9376C" w:rsidRDefault="00604795" w:rsidP="00936935">
      <w:pPr>
        <w:pStyle w:val="ListParagraph"/>
        <w:keepNext/>
        <w:numPr>
          <w:ilvl w:val="0"/>
          <w:numId w:val="19"/>
        </w:numPr>
        <w:spacing w:after="0" w:line="240" w:lineRule="auto"/>
        <w:ind w:left="714" w:hanging="357"/>
        <w:rPr>
          <w:rFonts w:ascii="Arial" w:eastAsiaTheme="minorHAnsi" w:hAnsi="Arial" w:cs="Arial"/>
        </w:rPr>
      </w:pPr>
      <w:r>
        <w:rPr>
          <w:rFonts w:ascii="Arial" w:eastAsiaTheme="minorHAnsi" w:hAnsi="Arial" w:cs="Arial"/>
        </w:rPr>
        <w:t>i</w:t>
      </w:r>
      <w:r w:rsidR="00D9376C" w:rsidRPr="00D9376C">
        <w:rPr>
          <w:rFonts w:ascii="Arial" w:eastAsiaTheme="minorHAnsi" w:hAnsi="Arial" w:cs="Arial"/>
        </w:rPr>
        <w:t>nvestment in roads is subject to political pressures arising from the annual budget process and election processes</w:t>
      </w:r>
    </w:p>
    <w:p w:rsidR="00D9376C" w:rsidRPr="00D9376C" w:rsidRDefault="00604795" w:rsidP="00936935">
      <w:pPr>
        <w:pStyle w:val="ListParagraph"/>
        <w:keepNext/>
        <w:numPr>
          <w:ilvl w:val="0"/>
          <w:numId w:val="19"/>
        </w:numPr>
        <w:spacing w:after="0" w:line="240" w:lineRule="auto"/>
        <w:ind w:left="714" w:hanging="357"/>
        <w:rPr>
          <w:rFonts w:ascii="Arial" w:eastAsiaTheme="minorHAnsi" w:hAnsi="Arial" w:cs="Arial"/>
        </w:rPr>
      </w:pPr>
      <w:r>
        <w:rPr>
          <w:rFonts w:ascii="Arial" w:eastAsiaTheme="minorHAnsi" w:hAnsi="Arial" w:cs="Arial"/>
        </w:rPr>
        <w:t>d</w:t>
      </w:r>
      <w:r w:rsidR="00D9376C" w:rsidRPr="00D9376C">
        <w:rPr>
          <w:rFonts w:ascii="Arial" w:eastAsiaTheme="minorHAnsi" w:hAnsi="Arial" w:cs="Arial"/>
        </w:rPr>
        <w:t>ecisions are often based on inadequate information and assessment of the costs and benefits of road projects.</w:t>
      </w:r>
      <w:r w:rsidR="00936935">
        <w:rPr>
          <w:rStyle w:val="FootnoteReference"/>
          <w:rFonts w:ascii="Arial" w:eastAsiaTheme="minorHAnsi" w:hAnsi="Arial"/>
        </w:rPr>
        <w:footnoteReference w:id="9"/>
      </w:r>
    </w:p>
    <w:p w:rsidR="00913890" w:rsidRDefault="00913890" w:rsidP="009D1601">
      <w:pPr>
        <w:pStyle w:val="NormalWeb"/>
        <w:spacing w:before="0" w:beforeAutospacing="0" w:after="0" w:afterAutospacing="0"/>
        <w:rPr>
          <w:rFonts w:ascii="Arial" w:hAnsi="Arial" w:cs="Arial"/>
          <w:iCs/>
          <w:sz w:val="22"/>
          <w:szCs w:val="22"/>
        </w:rPr>
      </w:pPr>
    </w:p>
    <w:p w:rsidR="00936935" w:rsidRDefault="00936935" w:rsidP="009D1601">
      <w:pPr>
        <w:pStyle w:val="NormalWeb"/>
        <w:spacing w:before="0" w:beforeAutospacing="0" w:after="0" w:afterAutospacing="0"/>
        <w:rPr>
          <w:rFonts w:ascii="Arial" w:hAnsi="Arial" w:cs="Arial"/>
          <w:iCs/>
          <w:sz w:val="22"/>
          <w:szCs w:val="22"/>
        </w:rPr>
      </w:pPr>
      <w:r>
        <w:rPr>
          <w:rFonts w:ascii="Arial" w:hAnsi="Arial" w:cs="Arial"/>
          <w:iCs/>
          <w:sz w:val="22"/>
          <w:szCs w:val="22"/>
        </w:rPr>
        <w:t>These findings are consistent with issues raised by industry; for example, the ATA pointed out in its 2015-16 pre-budget submission that the road</w:t>
      </w:r>
      <w:r w:rsidR="00E548FC">
        <w:rPr>
          <w:rFonts w:ascii="Arial" w:hAnsi="Arial" w:cs="Arial"/>
          <w:iCs/>
          <w:sz w:val="22"/>
          <w:szCs w:val="22"/>
        </w:rPr>
        <w:t xml:space="preserve"> funding process had a structural</w:t>
      </w:r>
      <w:r>
        <w:rPr>
          <w:rFonts w:ascii="Arial" w:hAnsi="Arial" w:cs="Arial"/>
          <w:iCs/>
          <w:sz w:val="22"/>
          <w:szCs w:val="22"/>
        </w:rPr>
        <w:t xml:space="preserve"> bias towards new projects rather than maintenance.</w:t>
      </w:r>
      <w:r>
        <w:rPr>
          <w:rStyle w:val="FootnoteReference"/>
          <w:rFonts w:ascii="Arial" w:hAnsi="Arial"/>
          <w:iCs/>
          <w:sz w:val="22"/>
          <w:szCs w:val="22"/>
        </w:rPr>
        <w:footnoteReference w:id="10"/>
      </w:r>
    </w:p>
    <w:p w:rsidR="00936935" w:rsidRDefault="00936935" w:rsidP="009D1601">
      <w:pPr>
        <w:pStyle w:val="NormalWeb"/>
        <w:spacing w:before="0" w:beforeAutospacing="0" w:after="0" w:afterAutospacing="0"/>
        <w:rPr>
          <w:rFonts w:ascii="Arial" w:hAnsi="Arial" w:cs="Arial"/>
          <w:iCs/>
          <w:sz w:val="22"/>
          <w:szCs w:val="22"/>
        </w:rPr>
      </w:pPr>
    </w:p>
    <w:p w:rsidR="00571F8F" w:rsidRDefault="00407881" w:rsidP="00571F8F">
      <w:pPr>
        <w:pStyle w:val="NormalWeb"/>
        <w:spacing w:before="0" w:beforeAutospacing="0" w:after="0" w:afterAutospacing="0"/>
        <w:rPr>
          <w:rFonts w:ascii="Arial" w:eastAsiaTheme="minorHAnsi" w:hAnsi="Arial" w:cs="Arial"/>
          <w:sz w:val="22"/>
          <w:szCs w:val="22"/>
        </w:rPr>
      </w:pPr>
      <w:r w:rsidRPr="00571F8F">
        <w:rPr>
          <w:rFonts w:ascii="Arial" w:hAnsi="Arial" w:cs="Arial"/>
          <w:iCs/>
          <w:sz w:val="22"/>
          <w:szCs w:val="22"/>
        </w:rPr>
        <w:t xml:space="preserve">The Commission also </w:t>
      </w:r>
      <w:r w:rsidR="00DF74E3" w:rsidRPr="00571F8F">
        <w:rPr>
          <w:rFonts w:ascii="Arial" w:hAnsi="Arial" w:cs="Arial"/>
          <w:iCs/>
          <w:sz w:val="22"/>
          <w:szCs w:val="22"/>
        </w:rPr>
        <w:t xml:space="preserve">recommended that governments should conduct pilot studies of direct charging </w:t>
      </w:r>
      <w:r w:rsidR="005B0CD7">
        <w:rPr>
          <w:rFonts w:ascii="Arial" w:hAnsi="Arial" w:cs="Arial"/>
          <w:iCs/>
          <w:sz w:val="22"/>
          <w:szCs w:val="22"/>
        </w:rPr>
        <w:t>for</w:t>
      </w:r>
      <w:r w:rsidR="00DF74E3" w:rsidRPr="00571F8F">
        <w:rPr>
          <w:rFonts w:ascii="Arial" w:hAnsi="Arial" w:cs="Arial"/>
          <w:iCs/>
          <w:sz w:val="22"/>
          <w:szCs w:val="22"/>
        </w:rPr>
        <w:t xml:space="preserve"> both light and heavy vehicles.</w:t>
      </w:r>
      <w:r w:rsidR="00DF74E3" w:rsidRPr="00571F8F">
        <w:rPr>
          <w:rStyle w:val="FootnoteReference"/>
          <w:rFonts w:ascii="Arial" w:hAnsi="Arial"/>
          <w:iCs/>
          <w:sz w:val="22"/>
          <w:szCs w:val="22"/>
        </w:rPr>
        <w:footnoteReference w:id="11"/>
      </w:r>
      <w:r w:rsidR="00E34BD0" w:rsidRPr="00571F8F">
        <w:rPr>
          <w:rFonts w:ascii="Arial" w:hAnsi="Arial" w:cs="Arial"/>
          <w:iCs/>
          <w:sz w:val="22"/>
          <w:szCs w:val="22"/>
        </w:rPr>
        <w:t xml:space="preserve"> This recommendation was echoed by the H</w:t>
      </w:r>
      <w:r w:rsidR="00571F8F" w:rsidRPr="00571F8F">
        <w:rPr>
          <w:rFonts w:ascii="Arial" w:hAnsi="Arial" w:cs="Arial"/>
          <w:iCs/>
          <w:sz w:val="22"/>
          <w:szCs w:val="22"/>
        </w:rPr>
        <w:t>arper Competition Policy Review,</w:t>
      </w:r>
      <w:r w:rsidR="00E34BD0" w:rsidRPr="00571F8F">
        <w:rPr>
          <w:rStyle w:val="FootnoteReference"/>
          <w:rFonts w:ascii="Arial" w:hAnsi="Arial"/>
          <w:iCs/>
          <w:sz w:val="22"/>
          <w:szCs w:val="22"/>
        </w:rPr>
        <w:footnoteReference w:id="12"/>
      </w:r>
      <w:r w:rsidR="00571F8F" w:rsidRPr="00571F8F">
        <w:rPr>
          <w:rFonts w:ascii="Arial" w:hAnsi="Arial" w:cs="Arial"/>
          <w:iCs/>
          <w:sz w:val="22"/>
          <w:szCs w:val="22"/>
        </w:rPr>
        <w:t xml:space="preserve"> </w:t>
      </w:r>
      <w:r w:rsidR="00571F8F">
        <w:rPr>
          <w:rFonts w:ascii="Arial" w:hAnsi="Arial" w:cs="Arial"/>
          <w:iCs/>
          <w:sz w:val="22"/>
          <w:szCs w:val="22"/>
        </w:rPr>
        <w:t xml:space="preserve">and </w:t>
      </w:r>
      <w:r w:rsidR="002A7D7F" w:rsidRPr="00571F8F">
        <w:rPr>
          <w:rFonts w:ascii="Arial" w:eastAsiaTheme="minorHAnsi" w:hAnsi="Arial" w:cs="Arial"/>
          <w:sz w:val="22"/>
          <w:szCs w:val="22"/>
        </w:rPr>
        <w:t xml:space="preserve">the Government </w:t>
      </w:r>
      <w:r w:rsidR="00571F8F">
        <w:rPr>
          <w:rFonts w:ascii="Arial" w:eastAsiaTheme="minorHAnsi" w:hAnsi="Arial" w:cs="Arial"/>
          <w:sz w:val="22"/>
          <w:szCs w:val="22"/>
        </w:rPr>
        <w:t xml:space="preserve">responded by announcing </w:t>
      </w:r>
      <w:r w:rsidR="002A7D7F" w:rsidRPr="00571F8F">
        <w:rPr>
          <w:rFonts w:ascii="Arial" w:eastAsiaTheme="minorHAnsi" w:hAnsi="Arial" w:cs="Arial"/>
          <w:sz w:val="22"/>
          <w:szCs w:val="22"/>
        </w:rPr>
        <w:t>it would work through COAG to develop steps to transition to independent heavy vehicle price regulation by 2017-18.</w:t>
      </w:r>
      <w:r w:rsidR="002A7D7F" w:rsidRPr="00571F8F">
        <w:rPr>
          <w:rStyle w:val="FootnoteReference"/>
          <w:rFonts w:ascii="Arial" w:eastAsiaTheme="minorHAnsi" w:hAnsi="Arial"/>
          <w:sz w:val="22"/>
          <w:szCs w:val="22"/>
        </w:rPr>
        <w:footnoteReference w:id="13"/>
      </w:r>
      <w:r w:rsidR="002A7D7F" w:rsidRPr="00571F8F">
        <w:rPr>
          <w:rFonts w:ascii="Arial" w:eastAsiaTheme="minorHAnsi" w:hAnsi="Arial" w:cs="Arial"/>
          <w:sz w:val="22"/>
          <w:szCs w:val="22"/>
        </w:rPr>
        <w:t xml:space="preserve"> </w:t>
      </w:r>
    </w:p>
    <w:p w:rsidR="002A7D7F" w:rsidRDefault="002A7D7F" w:rsidP="00E548FC">
      <w:pPr>
        <w:rPr>
          <w:rFonts w:ascii="Arial" w:eastAsiaTheme="minorHAnsi" w:hAnsi="Arial" w:cs="Arial"/>
        </w:rPr>
      </w:pPr>
    </w:p>
    <w:p w:rsidR="00FA56D3" w:rsidRPr="00FA56D3" w:rsidRDefault="0082468F" w:rsidP="00FA56D3">
      <w:pPr>
        <w:rPr>
          <w:rFonts w:ascii="Arial" w:hAnsi="Arial" w:cs="Arial"/>
        </w:rPr>
      </w:pPr>
      <w:r>
        <w:rPr>
          <w:rFonts w:ascii="Arial" w:eastAsiaTheme="minorHAnsi" w:hAnsi="Arial" w:cs="Arial"/>
        </w:rPr>
        <w:t>In</w:t>
      </w:r>
      <w:r w:rsidR="00A64F9C">
        <w:rPr>
          <w:rFonts w:ascii="Arial" w:eastAsiaTheme="minorHAnsi" w:hAnsi="Arial" w:cs="Arial"/>
        </w:rPr>
        <w:t xml:space="preserve"> </w:t>
      </w:r>
      <w:r w:rsidR="0045153A">
        <w:rPr>
          <w:rFonts w:ascii="Arial" w:eastAsiaTheme="minorHAnsi" w:hAnsi="Arial" w:cs="Arial"/>
        </w:rPr>
        <w:t>an important step</w:t>
      </w:r>
      <w:r w:rsidR="00A64F9C">
        <w:rPr>
          <w:rFonts w:ascii="Arial" w:eastAsiaTheme="minorHAnsi" w:hAnsi="Arial" w:cs="Arial"/>
        </w:rPr>
        <w:t xml:space="preserve">, the </w:t>
      </w:r>
      <w:r w:rsidR="00A64F9C" w:rsidRPr="00A64F9C">
        <w:rPr>
          <w:rFonts w:ascii="Arial" w:eastAsiaTheme="minorHAnsi" w:hAnsi="Arial" w:cs="Arial"/>
        </w:rPr>
        <w:t xml:space="preserve">COAG Transport and Infrastructure Council </w:t>
      </w:r>
      <w:r w:rsidR="00FA56D3">
        <w:rPr>
          <w:rFonts w:ascii="Arial" w:eastAsiaTheme="minorHAnsi" w:hAnsi="Arial" w:cs="Arial"/>
        </w:rPr>
        <w:t xml:space="preserve">has </w:t>
      </w:r>
      <w:r w:rsidR="00A64F9C" w:rsidRPr="00A64F9C">
        <w:rPr>
          <w:rFonts w:ascii="Arial" w:eastAsiaTheme="minorHAnsi" w:hAnsi="Arial" w:cs="Arial"/>
        </w:rPr>
        <w:t>released national expenditure plans and asset registers for Australia’s key freight routes</w:t>
      </w:r>
      <w:r w:rsidR="00FA56D3">
        <w:rPr>
          <w:rFonts w:ascii="Arial" w:eastAsiaTheme="minorHAnsi" w:hAnsi="Arial" w:cs="Arial"/>
        </w:rPr>
        <w:t xml:space="preserve">. </w:t>
      </w:r>
      <w:r w:rsidR="00FA56D3" w:rsidRPr="00FA56D3">
        <w:rPr>
          <w:rFonts w:ascii="Arial" w:hAnsi="Arial" w:cs="Arial"/>
        </w:rPr>
        <w:t>The expenditure plans profile maintenance expenditure and capital investments planned by all levels of government over the next four years.</w:t>
      </w:r>
      <w:r w:rsidR="005350B5">
        <w:rPr>
          <w:rFonts w:ascii="Arial" w:hAnsi="Arial" w:cs="Arial"/>
        </w:rPr>
        <w:t xml:space="preserve"> </w:t>
      </w:r>
      <w:r w:rsidR="00FA56D3" w:rsidRPr="00FA56D3">
        <w:rPr>
          <w:rFonts w:ascii="Arial" w:hAnsi="Arial" w:cs="Arial"/>
        </w:rPr>
        <w:t xml:space="preserve">The asset registers provide ratings for each of the key freight </w:t>
      </w:r>
      <w:r w:rsidR="0045153A">
        <w:rPr>
          <w:rFonts w:ascii="Arial" w:hAnsi="Arial" w:cs="Arial"/>
        </w:rPr>
        <w:t>routes</w:t>
      </w:r>
      <w:r w:rsidR="00FA56D3" w:rsidRPr="00FA56D3">
        <w:rPr>
          <w:rFonts w:ascii="Arial" w:hAnsi="Arial" w:cs="Arial"/>
        </w:rPr>
        <w:t xml:space="preserve"> according to heavy vehicle access, safety and ride quality.</w:t>
      </w:r>
      <w:r w:rsidR="00FA56D3">
        <w:rPr>
          <w:rStyle w:val="FootnoteReference"/>
          <w:rFonts w:ascii="Arial" w:hAnsi="Arial"/>
        </w:rPr>
        <w:footnoteReference w:id="14"/>
      </w:r>
      <w:r w:rsidR="00FA56D3" w:rsidRPr="00FA56D3">
        <w:rPr>
          <w:rFonts w:ascii="Arial" w:hAnsi="Arial" w:cs="Arial"/>
        </w:rPr>
        <w:t xml:space="preserve"> </w:t>
      </w:r>
    </w:p>
    <w:p w:rsidR="00A64F9C" w:rsidRDefault="00A64F9C" w:rsidP="00E548FC">
      <w:pPr>
        <w:rPr>
          <w:rFonts w:ascii="Arial" w:eastAsiaTheme="minorHAnsi" w:hAnsi="Arial" w:cs="Arial"/>
        </w:rPr>
      </w:pPr>
    </w:p>
    <w:p w:rsidR="002A7D7F" w:rsidRDefault="002A7D7F" w:rsidP="005350B5">
      <w:pPr>
        <w:keepNext/>
        <w:rPr>
          <w:rFonts w:ascii="Arial" w:eastAsiaTheme="minorHAnsi" w:hAnsi="Arial" w:cs="Arial"/>
        </w:rPr>
      </w:pPr>
      <w:r>
        <w:rPr>
          <w:rFonts w:ascii="Arial" w:eastAsiaTheme="minorHAnsi" w:hAnsi="Arial" w:cs="Arial"/>
        </w:rPr>
        <w:t xml:space="preserve">The ATA has </w:t>
      </w:r>
      <w:r w:rsidR="005B0CD7">
        <w:rPr>
          <w:rFonts w:ascii="Arial" w:eastAsiaTheme="minorHAnsi" w:hAnsi="Arial" w:cs="Arial"/>
        </w:rPr>
        <w:t xml:space="preserve">previously raised important </w:t>
      </w:r>
      <w:r w:rsidR="00571F8F">
        <w:rPr>
          <w:rFonts w:ascii="Arial" w:eastAsiaTheme="minorHAnsi" w:hAnsi="Arial" w:cs="Arial"/>
        </w:rPr>
        <w:t>concerns about</w:t>
      </w:r>
      <w:r>
        <w:rPr>
          <w:rFonts w:ascii="Arial" w:eastAsiaTheme="minorHAnsi" w:hAnsi="Arial" w:cs="Arial"/>
        </w:rPr>
        <w:t xml:space="preserve"> </w:t>
      </w:r>
      <w:r w:rsidR="005B0CD7">
        <w:rPr>
          <w:rFonts w:ascii="Arial" w:eastAsiaTheme="minorHAnsi" w:hAnsi="Arial" w:cs="Arial"/>
        </w:rPr>
        <w:t>the introduction of direct road pricing, including:</w:t>
      </w:r>
    </w:p>
    <w:p w:rsidR="005B0CD7" w:rsidRDefault="005B0CD7" w:rsidP="005350B5">
      <w:pPr>
        <w:keepNext/>
        <w:rPr>
          <w:rFonts w:ascii="Arial" w:eastAsiaTheme="minorHAnsi" w:hAnsi="Arial" w:cs="Arial"/>
        </w:rPr>
      </w:pPr>
    </w:p>
    <w:p w:rsidR="005B0CD7" w:rsidRPr="005B0CD7" w:rsidRDefault="005B0CD7" w:rsidP="005350B5">
      <w:pPr>
        <w:pStyle w:val="ListParagraph"/>
        <w:keepNext/>
        <w:numPr>
          <w:ilvl w:val="0"/>
          <w:numId w:val="22"/>
        </w:numPr>
        <w:spacing w:after="0" w:line="240" w:lineRule="auto"/>
        <w:ind w:left="714" w:hanging="357"/>
        <w:rPr>
          <w:rFonts w:ascii="Arial" w:eastAsiaTheme="minorHAnsi" w:hAnsi="Arial" w:cs="Arial"/>
        </w:rPr>
      </w:pPr>
      <w:r w:rsidRPr="005B0CD7">
        <w:rPr>
          <w:rFonts w:ascii="Arial" w:eastAsiaTheme="minorHAnsi" w:hAnsi="Arial" w:cs="Arial"/>
        </w:rPr>
        <w:t xml:space="preserve">the compliance cost of fitting GPS monitoring equipment to Australia’s </w:t>
      </w:r>
      <w:r w:rsidR="0087010A">
        <w:rPr>
          <w:rFonts w:ascii="Arial" w:eastAsiaTheme="minorHAnsi" w:hAnsi="Arial" w:cs="Arial"/>
        </w:rPr>
        <w:t>427</w:t>
      </w:r>
      <w:r w:rsidRPr="005B0CD7">
        <w:rPr>
          <w:rFonts w:ascii="Arial" w:eastAsiaTheme="minorHAnsi" w:hAnsi="Arial" w:cs="Arial"/>
        </w:rPr>
        <w:t xml:space="preserve">,000 </w:t>
      </w:r>
      <w:r w:rsidR="00075811">
        <w:rPr>
          <w:rFonts w:ascii="Arial" w:eastAsiaTheme="minorHAnsi" w:hAnsi="Arial" w:cs="Arial"/>
        </w:rPr>
        <w:t xml:space="preserve">heavy rigid and articulated </w:t>
      </w:r>
      <w:r w:rsidR="0087010A">
        <w:rPr>
          <w:rFonts w:ascii="Arial" w:eastAsiaTheme="minorHAnsi" w:hAnsi="Arial" w:cs="Arial"/>
        </w:rPr>
        <w:t>trucks</w:t>
      </w:r>
    </w:p>
    <w:p w:rsidR="005B0CD7" w:rsidRDefault="005B0CD7" w:rsidP="005350B5">
      <w:pPr>
        <w:pStyle w:val="ListParagraph"/>
        <w:keepNext/>
        <w:numPr>
          <w:ilvl w:val="0"/>
          <w:numId w:val="22"/>
        </w:numPr>
        <w:spacing w:after="0" w:line="240" w:lineRule="auto"/>
        <w:ind w:left="714" w:hanging="357"/>
        <w:rPr>
          <w:rFonts w:ascii="Arial" w:eastAsiaTheme="minorHAnsi" w:hAnsi="Arial" w:cs="Arial"/>
        </w:rPr>
      </w:pPr>
      <w:r w:rsidRPr="005B0CD7">
        <w:rPr>
          <w:rFonts w:ascii="Arial" w:eastAsiaTheme="minorHAnsi" w:hAnsi="Arial" w:cs="Arial"/>
        </w:rPr>
        <w:t>the sustainability of CSO payments versus network pricing</w:t>
      </w:r>
    </w:p>
    <w:p w:rsidR="005B0CD7" w:rsidRPr="005B0CD7" w:rsidRDefault="005B0CD7" w:rsidP="005350B5">
      <w:pPr>
        <w:pStyle w:val="ListParagraph"/>
        <w:keepNext/>
        <w:numPr>
          <w:ilvl w:val="0"/>
          <w:numId w:val="22"/>
        </w:numPr>
        <w:spacing w:after="0" w:line="240" w:lineRule="auto"/>
        <w:ind w:left="714" w:hanging="357"/>
        <w:rPr>
          <w:rFonts w:ascii="Arial" w:eastAsiaTheme="minorHAnsi" w:hAnsi="Arial" w:cs="Arial"/>
        </w:rPr>
      </w:pPr>
      <w:r>
        <w:rPr>
          <w:rFonts w:ascii="Arial" w:eastAsiaTheme="minorHAnsi" w:hAnsi="Arial" w:cs="Arial"/>
        </w:rPr>
        <w:t xml:space="preserve">the cashflow burden on operators of paying both fuel tax and direct network charges, with </w:t>
      </w:r>
      <w:r w:rsidR="00075811">
        <w:rPr>
          <w:rFonts w:ascii="Arial" w:eastAsiaTheme="minorHAnsi" w:hAnsi="Arial" w:cs="Arial"/>
        </w:rPr>
        <w:t xml:space="preserve">most </w:t>
      </w:r>
      <w:r>
        <w:rPr>
          <w:rFonts w:ascii="Arial" w:eastAsiaTheme="minorHAnsi" w:hAnsi="Arial" w:cs="Arial"/>
        </w:rPr>
        <w:t xml:space="preserve">operators receiving fuel tax credits </w:t>
      </w:r>
      <w:r w:rsidR="0082468F">
        <w:rPr>
          <w:rFonts w:ascii="Arial" w:eastAsiaTheme="minorHAnsi" w:hAnsi="Arial" w:cs="Arial"/>
        </w:rPr>
        <w:t xml:space="preserve">some time </w:t>
      </w:r>
      <w:r w:rsidR="00604795">
        <w:rPr>
          <w:rFonts w:ascii="Arial" w:eastAsiaTheme="minorHAnsi" w:hAnsi="Arial" w:cs="Arial"/>
        </w:rPr>
        <w:t>after they pay the tax</w:t>
      </w:r>
    </w:p>
    <w:p w:rsidR="005B0CD7" w:rsidRPr="005B0CD7" w:rsidRDefault="005B0CD7" w:rsidP="005350B5">
      <w:pPr>
        <w:pStyle w:val="ListParagraph"/>
        <w:keepNext/>
        <w:numPr>
          <w:ilvl w:val="0"/>
          <w:numId w:val="22"/>
        </w:numPr>
        <w:spacing w:after="0" w:line="240" w:lineRule="auto"/>
        <w:ind w:left="714" w:hanging="357"/>
        <w:rPr>
          <w:rFonts w:ascii="Arial" w:eastAsiaTheme="minorHAnsi" w:hAnsi="Arial" w:cs="Arial"/>
        </w:rPr>
      </w:pPr>
      <w:r w:rsidRPr="005B0CD7">
        <w:rPr>
          <w:rFonts w:ascii="Arial" w:eastAsiaTheme="minorHAnsi" w:hAnsi="Arial" w:cs="Arial"/>
        </w:rPr>
        <w:t>the need for better road planning and decision-making and</w:t>
      </w:r>
    </w:p>
    <w:p w:rsidR="005B0CD7" w:rsidRPr="005B0CD7" w:rsidRDefault="005B0CD7" w:rsidP="005350B5">
      <w:pPr>
        <w:pStyle w:val="ListParagraph"/>
        <w:keepNext/>
        <w:numPr>
          <w:ilvl w:val="0"/>
          <w:numId w:val="22"/>
        </w:numPr>
        <w:spacing w:after="0" w:line="240" w:lineRule="auto"/>
        <w:ind w:left="714" w:hanging="357"/>
        <w:rPr>
          <w:rFonts w:ascii="Arial" w:eastAsiaTheme="minorHAnsi" w:hAnsi="Arial" w:cs="Arial"/>
        </w:rPr>
      </w:pPr>
      <w:r w:rsidRPr="005B0CD7">
        <w:rPr>
          <w:rFonts w:ascii="Arial" w:eastAsiaTheme="minorHAnsi" w:hAnsi="Arial" w:cs="Arial"/>
        </w:rPr>
        <w:t>the need for an independent pricing regulator to make binding decisions about road prices</w:t>
      </w:r>
      <w:r w:rsidR="00604795">
        <w:rPr>
          <w:rFonts w:ascii="Arial" w:eastAsiaTheme="minorHAnsi" w:hAnsi="Arial" w:cs="Arial"/>
        </w:rPr>
        <w:t>.</w:t>
      </w:r>
      <w:r w:rsidRPr="005B0CD7">
        <w:rPr>
          <w:rFonts w:ascii="Arial" w:eastAsiaTheme="minorHAnsi" w:hAnsi="Arial" w:cs="Arial"/>
        </w:rPr>
        <w:t xml:space="preserve"> </w:t>
      </w:r>
    </w:p>
    <w:p w:rsidR="00E548FC" w:rsidRDefault="00E548FC" w:rsidP="00E548FC">
      <w:pPr>
        <w:pStyle w:val="NormalWeb"/>
        <w:spacing w:before="0" w:beforeAutospacing="0" w:after="0" w:afterAutospacing="0"/>
        <w:rPr>
          <w:rFonts w:ascii="Arial" w:hAnsi="Arial" w:cs="Arial"/>
          <w:iCs/>
          <w:sz w:val="22"/>
          <w:szCs w:val="22"/>
        </w:rPr>
      </w:pPr>
    </w:p>
    <w:p w:rsidR="00075811" w:rsidRDefault="00075811" w:rsidP="00E548FC">
      <w:pPr>
        <w:pStyle w:val="NormalWeb"/>
        <w:spacing w:before="0" w:beforeAutospacing="0" w:after="0" w:afterAutospacing="0"/>
        <w:rPr>
          <w:rFonts w:ascii="Arial" w:hAnsi="Arial" w:cs="Arial"/>
          <w:iCs/>
          <w:sz w:val="22"/>
          <w:szCs w:val="22"/>
        </w:rPr>
      </w:pPr>
      <w:r>
        <w:rPr>
          <w:rFonts w:ascii="Arial" w:hAnsi="Arial" w:cs="Arial"/>
          <w:iCs/>
          <w:sz w:val="22"/>
          <w:szCs w:val="22"/>
        </w:rPr>
        <w:t>The ATA continues to hold these concerns.</w:t>
      </w:r>
    </w:p>
    <w:p w:rsidR="00075811" w:rsidRDefault="00075811" w:rsidP="00E548FC">
      <w:pPr>
        <w:pStyle w:val="NormalWeb"/>
        <w:spacing w:before="0" w:beforeAutospacing="0" w:after="0" w:afterAutospacing="0"/>
        <w:rPr>
          <w:rFonts w:ascii="Arial" w:hAnsi="Arial" w:cs="Arial"/>
          <w:iCs/>
          <w:sz w:val="22"/>
          <w:szCs w:val="22"/>
        </w:rPr>
      </w:pPr>
    </w:p>
    <w:p w:rsidR="003D7690" w:rsidRDefault="00571F8F" w:rsidP="00E548FC">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In </w:t>
      </w:r>
      <w:r w:rsidR="00075811">
        <w:rPr>
          <w:rFonts w:ascii="Arial" w:hAnsi="Arial" w:cs="Arial"/>
          <w:iCs/>
          <w:sz w:val="22"/>
          <w:szCs w:val="22"/>
        </w:rPr>
        <w:t xml:space="preserve">our </w:t>
      </w:r>
      <w:r>
        <w:rPr>
          <w:rFonts w:ascii="Arial" w:hAnsi="Arial" w:cs="Arial"/>
          <w:iCs/>
          <w:sz w:val="22"/>
          <w:szCs w:val="22"/>
        </w:rPr>
        <w:t xml:space="preserve">view, </w:t>
      </w:r>
      <w:r w:rsidR="005B0CD7">
        <w:rPr>
          <w:rFonts w:ascii="Arial" w:hAnsi="Arial" w:cs="Arial"/>
          <w:iCs/>
          <w:sz w:val="22"/>
          <w:szCs w:val="22"/>
        </w:rPr>
        <w:t xml:space="preserve">the Government will need to fund considerable development work on these and other issues </w:t>
      </w:r>
      <w:r>
        <w:rPr>
          <w:rFonts w:ascii="Arial" w:hAnsi="Arial" w:cs="Arial"/>
          <w:iCs/>
          <w:sz w:val="22"/>
          <w:szCs w:val="22"/>
        </w:rPr>
        <w:t xml:space="preserve">before </w:t>
      </w:r>
      <w:r w:rsidR="005B0CD7">
        <w:rPr>
          <w:rFonts w:ascii="Arial" w:hAnsi="Arial" w:cs="Arial"/>
          <w:iCs/>
          <w:sz w:val="22"/>
          <w:szCs w:val="22"/>
        </w:rPr>
        <w:t xml:space="preserve">stakeholders can make final decisions on the merits of the reform. </w:t>
      </w:r>
      <w:r w:rsidR="003D7690">
        <w:rPr>
          <w:rFonts w:ascii="Arial" w:hAnsi="Arial" w:cs="Arial"/>
          <w:iCs/>
          <w:sz w:val="22"/>
          <w:szCs w:val="22"/>
        </w:rPr>
        <w:t xml:space="preserve">In particular, we consider that the </w:t>
      </w:r>
      <w:r w:rsidR="0082468F">
        <w:rPr>
          <w:rFonts w:ascii="Arial" w:hAnsi="Arial" w:cs="Arial"/>
          <w:iCs/>
          <w:sz w:val="22"/>
          <w:szCs w:val="22"/>
        </w:rPr>
        <w:t>Government should reprioritise existing spending to undertake the following developmental activities</w:t>
      </w:r>
      <w:r w:rsidR="003D7690">
        <w:rPr>
          <w:rFonts w:ascii="Arial" w:hAnsi="Arial" w:cs="Arial"/>
          <w:iCs/>
          <w:sz w:val="22"/>
          <w:szCs w:val="22"/>
        </w:rPr>
        <w:t>:</w:t>
      </w:r>
    </w:p>
    <w:p w:rsidR="00545E6C" w:rsidRDefault="00545E6C" w:rsidP="00E548FC">
      <w:pPr>
        <w:pStyle w:val="NormalWeb"/>
        <w:spacing w:before="0" w:beforeAutospacing="0" w:after="0" w:afterAutospacing="0"/>
        <w:rPr>
          <w:rFonts w:ascii="Arial" w:hAnsi="Arial" w:cs="Arial"/>
          <w:iCs/>
          <w:sz w:val="22"/>
          <w:szCs w:val="22"/>
        </w:rPr>
      </w:pPr>
    </w:p>
    <w:p w:rsidR="00604795" w:rsidRDefault="00604795">
      <w:pPr>
        <w:rPr>
          <w:rFonts w:ascii="Arial" w:eastAsia="Times New Roman" w:hAnsi="Arial" w:cs="Arial"/>
          <w:iCs/>
          <w:lang w:eastAsia="en-AU"/>
        </w:rPr>
      </w:pPr>
    </w:p>
    <w:p w:rsidR="00604795" w:rsidRPr="0069582B" w:rsidRDefault="00604795" w:rsidP="0069582B">
      <w:pPr>
        <w:pStyle w:val="Heading2"/>
        <w:spacing w:before="0"/>
        <w:rPr>
          <w:rFonts w:ascii="Arial" w:hAnsi="Arial" w:cs="Arial"/>
          <w:color w:val="000000" w:themeColor="text1"/>
          <w:sz w:val="22"/>
          <w:szCs w:val="22"/>
        </w:rPr>
      </w:pPr>
      <w:bookmarkStart w:id="11" w:name="_Toc442434870"/>
      <w:r w:rsidRPr="0069582B">
        <w:rPr>
          <w:rFonts w:ascii="Arial" w:hAnsi="Arial" w:cs="Arial"/>
          <w:color w:val="000000" w:themeColor="text1"/>
          <w:sz w:val="22"/>
          <w:szCs w:val="22"/>
        </w:rPr>
        <w:t>Developing an independent economic regulator</w:t>
      </w:r>
      <w:r w:rsidR="00075811" w:rsidRPr="0069582B">
        <w:rPr>
          <w:rFonts w:ascii="Arial" w:hAnsi="Arial" w:cs="Arial"/>
          <w:color w:val="000000" w:themeColor="text1"/>
          <w:sz w:val="22"/>
          <w:szCs w:val="22"/>
        </w:rPr>
        <w:t xml:space="preserve"> and defined service standards</w:t>
      </w:r>
      <w:bookmarkEnd w:id="11"/>
    </w:p>
    <w:p w:rsidR="00604795" w:rsidRDefault="00604795" w:rsidP="00604795">
      <w:pPr>
        <w:pStyle w:val="NormalWeb"/>
        <w:spacing w:before="0" w:beforeAutospacing="0" w:after="0" w:afterAutospacing="0"/>
        <w:rPr>
          <w:rFonts w:ascii="Arial" w:hAnsi="Arial" w:cs="Arial"/>
          <w:iCs/>
          <w:sz w:val="22"/>
          <w:szCs w:val="22"/>
        </w:rPr>
      </w:pPr>
    </w:p>
    <w:p w:rsidR="00604795" w:rsidRPr="00C07345" w:rsidRDefault="00604795" w:rsidP="00604795">
      <w:pPr>
        <w:rPr>
          <w:rFonts w:ascii="Arial" w:eastAsia="Times New Roman" w:hAnsi="Arial" w:cs="Arial"/>
        </w:rPr>
      </w:pPr>
      <w:r w:rsidRPr="00C07345">
        <w:rPr>
          <w:rFonts w:ascii="Arial" w:eastAsia="Times New Roman" w:hAnsi="Arial" w:cs="Arial"/>
        </w:rPr>
        <w:t>The introduction of cost-reflective road pricing must include the establishment of an independent economic regulator to set fair, en</w:t>
      </w:r>
      <w:r>
        <w:rPr>
          <w:rFonts w:ascii="Arial" w:eastAsia="Times New Roman" w:hAnsi="Arial" w:cs="Arial"/>
        </w:rPr>
        <w:t>forceable prices for road users.</w:t>
      </w:r>
    </w:p>
    <w:p w:rsidR="00604795" w:rsidRPr="00C07345" w:rsidRDefault="00604795" w:rsidP="00604795">
      <w:pPr>
        <w:rPr>
          <w:rFonts w:ascii="Arial" w:eastAsia="Times New Roman" w:hAnsi="Arial" w:cs="Arial"/>
        </w:rPr>
      </w:pPr>
    </w:p>
    <w:p w:rsidR="00604795" w:rsidRDefault="00604795" w:rsidP="00604795">
      <w:pPr>
        <w:rPr>
          <w:rFonts w:ascii="Arial" w:eastAsia="Times New Roman" w:hAnsi="Arial" w:cs="Arial"/>
        </w:rPr>
      </w:pPr>
      <w:r>
        <w:rPr>
          <w:rFonts w:ascii="Arial" w:eastAsia="Times New Roman" w:hAnsi="Arial" w:cs="Arial"/>
        </w:rPr>
        <w:t xml:space="preserve">At present, the NTC can only make recommendations about the road user charge and heavy vehicle registration charges. </w:t>
      </w:r>
      <w:r w:rsidR="00075811">
        <w:rPr>
          <w:rFonts w:ascii="Arial" w:eastAsia="Times New Roman" w:hAnsi="Arial" w:cs="Arial"/>
        </w:rPr>
        <w:t xml:space="preserve">In 2014 and again in 2015, governments chose not to accept NTC recommendations to reduce charges substantially, on the grounds that the recommendations would adversely affect their revenue. The Australian Government did, however, freeze the road user charge </w:t>
      </w:r>
      <w:r w:rsidR="00946124">
        <w:rPr>
          <w:rFonts w:ascii="Arial" w:eastAsia="Times New Roman" w:hAnsi="Arial" w:cs="Arial"/>
        </w:rPr>
        <w:t xml:space="preserve">for </w:t>
      </w:r>
      <w:r w:rsidR="00075811">
        <w:rPr>
          <w:rFonts w:ascii="Arial" w:eastAsia="Times New Roman" w:hAnsi="Arial" w:cs="Arial"/>
        </w:rPr>
        <w:t>2014-15 and 2015-16</w:t>
      </w:r>
      <w:r w:rsidR="00946124">
        <w:rPr>
          <w:rFonts w:ascii="Arial" w:eastAsia="Times New Roman" w:hAnsi="Arial" w:cs="Arial"/>
        </w:rPr>
        <w:t>,</w:t>
      </w:r>
      <w:r w:rsidR="00075811">
        <w:rPr>
          <w:rFonts w:ascii="Arial" w:eastAsia="Times New Roman" w:hAnsi="Arial" w:cs="Arial"/>
        </w:rPr>
        <w:t xml:space="preserve"> and governments have now agreed to freeze revenue.</w:t>
      </w:r>
    </w:p>
    <w:p w:rsidR="00604795" w:rsidRDefault="00604795" w:rsidP="00604795">
      <w:pPr>
        <w:pStyle w:val="NormalWeb"/>
        <w:spacing w:before="0" w:beforeAutospacing="0" w:after="0" w:afterAutospacing="0"/>
        <w:rPr>
          <w:rFonts w:ascii="Arial" w:hAnsi="Arial" w:cs="Arial"/>
          <w:sz w:val="22"/>
          <w:szCs w:val="22"/>
          <w:lang w:eastAsia="en-US"/>
        </w:rPr>
      </w:pPr>
    </w:p>
    <w:p w:rsidR="00604795" w:rsidRDefault="00604795" w:rsidP="00604795">
      <w:pPr>
        <w:pStyle w:val="NormalWeb"/>
        <w:spacing w:before="0" w:beforeAutospacing="0" w:after="0" w:afterAutospacing="0"/>
        <w:rPr>
          <w:rFonts w:ascii="Arial" w:hAnsi="Arial" w:cs="Arial"/>
          <w:iCs/>
          <w:sz w:val="22"/>
          <w:szCs w:val="22"/>
        </w:rPr>
      </w:pPr>
      <w:r w:rsidRPr="00C07345">
        <w:rPr>
          <w:rFonts w:ascii="Arial" w:hAnsi="Arial" w:cs="Arial"/>
          <w:sz w:val="22"/>
          <w:szCs w:val="22"/>
          <w:lang w:eastAsia="en-US"/>
        </w:rPr>
        <w:t xml:space="preserve">Establishing an independent economic regulator, such as the Access and Pricing Regulator proposed in the Harper Review, would help ensure that governments could not </w:t>
      </w:r>
      <w:r w:rsidR="00075811">
        <w:rPr>
          <w:rFonts w:ascii="Arial" w:hAnsi="Arial" w:cs="Arial"/>
          <w:sz w:val="22"/>
          <w:szCs w:val="22"/>
          <w:lang w:eastAsia="en-US"/>
        </w:rPr>
        <w:t>evade</w:t>
      </w:r>
      <w:r w:rsidRPr="00C07345">
        <w:rPr>
          <w:rFonts w:ascii="Arial" w:hAnsi="Arial" w:cs="Arial"/>
          <w:sz w:val="22"/>
          <w:szCs w:val="22"/>
          <w:lang w:eastAsia="en-US"/>
        </w:rPr>
        <w:t xml:space="preserve"> pricing </w:t>
      </w:r>
      <w:r w:rsidR="005350B5">
        <w:rPr>
          <w:rFonts w:ascii="Arial" w:hAnsi="Arial" w:cs="Arial"/>
          <w:sz w:val="22"/>
          <w:szCs w:val="22"/>
          <w:lang w:eastAsia="en-US"/>
        </w:rPr>
        <w:t>recommendations</w:t>
      </w:r>
      <w:r w:rsidRPr="00C07345">
        <w:rPr>
          <w:rFonts w:ascii="Arial" w:hAnsi="Arial" w:cs="Arial"/>
          <w:sz w:val="22"/>
          <w:szCs w:val="22"/>
          <w:lang w:eastAsia="en-US"/>
        </w:rPr>
        <w:t xml:space="preserve"> in the </w:t>
      </w:r>
      <w:r>
        <w:rPr>
          <w:rFonts w:ascii="Arial" w:hAnsi="Arial" w:cs="Arial"/>
          <w:sz w:val="22"/>
          <w:szCs w:val="22"/>
          <w:lang w:eastAsia="en-US"/>
        </w:rPr>
        <w:t>future.</w:t>
      </w:r>
    </w:p>
    <w:p w:rsidR="00604795" w:rsidRDefault="00604795" w:rsidP="00604795">
      <w:pPr>
        <w:pStyle w:val="NormalWeb"/>
        <w:spacing w:before="0" w:beforeAutospacing="0" w:after="0" w:afterAutospacing="0"/>
        <w:rPr>
          <w:rFonts w:ascii="Arial" w:hAnsi="Arial" w:cs="Arial"/>
          <w:iCs/>
          <w:sz w:val="22"/>
          <w:szCs w:val="22"/>
        </w:rPr>
      </w:pPr>
    </w:p>
    <w:p w:rsidR="00604795" w:rsidRDefault="00604795" w:rsidP="00604795">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In addition to regulating pricing, any road reform process </w:t>
      </w:r>
      <w:r w:rsidR="00075811">
        <w:rPr>
          <w:rFonts w:ascii="Arial" w:hAnsi="Arial" w:cs="Arial"/>
          <w:iCs/>
          <w:sz w:val="22"/>
          <w:szCs w:val="22"/>
        </w:rPr>
        <w:t>must</w:t>
      </w:r>
      <w:r>
        <w:rPr>
          <w:rFonts w:ascii="Arial" w:hAnsi="Arial" w:cs="Arial"/>
          <w:iCs/>
          <w:sz w:val="22"/>
          <w:szCs w:val="22"/>
        </w:rPr>
        <w:t xml:space="preserve"> regulate road standards as well, because </w:t>
      </w:r>
      <w:r w:rsidR="005350B5">
        <w:rPr>
          <w:rFonts w:ascii="Arial" w:hAnsi="Arial" w:cs="Arial"/>
          <w:iCs/>
          <w:sz w:val="22"/>
          <w:szCs w:val="22"/>
        </w:rPr>
        <w:t xml:space="preserve">a </w:t>
      </w:r>
      <w:r>
        <w:rPr>
          <w:rFonts w:ascii="Arial" w:hAnsi="Arial" w:cs="Arial"/>
          <w:iCs/>
          <w:sz w:val="22"/>
          <w:szCs w:val="22"/>
        </w:rPr>
        <w:t>price regulated monopoly provider of roads would have an economic incentive to underprovide on service quality.</w:t>
      </w:r>
      <w:r>
        <w:rPr>
          <w:rStyle w:val="FootnoteReference"/>
          <w:rFonts w:ascii="Arial" w:hAnsi="Arial"/>
          <w:iCs/>
          <w:sz w:val="22"/>
          <w:szCs w:val="22"/>
        </w:rPr>
        <w:footnoteReference w:id="15"/>
      </w:r>
      <w:r>
        <w:rPr>
          <w:rFonts w:ascii="Arial" w:hAnsi="Arial" w:cs="Arial"/>
          <w:iCs/>
          <w:sz w:val="22"/>
          <w:szCs w:val="22"/>
        </w:rPr>
        <w:t xml:space="preserve"> </w:t>
      </w:r>
    </w:p>
    <w:p w:rsidR="00604795" w:rsidRDefault="00604795" w:rsidP="00604795">
      <w:pPr>
        <w:pStyle w:val="NormalWeb"/>
        <w:spacing w:before="0" w:beforeAutospacing="0" w:after="0" w:afterAutospacing="0"/>
        <w:rPr>
          <w:rFonts w:ascii="Arial" w:hAnsi="Arial" w:cs="Arial"/>
          <w:iCs/>
          <w:sz w:val="22"/>
          <w:szCs w:val="22"/>
        </w:rPr>
      </w:pPr>
    </w:p>
    <w:p w:rsidR="00604795" w:rsidRDefault="00604795" w:rsidP="00604795">
      <w:pPr>
        <w:pStyle w:val="NormalWeb"/>
        <w:spacing w:before="0" w:beforeAutospacing="0" w:after="0" w:afterAutospacing="0"/>
        <w:rPr>
          <w:rFonts w:ascii="Arial" w:hAnsi="Arial" w:cs="Arial"/>
          <w:iCs/>
          <w:sz w:val="22"/>
          <w:szCs w:val="22"/>
        </w:rPr>
      </w:pPr>
      <w:r>
        <w:rPr>
          <w:rFonts w:ascii="Arial" w:hAnsi="Arial" w:cs="Arial"/>
          <w:iCs/>
          <w:sz w:val="22"/>
          <w:szCs w:val="22"/>
        </w:rPr>
        <w:t>Drawing on a comprehensive report from PricewaterhouseCoopers, the ATA has previously argued that the Government should define a three tier road freight network, with engineering and access standards set for each tier.</w:t>
      </w:r>
      <w:r>
        <w:rPr>
          <w:rStyle w:val="FootnoteReference"/>
          <w:rFonts w:ascii="Arial" w:hAnsi="Arial"/>
          <w:iCs/>
          <w:sz w:val="22"/>
          <w:szCs w:val="22"/>
        </w:rPr>
        <w:footnoteReference w:id="16"/>
      </w:r>
      <w:r>
        <w:rPr>
          <w:rFonts w:ascii="Arial" w:hAnsi="Arial" w:cs="Arial"/>
          <w:iCs/>
          <w:sz w:val="22"/>
          <w:szCs w:val="22"/>
        </w:rPr>
        <w:t xml:space="preserve"> These standards should include </w:t>
      </w:r>
      <w:r w:rsidR="005350B5">
        <w:rPr>
          <w:rFonts w:ascii="Arial" w:hAnsi="Arial" w:cs="Arial"/>
          <w:iCs/>
          <w:sz w:val="22"/>
          <w:szCs w:val="22"/>
        </w:rPr>
        <w:t>requirements</w:t>
      </w:r>
      <w:r>
        <w:rPr>
          <w:rFonts w:ascii="Arial" w:hAnsi="Arial" w:cs="Arial"/>
          <w:iCs/>
          <w:sz w:val="22"/>
          <w:szCs w:val="22"/>
        </w:rPr>
        <w:t xml:space="preserve"> for providing heavy vehicle rest areas.</w:t>
      </w:r>
    </w:p>
    <w:p w:rsidR="00604795" w:rsidRDefault="00604795" w:rsidP="00E548FC">
      <w:pPr>
        <w:pStyle w:val="NormalWeb"/>
        <w:spacing w:before="0" w:beforeAutospacing="0" w:after="0" w:afterAutospacing="0"/>
        <w:rPr>
          <w:rFonts w:ascii="Arial" w:hAnsi="Arial" w:cs="Arial"/>
          <w:iCs/>
          <w:sz w:val="22"/>
          <w:szCs w:val="22"/>
        </w:rPr>
      </w:pPr>
    </w:p>
    <w:p w:rsidR="00571F8F" w:rsidRDefault="00571F8F" w:rsidP="00E548FC">
      <w:pPr>
        <w:pStyle w:val="NormalWeb"/>
        <w:spacing w:before="0" w:beforeAutospacing="0" w:after="0" w:afterAutospacing="0"/>
        <w:rPr>
          <w:rFonts w:ascii="Arial" w:hAnsi="Arial" w:cs="Arial"/>
          <w:iCs/>
          <w:sz w:val="22"/>
          <w:szCs w:val="22"/>
        </w:rPr>
      </w:pPr>
    </w:p>
    <w:p w:rsidR="00545E6C" w:rsidRPr="0069582B" w:rsidRDefault="005539F5" w:rsidP="0069582B">
      <w:pPr>
        <w:pStyle w:val="Heading2"/>
        <w:spacing w:before="0"/>
        <w:rPr>
          <w:rFonts w:ascii="Arial" w:hAnsi="Arial" w:cs="Arial"/>
          <w:color w:val="000000" w:themeColor="text1"/>
          <w:sz w:val="22"/>
          <w:szCs w:val="22"/>
        </w:rPr>
      </w:pPr>
      <w:bookmarkStart w:id="12" w:name="_Toc442434871"/>
      <w:r w:rsidRPr="0069582B">
        <w:rPr>
          <w:rFonts w:ascii="Arial" w:hAnsi="Arial" w:cs="Arial"/>
          <w:color w:val="000000" w:themeColor="text1"/>
          <w:sz w:val="22"/>
          <w:szCs w:val="22"/>
        </w:rPr>
        <w:t>Developing</w:t>
      </w:r>
      <w:r w:rsidR="0087010A" w:rsidRPr="0069582B">
        <w:rPr>
          <w:rFonts w:ascii="Arial" w:hAnsi="Arial" w:cs="Arial"/>
          <w:color w:val="000000" w:themeColor="text1"/>
          <w:sz w:val="22"/>
          <w:szCs w:val="22"/>
        </w:rPr>
        <w:t xml:space="preserve"> road funds</w:t>
      </w:r>
      <w:bookmarkEnd w:id="12"/>
    </w:p>
    <w:p w:rsidR="00545E6C" w:rsidRDefault="00545E6C" w:rsidP="00E548FC">
      <w:pPr>
        <w:pStyle w:val="NormalWeb"/>
        <w:spacing w:before="0" w:beforeAutospacing="0" w:after="0" w:afterAutospacing="0"/>
        <w:rPr>
          <w:rFonts w:ascii="Arial" w:hAnsi="Arial" w:cs="Arial"/>
          <w:iCs/>
          <w:sz w:val="22"/>
          <w:szCs w:val="22"/>
        </w:rPr>
      </w:pPr>
    </w:p>
    <w:p w:rsidR="00F6200B" w:rsidRDefault="00F6200B" w:rsidP="00E548FC">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There is no case for implementing road pricing reform if </w:t>
      </w:r>
      <w:r w:rsidR="00B47A01">
        <w:rPr>
          <w:rFonts w:ascii="Arial" w:hAnsi="Arial" w:cs="Arial"/>
          <w:iCs/>
          <w:sz w:val="22"/>
          <w:szCs w:val="22"/>
        </w:rPr>
        <w:t xml:space="preserve">the Government does not also </w:t>
      </w:r>
      <w:r w:rsidR="0087010A">
        <w:rPr>
          <w:rFonts w:ascii="Arial" w:hAnsi="Arial" w:cs="Arial"/>
          <w:iCs/>
          <w:sz w:val="22"/>
          <w:szCs w:val="22"/>
        </w:rPr>
        <w:t xml:space="preserve">reform road planning and delivery. </w:t>
      </w:r>
    </w:p>
    <w:p w:rsidR="00F6200B" w:rsidRDefault="00F6200B" w:rsidP="00E548FC">
      <w:pPr>
        <w:pStyle w:val="NormalWeb"/>
        <w:spacing w:before="0" w:beforeAutospacing="0" w:after="0" w:afterAutospacing="0"/>
        <w:rPr>
          <w:rFonts w:ascii="Arial" w:hAnsi="Arial" w:cs="Arial"/>
          <w:iCs/>
          <w:sz w:val="22"/>
          <w:szCs w:val="22"/>
        </w:rPr>
      </w:pPr>
    </w:p>
    <w:p w:rsidR="00F6200B" w:rsidRDefault="00110711" w:rsidP="00F6200B">
      <w:pPr>
        <w:pStyle w:val="NormalWeb"/>
        <w:spacing w:before="0" w:beforeAutospacing="0" w:after="0" w:afterAutospacing="0"/>
        <w:rPr>
          <w:rFonts w:ascii="Arial" w:hAnsi="Arial" w:cs="Arial"/>
          <w:iCs/>
          <w:sz w:val="22"/>
          <w:szCs w:val="22"/>
        </w:rPr>
      </w:pPr>
      <w:r>
        <w:rPr>
          <w:rFonts w:ascii="Arial" w:hAnsi="Arial" w:cs="Arial"/>
          <w:iCs/>
          <w:sz w:val="22"/>
          <w:szCs w:val="22"/>
        </w:rPr>
        <w:t>In its public infrastructure report, t</w:t>
      </w:r>
      <w:r w:rsidR="00F6200B">
        <w:rPr>
          <w:rFonts w:ascii="Arial" w:hAnsi="Arial" w:cs="Arial"/>
          <w:iCs/>
          <w:sz w:val="22"/>
          <w:szCs w:val="22"/>
        </w:rPr>
        <w:t xml:space="preserve">he </w:t>
      </w:r>
      <w:r>
        <w:rPr>
          <w:rFonts w:ascii="Arial" w:hAnsi="Arial" w:cs="Arial"/>
          <w:iCs/>
          <w:sz w:val="22"/>
          <w:szCs w:val="22"/>
        </w:rPr>
        <w:t xml:space="preserve">Productivity </w:t>
      </w:r>
      <w:r w:rsidR="00F6200B">
        <w:rPr>
          <w:rFonts w:ascii="Arial" w:hAnsi="Arial" w:cs="Arial"/>
          <w:iCs/>
          <w:sz w:val="22"/>
          <w:szCs w:val="22"/>
        </w:rPr>
        <w:t>Commission recommended the adoption of a well-designed road fund model, where independent road funds would make transparent funding decisions. The funds would receive hypothecated revenue from road users and government funding to cover community service obligations.</w:t>
      </w:r>
      <w:r w:rsidR="00F6200B">
        <w:rPr>
          <w:rStyle w:val="FootnoteReference"/>
          <w:rFonts w:ascii="Arial" w:hAnsi="Arial"/>
          <w:iCs/>
          <w:sz w:val="22"/>
          <w:szCs w:val="22"/>
        </w:rPr>
        <w:footnoteReference w:id="17"/>
      </w:r>
    </w:p>
    <w:p w:rsidR="00F6200B" w:rsidRDefault="00F6200B" w:rsidP="00F6200B">
      <w:pPr>
        <w:pStyle w:val="NormalWeb"/>
        <w:spacing w:before="0" w:beforeAutospacing="0" w:after="0" w:afterAutospacing="0"/>
        <w:rPr>
          <w:rFonts w:ascii="Arial" w:hAnsi="Arial" w:cs="Arial"/>
          <w:iCs/>
          <w:sz w:val="22"/>
          <w:szCs w:val="22"/>
        </w:rPr>
      </w:pPr>
    </w:p>
    <w:p w:rsidR="00FB1DEC" w:rsidRDefault="00FB1DEC" w:rsidP="00F6200B">
      <w:pPr>
        <w:pStyle w:val="NormalWeb"/>
        <w:spacing w:before="0" w:beforeAutospacing="0" w:after="0" w:afterAutospacing="0"/>
        <w:rPr>
          <w:rFonts w:ascii="Arial" w:hAnsi="Arial" w:cs="Arial"/>
          <w:iCs/>
          <w:sz w:val="22"/>
          <w:szCs w:val="22"/>
        </w:rPr>
      </w:pPr>
      <w:r>
        <w:rPr>
          <w:rFonts w:ascii="Arial" w:hAnsi="Arial" w:cs="Arial"/>
          <w:iCs/>
          <w:sz w:val="22"/>
          <w:szCs w:val="22"/>
        </w:rPr>
        <w:t>The Government said it supported the recommendation in principle as long term reform option. It said it had begun working with state, territory and local governments to investigate road fund models.</w:t>
      </w:r>
      <w:r w:rsidR="003D0990">
        <w:rPr>
          <w:rStyle w:val="FootnoteReference"/>
          <w:rFonts w:ascii="Arial" w:hAnsi="Arial"/>
          <w:iCs/>
          <w:sz w:val="22"/>
          <w:szCs w:val="22"/>
        </w:rPr>
        <w:footnoteReference w:id="18"/>
      </w:r>
    </w:p>
    <w:p w:rsidR="00FB1DEC" w:rsidRDefault="00FB1DEC" w:rsidP="00F6200B">
      <w:pPr>
        <w:pStyle w:val="NormalWeb"/>
        <w:spacing w:before="0" w:beforeAutospacing="0" w:after="0" w:afterAutospacing="0"/>
        <w:rPr>
          <w:rFonts w:ascii="Arial" w:hAnsi="Arial" w:cs="Arial"/>
          <w:iCs/>
          <w:sz w:val="22"/>
          <w:szCs w:val="22"/>
        </w:rPr>
      </w:pPr>
    </w:p>
    <w:p w:rsidR="00F6200B" w:rsidRDefault="00F6200B" w:rsidP="00F6200B">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The ATA considers that the </w:t>
      </w:r>
      <w:r w:rsidR="005539F5">
        <w:rPr>
          <w:rFonts w:ascii="Arial" w:hAnsi="Arial" w:cs="Arial"/>
          <w:iCs/>
          <w:sz w:val="22"/>
          <w:szCs w:val="22"/>
        </w:rPr>
        <w:t xml:space="preserve">development of </w:t>
      </w:r>
      <w:r>
        <w:rPr>
          <w:rFonts w:ascii="Arial" w:hAnsi="Arial" w:cs="Arial"/>
          <w:iCs/>
          <w:sz w:val="22"/>
          <w:szCs w:val="22"/>
        </w:rPr>
        <w:t>road fund</w:t>
      </w:r>
      <w:r w:rsidR="005539F5">
        <w:rPr>
          <w:rFonts w:ascii="Arial" w:hAnsi="Arial" w:cs="Arial"/>
          <w:iCs/>
          <w:sz w:val="22"/>
          <w:szCs w:val="22"/>
        </w:rPr>
        <w:t>s</w:t>
      </w:r>
      <w:r>
        <w:rPr>
          <w:rFonts w:ascii="Arial" w:hAnsi="Arial" w:cs="Arial"/>
          <w:iCs/>
          <w:sz w:val="22"/>
          <w:szCs w:val="22"/>
        </w:rPr>
        <w:t xml:space="preserve"> should be accelerated, so better road funding and planning arrangements can be </w:t>
      </w:r>
      <w:r w:rsidR="003D0990">
        <w:rPr>
          <w:rFonts w:ascii="Arial" w:hAnsi="Arial" w:cs="Arial"/>
          <w:iCs/>
          <w:sz w:val="22"/>
          <w:szCs w:val="22"/>
        </w:rPr>
        <w:t xml:space="preserve">implemented in conjunction with </w:t>
      </w:r>
      <w:r w:rsidR="00604795">
        <w:rPr>
          <w:rFonts w:ascii="Arial" w:hAnsi="Arial" w:cs="Arial"/>
          <w:iCs/>
          <w:sz w:val="22"/>
          <w:szCs w:val="22"/>
        </w:rPr>
        <w:t>the</w:t>
      </w:r>
      <w:r w:rsidR="00145B71">
        <w:rPr>
          <w:rFonts w:ascii="Arial" w:hAnsi="Arial" w:cs="Arial"/>
          <w:iCs/>
          <w:sz w:val="22"/>
          <w:szCs w:val="22"/>
        </w:rPr>
        <w:t xml:space="preserve"> proposed </w:t>
      </w:r>
      <w:r>
        <w:rPr>
          <w:rFonts w:ascii="Arial" w:hAnsi="Arial" w:cs="Arial"/>
          <w:iCs/>
          <w:sz w:val="22"/>
          <w:szCs w:val="22"/>
        </w:rPr>
        <w:t>reforms to road user pricing.</w:t>
      </w:r>
      <w:r w:rsidR="00145B71">
        <w:rPr>
          <w:rFonts w:ascii="Arial" w:hAnsi="Arial" w:cs="Arial"/>
          <w:iCs/>
          <w:sz w:val="22"/>
          <w:szCs w:val="22"/>
        </w:rPr>
        <w:t xml:space="preserve"> Adopting </w:t>
      </w:r>
      <w:r w:rsidR="003D7690">
        <w:rPr>
          <w:rFonts w:ascii="Arial" w:hAnsi="Arial" w:cs="Arial"/>
          <w:iCs/>
          <w:sz w:val="22"/>
          <w:szCs w:val="22"/>
        </w:rPr>
        <w:t>independent</w:t>
      </w:r>
      <w:r w:rsidR="00145B71">
        <w:rPr>
          <w:rFonts w:ascii="Arial" w:hAnsi="Arial" w:cs="Arial"/>
          <w:iCs/>
          <w:sz w:val="22"/>
          <w:szCs w:val="22"/>
        </w:rPr>
        <w:t xml:space="preserve"> road planning and delivery mechanisms cannot be a ‘long term reform option.’</w:t>
      </w:r>
    </w:p>
    <w:p w:rsidR="002B31AF" w:rsidRDefault="002B31AF" w:rsidP="002B31AF">
      <w:pPr>
        <w:pStyle w:val="NormalWeb"/>
        <w:spacing w:before="0" w:beforeAutospacing="0" w:after="0" w:afterAutospacing="0"/>
        <w:rPr>
          <w:rFonts w:ascii="Arial" w:hAnsi="Arial" w:cs="Arial"/>
          <w:iCs/>
          <w:sz w:val="22"/>
          <w:szCs w:val="22"/>
        </w:rPr>
      </w:pPr>
    </w:p>
    <w:p w:rsidR="00C07345" w:rsidRDefault="00C07345" w:rsidP="009D1601">
      <w:pPr>
        <w:pStyle w:val="NormalWeb"/>
        <w:spacing w:before="0" w:beforeAutospacing="0" w:after="0" w:afterAutospacing="0"/>
        <w:rPr>
          <w:rFonts w:ascii="Arial" w:hAnsi="Arial" w:cs="Arial"/>
          <w:iCs/>
          <w:sz w:val="22"/>
          <w:szCs w:val="22"/>
        </w:rPr>
      </w:pPr>
    </w:p>
    <w:p w:rsidR="00F14B69" w:rsidRPr="0069582B" w:rsidRDefault="00F14B69" w:rsidP="0069582B">
      <w:pPr>
        <w:pStyle w:val="Heading2"/>
        <w:spacing w:before="0"/>
        <w:rPr>
          <w:rFonts w:ascii="Arial" w:hAnsi="Arial" w:cs="Arial"/>
          <w:color w:val="000000" w:themeColor="text1"/>
          <w:sz w:val="22"/>
          <w:szCs w:val="22"/>
        </w:rPr>
      </w:pPr>
      <w:bookmarkStart w:id="13" w:name="_Toc442434872"/>
      <w:r w:rsidRPr="0069582B">
        <w:rPr>
          <w:rFonts w:ascii="Arial" w:hAnsi="Arial" w:cs="Arial"/>
          <w:color w:val="000000" w:themeColor="text1"/>
          <w:sz w:val="22"/>
          <w:szCs w:val="22"/>
        </w:rPr>
        <w:t>Reforming fuel tax credit payments</w:t>
      </w:r>
      <w:bookmarkEnd w:id="13"/>
    </w:p>
    <w:p w:rsidR="00F14B69" w:rsidRDefault="00F14B69" w:rsidP="00FA56D3">
      <w:pPr>
        <w:pStyle w:val="NormalWeb"/>
        <w:keepNext/>
        <w:spacing w:before="0" w:beforeAutospacing="0" w:after="0" w:afterAutospacing="0"/>
        <w:rPr>
          <w:rFonts w:ascii="Arial" w:hAnsi="Arial" w:cs="Arial"/>
          <w:iCs/>
          <w:sz w:val="22"/>
          <w:szCs w:val="22"/>
        </w:rPr>
      </w:pPr>
    </w:p>
    <w:p w:rsidR="00F6200B" w:rsidRDefault="00F6200B" w:rsidP="00FA56D3">
      <w:pPr>
        <w:pStyle w:val="NormalWeb"/>
        <w:keepNext/>
        <w:spacing w:before="0" w:beforeAutospacing="0" w:after="0" w:afterAutospacing="0"/>
        <w:rPr>
          <w:rFonts w:ascii="Arial" w:hAnsi="Arial" w:cs="Arial"/>
          <w:iCs/>
          <w:sz w:val="22"/>
          <w:szCs w:val="22"/>
        </w:rPr>
      </w:pPr>
      <w:r>
        <w:rPr>
          <w:rFonts w:ascii="Arial" w:hAnsi="Arial" w:cs="Arial"/>
          <w:iCs/>
          <w:sz w:val="22"/>
          <w:szCs w:val="22"/>
        </w:rPr>
        <w:t xml:space="preserve">One of the ATA’s long standing concerns about direct pricing is the cashflow burden </w:t>
      </w:r>
      <w:r w:rsidR="00AC45CF">
        <w:rPr>
          <w:rFonts w:ascii="Arial" w:hAnsi="Arial" w:cs="Arial"/>
          <w:iCs/>
          <w:sz w:val="22"/>
          <w:szCs w:val="22"/>
        </w:rPr>
        <w:t>that would be caused by the simultaneous imposition of fuel tax and direct prices.</w:t>
      </w:r>
      <w:r>
        <w:rPr>
          <w:rFonts w:ascii="Arial" w:hAnsi="Arial" w:cs="Arial"/>
          <w:iCs/>
          <w:sz w:val="22"/>
          <w:szCs w:val="22"/>
        </w:rPr>
        <w:t xml:space="preserve"> </w:t>
      </w:r>
    </w:p>
    <w:p w:rsidR="00F6200B" w:rsidRDefault="00F6200B" w:rsidP="00F6200B">
      <w:pPr>
        <w:pStyle w:val="NormalWeb"/>
        <w:spacing w:before="0" w:beforeAutospacing="0" w:after="0" w:afterAutospacing="0"/>
        <w:rPr>
          <w:rFonts w:ascii="Arial" w:hAnsi="Arial" w:cs="Arial"/>
          <w:iCs/>
          <w:sz w:val="22"/>
          <w:szCs w:val="22"/>
        </w:rPr>
      </w:pPr>
    </w:p>
    <w:p w:rsidR="0080683E" w:rsidRDefault="00F6200B" w:rsidP="00F6200B">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At present, </w:t>
      </w:r>
      <w:r w:rsidR="0080683E">
        <w:rPr>
          <w:rFonts w:ascii="Arial" w:hAnsi="Arial" w:cs="Arial"/>
          <w:iCs/>
          <w:sz w:val="22"/>
          <w:szCs w:val="22"/>
        </w:rPr>
        <w:t xml:space="preserve">trucking </w:t>
      </w:r>
      <w:r>
        <w:rPr>
          <w:rFonts w:ascii="Arial" w:hAnsi="Arial" w:cs="Arial"/>
          <w:iCs/>
          <w:sz w:val="22"/>
          <w:szCs w:val="22"/>
        </w:rPr>
        <w:t xml:space="preserve">operators pay fuel </w:t>
      </w:r>
      <w:r w:rsidR="0080683E">
        <w:rPr>
          <w:rFonts w:ascii="Arial" w:hAnsi="Arial" w:cs="Arial"/>
          <w:iCs/>
          <w:sz w:val="22"/>
          <w:szCs w:val="22"/>
        </w:rPr>
        <w:t>tax – currently 39.5 cents p</w:t>
      </w:r>
      <w:r w:rsidR="001A7687">
        <w:rPr>
          <w:rFonts w:ascii="Arial" w:hAnsi="Arial" w:cs="Arial"/>
          <w:iCs/>
          <w:sz w:val="22"/>
          <w:szCs w:val="22"/>
        </w:rPr>
        <w:t xml:space="preserve">er litre – at the point of sale, </w:t>
      </w:r>
      <w:r w:rsidR="0080683E">
        <w:rPr>
          <w:rFonts w:ascii="Arial" w:hAnsi="Arial" w:cs="Arial"/>
          <w:iCs/>
          <w:sz w:val="22"/>
          <w:szCs w:val="22"/>
        </w:rPr>
        <w:t xml:space="preserve">through </w:t>
      </w:r>
      <w:r w:rsidR="001A7687">
        <w:rPr>
          <w:rFonts w:ascii="Arial" w:hAnsi="Arial" w:cs="Arial"/>
          <w:iCs/>
          <w:sz w:val="22"/>
          <w:szCs w:val="22"/>
        </w:rPr>
        <w:t xml:space="preserve">a </w:t>
      </w:r>
      <w:r w:rsidR="0080683E">
        <w:rPr>
          <w:rFonts w:ascii="Arial" w:hAnsi="Arial" w:cs="Arial"/>
          <w:iCs/>
          <w:sz w:val="22"/>
          <w:szCs w:val="22"/>
        </w:rPr>
        <w:t xml:space="preserve">fuel card </w:t>
      </w:r>
      <w:r w:rsidR="001A7687">
        <w:rPr>
          <w:rFonts w:ascii="Arial" w:hAnsi="Arial" w:cs="Arial"/>
          <w:iCs/>
          <w:sz w:val="22"/>
          <w:szCs w:val="22"/>
        </w:rPr>
        <w:t>solution, or via invoice for bulk purchases</w:t>
      </w:r>
      <w:r>
        <w:rPr>
          <w:rFonts w:ascii="Arial" w:hAnsi="Arial" w:cs="Arial"/>
          <w:iCs/>
          <w:sz w:val="22"/>
          <w:szCs w:val="22"/>
        </w:rPr>
        <w:t xml:space="preserve">. </w:t>
      </w:r>
      <w:r w:rsidR="0080683E">
        <w:rPr>
          <w:rFonts w:ascii="Arial" w:hAnsi="Arial" w:cs="Arial"/>
          <w:iCs/>
          <w:sz w:val="22"/>
          <w:szCs w:val="22"/>
        </w:rPr>
        <w:t xml:space="preserve">Fuel card statements are typically </w:t>
      </w:r>
      <w:r w:rsidR="00946124">
        <w:rPr>
          <w:rFonts w:ascii="Arial" w:hAnsi="Arial" w:cs="Arial"/>
          <w:iCs/>
          <w:sz w:val="22"/>
          <w:szCs w:val="22"/>
        </w:rPr>
        <w:t>payable monthly</w:t>
      </w:r>
      <w:r w:rsidR="0080683E">
        <w:rPr>
          <w:rFonts w:ascii="Arial" w:hAnsi="Arial" w:cs="Arial"/>
          <w:iCs/>
          <w:sz w:val="22"/>
          <w:szCs w:val="22"/>
        </w:rPr>
        <w:t>.</w:t>
      </w:r>
    </w:p>
    <w:p w:rsidR="003D7690" w:rsidRDefault="0080683E" w:rsidP="00F6200B">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 </w:t>
      </w:r>
    </w:p>
    <w:p w:rsidR="00F6200B" w:rsidRDefault="0080683E" w:rsidP="00F6200B">
      <w:pPr>
        <w:pStyle w:val="NormalWeb"/>
        <w:spacing w:before="0" w:beforeAutospacing="0" w:after="0" w:afterAutospacing="0"/>
        <w:rPr>
          <w:rFonts w:ascii="Arial" w:hAnsi="Arial" w:cs="Arial"/>
          <w:iCs/>
          <w:sz w:val="22"/>
          <w:szCs w:val="22"/>
        </w:rPr>
      </w:pPr>
      <w:r>
        <w:rPr>
          <w:rFonts w:ascii="Arial" w:hAnsi="Arial" w:cs="Arial"/>
          <w:iCs/>
          <w:sz w:val="22"/>
          <w:szCs w:val="22"/>
        </w:rPr>
        <w:t>Businesses operating eligible heavy vehicles on public road</w:t>
      </w:r>
      <w:r w:rsidR="001A7687">
        <w:rPr>
          <w:rFonts w:ascii="Arial" w:hAnsi="Arial" w:cs="Arial"/>
          <w:iCs/>
          <w:sz w:val="22"/>
          <w:szCs w:val="22"/>
        </w:rPr>
        <w:t>s</w:t>
      </w:r>
      <w:r>
        <w:rPr>
          <w:rFonts w:ascii="Arial" w:hAnsi="Arial" w:cs="Arial"/>
          <w:iCs/>
          <w:sz w:val="22"/>
          <w:szCs w:val="22"/>
        </w:rPr>
        <w:t xml:space="preserve"> </w:t>
      </w:r>
      <w:r w:rsidR="006F6C3C">
        <w:rPr>
          <w:rFonts w:ascii="Arial" w:hAnsi="Arial" w:cs="Arial"/>
          <w:iCs/>
          <w:sz w:val="22"/>
          <w:szCs w:val="22"/>
        </w:rPr>
        <w:t xml:space="preserve">can </w:t>
      </w:r>
      <w:r>
        <w:rPr>
          <w:rFonts w:ascii="Arial" w:hAnsi="Arial" w:cs="Arial"/>
          <w:iCs/>
          <w:sz w:val="22"/>
          <w:szCs w:val="22"/>
        </w:rPr>
        <w:t xml:space="preserve">receive fuel tax credits, currently 13.36 cents per litre. Operators </w:t>
      </w:r>
      <w:r w:rsidR="001A7687">
        <w:rPr>
          <w:rFonts w:ascii="Arial" w:hAnsi="Arial" w:cs="Arial"/>
          <w:iCs/>
          <w:sz w:val="22"/>
          <w:szCs w:val="22"/>
        </w:rPr>
        <w:t>claim</w:t>
      </w:r>
      <w:r>
        <w:rPr>
          <w:rFonts w:ascii="Arial" w:hAnsi="Arial" w:cs="Arial"/>
          <w:iCs/>
          <w:sz w:val="22"/>
          <w:szCs w:val="22"/>
        </w:rPr>
        <w:t xml:space="preserve"> fuel tax credits via the business activity statement system, so </w:t>
      </w:r>
      <w:r w:rsidR="001A7687">
        <w:rPr>
          <w:rFonts w:ascii="Arial" w:hAnsi="Arial" w:cs="Arial"/>
          <w:iCs/>
          <w:sz w:val="22"/>
          <w:szCs w:val="22"/>
        </w:rPr>
        <w:t>most</w:t>
      </w:r>
      <w:r>
        <w:rPr>
          <w:rFonts w:ascii="Arial" w:hAnsi="Arial" w:cs="Arial"/>
          <w:iCs/>
          <w:sz w:val="22"/>
          <w:szCs w:val="22"/>
        </w:rPr>
        <w:t xml:space="preserve"> operators receive the</w:t>
      </w:r>
      <w:r w:rsidR="0082468F">
        <w:rPr>
          <w:rFonts w:ascii="Arial" w:hAnsi="Arial" w:cs="Arial"/>
          <w:iCs/>
          <w:sz w:val="22"/>
          <w:szCs w:val="22"/>
        </w:rPr>
        <w:t>ir</w:t>
      </w:r>
      <w:r>
        <w:rPr>
          <w:rFonts w:ascii="Arial" w:hAnsi="Arial" w:cs="Arial"/>
          <w:iCs/>
          <w:sz w:val="22"/>
          <w:szCs w:val="22"/>
        </w:rPr>
        <w:t xml:space="preserve"> credits quarterly.</w:t>
      </w:r>
    </w:p>
    <w:p w:rsidR="00F6200B" w:rsidRDefault="00F6200B" w:rsidP="00F6200B">
      <w:pPr>
        <w:pStyle w:val="NormalWeb"/>
        <w:spacing w:before="0" w:beforeAutospacing="0" w:after="0" w:afterAutospacing="0"/>
        <w:rPr>
          <w:rFonts w:ascii="Arial" w:hAnsi="Arial" w:cs="Arial"/>
          <w:iCs/>
          <w:sz w:val="22"/>
          <w:szCs w:val="22"/>
        </w:rPr>
      </w:pPr>
    </w:p>
    <w:p w:rsidR="0080683E" w:rsidRDefault="0080683E" w:rsidP="00F6200B">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Trucking businesses paying for their road use via direct pricing would face </w:t>
      </w:r>
      <w:r w:rsidR="00271561">
        <w:rPr>
          <w:rFonts w:ascii="Arial" w:hAnsi="Arial" w:cs="Arial"/>
          <w:iCs/>
          <w:sz w:val="22"/>
          <w:szCs w:val="22"/>
        </w:rPr>
        <w:t xml:space="preserve">an increased </w:t>
      </w:r>
      <w:r w:rsidR="005350B5">
        <w:rPr>
          <w:rFonts w:ascii="Arial" w:hAnsi="Arial" w:cs="Arial"/>
          <w:iCs/>
          <w:sz w:val="22"/>
          <w:szCs w:val="22"/>
        </w:rPr>
        <w:t>cash flow burden. T</w:t>
      </w:r>
      <w:r>
        <w:rPr>
          <w:rFonts w:ascii="Arial" w:hAnsi="Arial" w:cs="Arial"/>
          <w:iCs/>
          <w:sz w:val="22"/>
          <w:szCs w:val="22"/>
        </w:rPr>
        <w:t>hey would continue to pay the full rate of fuel tax as well</w:t>
      </w:r>
      <w:r w:rsidR="00271561">
        <w:rPr>
          <w:rFonts w:ascii="Arial" w:hAnsi="Arial" w:cs="Arial"/>
          <w:iCs/>
          <w:sz w:val="22"/>
          <w:szCs w:val="22"/>
        </w:rPr>
        <w:t xml:space="preserve"> as their direct pricing payments. They would receive </w:t>
      </w:r>
      <w:r w:rsidR="00946124">
        <w:rPr>
          <w:rFonts w:ascii="Arial" w:hAnsi="Arial" w:cs="Arial"/>
          <w:iCs/>
          <w:sz w:val="22"/>
          <w:szCs w:val="22"/>
        </w:rPr>
        <w:t xml:space="preserve">their </w:t>
      </w:r>
      <w:r>
        <w:rPr>
          <w:rFonts w:ascii="Arial" w:hAnsi="Arial" w:cs="Arial"/>
          <w:iCs/>
          <w:sz w:val="22"/>
          <w:szCs w:val="22"/>
        </w:rPr>
        <w:t xml:space="preserve">fuel tax credits </w:t>
      </w:r>
      <w:r w:rsidR="00271561">
        <w:rPr>
          <w:rFonts w:ascii="Arial" w:hAnsi="Arial" w:cs="Arial"/>
          <w:iCs/>
          <w:sz w:val="22"/>
          <w:szCs w:val="22"/>
        </w:rPr>
        <w:t xml:space="preserve">some </w:t>
      </w:r>
      <w:r w:rsidR="00320150">
        <w:rPr>
          <w:rFonts w:ascii="Arial" w:hAnsi="Arial" w:cs="Arial"/>
          <w:iCs/>
          <w:sz w:val="22"/>
          <w:szCs w:val="22"/>
        </w:rPr>
        <w:t xml:space="preserve">time </w:t>
      </w:r>
      <w:r w:rsidR="00271561">
        <w:rPr>
          <w:rFonts w:ascii="Arial" w:hAnsi="Arial" w:cs="Arial"/>
          <w:iCs/>
          <w:sz w:val="22"/>
          <w:szCs w:val="22"/>
        </w:rPr>
        <w:t xml:space="preserve">after </w:t>
      </w:r>
      <w:r w:rsidR="0082468F">
        <w:rPr>
          <w:rFonts w:ascii="Arial" w:hAnsi="Arial" w:cs="Arial"/>
          <w:iCs/>
          <w:sz w:val="22"/>
          <w:szCs w:val="22"/>
        </w:rPr>
        <w:t xml:space="preserve">making </w:t>
      </w:r>
      <w:r w:rsidR="00271561">
        <w:rPr>
          <w:rFonts w:ascii="Arial" w:hAnsi="Arial" w:cs="Arial"/>
          <w:iCs/>
          <w:sz w:val="22"/>
          <w:szCs w:val="22"/>
        </w:rPr>
        <w:t>these</w:t>
      </w:r>
      <w:r w:rsidR="005350B5">
        <w:rPr>
          <w:rFonts w:ascii="Arial" w:hAnsi="Arial" w:cs="Arial"/>
          <w:iCs/>
          <w:sz w:val="22"/>
          <w:szCs w:val="22"/>
        </w:rPr>
        <w:t xml:space="preserve"> increased</w:t>
      </w:r>
      <w:r w:rsidR="00320150">
        <w:rPr>
          <w:rFonts w:ascii="Arial" w:hAnsi="Arial" w:cs="Arial"/>
          <w:iCs/>
          <w:sz w:val="22"/>
          <w:szCs w:val="22"/>
        </w:rPr>
        <w:t xml:space="preserve"> payments.</w:t>
      </w:r>
    </w:p>
    <w:p w:rsidR="00F6200B" w:rsidRDefault="00F6200B" w:rsidP="00F6200B">
      <w:pPr>
        <w:pStyle w:val="NormalWeb"/>
        <w:spacing w:before="0" w:beforeAutospacing="0" w:after="0" w:afterAutospacing="0"/>
        <w:rPr>
          <w:rFonts w:ascii="Arial" w:hAnsi="Arial" w:cs="Arial"/>
          <w:iCs/>
          <w:sz w:val="22"/>
          <w:szCs w:val="22"/>
        </w:rPr>
      </w:pPr>
    </w:p>
    <w:p w:rsidR="00F6200B" w:rsidRDefault="00604795" w:rsidP="00F6200B">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In the ATA’s view, </w:t>
      </w:r>
      <w:r w:rsidR="00F6200B">
        <w:rPr>
          <w:rFonts w:ascii="Arial" w:hAnsi="Arial" w:cs="Arial"/>
          <w:iCs/>
          <w:sz w:val="22"/>
          <w:szCs w:val="22"/>
        </w:rPr>
        <w:t xml:space="preserve">the Government </w:t>
      </w:r>
      <w:r>
        <w:rPr>
          <w:rFonts w:ascii="Arial" w:hAnsi="Arial" w:cs="Arial"/>
          <w:iCs/>
          <w:sz w:val="22"/>
          <w:szCs w:val="22"/>
        </w:rPr>
        <w:t xml:space="preserve">should explore options </w:t>
      </w:r>
      <w:r w:rsidR="004F6D2F">
        <w:rPr>
          <w:rFonts w:ascii="Arial" w:hAnsi="Arial" w:cs="Arial"/>
          <w:iCs/>
          <w:sz w:val="22"/>
          <w:szCs w:val="22"/>
        </w:rPr>
        <w:t>to reduce this cash flow gap</w:t>
      </w:r>
      <w:r w:rsidR="00F6200B">
        <w:rPr>
          <w:rFonts w:ascii="Arial" w:hAnsi="Arial" w:cs="Arial"/>
          <w:iCs/>
          <w:sz w:val="22"/>
          <w:szCs w:val="22"/>
        </w:rPr>
        <w:t xml:space="preserve"> </w:t>
      </w:r>
      <w:r w:rsidR="004F6D2F">
        <w:rPr>
          <w:rFonts w:ascii="Arial" w:hAnsi="Arial" w:cs="Arial"/>
          <w:iCs/>
          <w:sz w:val="22"/>
          <w:szCs w:val="22"/>
        </w:rPr>
        <w:t xml:space="preserve">by enabling eligible businesses to receive their fuel tax credits </w:t>
      </w:r>
      <w:r w:rsidR="00320150">
        <w:rPr>
          <w:rFonts w:ascii="Arial" w:hAnsi="Arial" w:cs="Arial"/>
          <w:iCs/>
          <w:sz w:val="22"/>
          <w:szCs w:val="22"/>
        </w:rPr>
        <w:t>at the time of payment</w:t>
      </w:r>
      <w:r w:rsidR="00047B01">
        <w:rPr>
          <w:rFonts w:ascii="Arial" w:hAnsi="Arial" w:cs="Arial"/>
          <w:iCs/>
          <w:sz w:val="22"/>
          <w:szCs w:val="22"/>
        </w:rPr>
        <w:t xml:space="preserve"> or invoice</w:t>
      </w:r>
      <w:r w:rsidR="004F6D2F">
        <w:rPr>
          <w:rFonts w:ascii="Arial" w:hAnsi="Arial" w:cs="Arial"/>
          <w:iCs/>
          <w:sz w:val="22"/>
          <w:szCs w:val="22"/>
        </w:rPr>
        <w:t>.</w:t>
      </w:r>
    </w:p>
    <w:p w:rsidR="004C78A5" w:rsidRDefault="004C78A5" w:rsidP="00F6200B">
      <w:pPr>
        <w:pStyle w:val="NormalWeb"/>
        <w:spacing w:before="0" w:beforeAutospacing="0" w:after="0" w:afterAutospacing="0"/>
        <w:rPr>
          <w:rFonts w:ascii="Arial" w:hAnsi="Arial" w:cs="Arial"/>
          <w:iCs/>
          <w:sz w:val="22"/>
          <w:szCs w:val="22"/>
        </w:rPr>
      </w:pPr>
    </w:p>
    <w:p w:rsidR="00F6200B" w:rsidRDefault="00F6200B" w:rsidP="00F6200B">
      <w:pPr>
        <w:pStyle w:val="NormalWeb"/>
        <w:spacing w:before="0" w:beforeAutospacing="0" w:after="0" w:afterAutospacing="0"/>
        <w:rPr>
          <w:rFonts w:ascii="Arial" w:hAnsi="Arial" w:cs="Arial"/>
          <w:iCs/>
          <w:sz w:val="22"/>
          <w:szCs w:val="22"/>
        </w:rPr>
      </w:pPr>
    </w:p>
    <w:p w:rsidR="00F6200B" w:rsidRPr="004C78A5" w:rsidRDefault="00F6200B" w:rsidP="00F6200B">
      <w:pPr>
        <w:pStyle w:val="NormalWeb"/>
        <w:spacing w:before="0" w:beforeAutospacing="0" w:after="0" w:afterAutospacing="0"/>
        <w:rPr>
          <w:rFonts w:ascii="Arial" w:hAnsi="Arial" w:cs="Arial"/>
          <w:b/>
          <w:iCs/>
          <w:sz w:val="22"/>
          <w:szCs w:val="22"/>
        </w:rPr>
      </w:pPr>
      <w:r w:rsidRPr="004C78A5">
        <w:rPr>
          <w:rFonts w:ascii="Arial" w:hAnsi="Arial" w:cs="Arial"/>
          <w:b/>
          <w:iCs/>
          <w:sz w:val="22"/>
          <w:szCs w:val="22"/>
        </w:rPr>
        <w:t xml:space="preserve">Recommendation </w:t>
      </w:r>
      <w:r w:rsidR="00D36B98">
        <w:rPr>
          <w:rFonts w:ascii="Arial" w:hAnsi="Arial" w:cs="Arial"/>
          <w:b/>
          <w:iCs/>
          <w:sz w:val="22"/>
          <w:szCs w:val="22"/>
        </w:rPr>
        <w:t>4</w:t>
      </w:r>
    </w:p>
    <w:p w:rsidR="00F14B69" w:rsidRDefault="00F14B69" w:rsidP="009D1601">
      <w:pPr>
        <w:pStyle w:val="NormalWeb"/>
        <w:spacing w:before="0" w:beforeAutospacing="0" w:after="0" w:afterAutospacing="0"/>
        <w:rPr>
          <w:rFonts w:ascii="Arial" w:hAnsi="Arial" w:cs="Arial"/>
          <w:iCs/>
          <w:sz w:val="22"/>
          <w:szCs w:val="22"/>
        </w:rPr>
      </w:pPr>
    </w:p>
    <w:p w:rsidR="00C07345" w:rsidRDefault="00320150" w:rsidP="009D1601">
      <w:pPr>
        <w:pStyle w:val="NormalWeb"/>
        <w:spacing w:before="0" w:beforeAutospacing="0" w:after="0" w:afterAutospacing="0"/>
        <w:rPr>
          <w:rFonts w:ascii="Arial" w:hAnsi="Arial" w:cs="Arial"/>
          <w:iCs/>
          <w:sz w:val="22"/>
          <w:szCs w:val="22"/>
        </w:rPr>
      </w:pPr>
      <w:r>
        <w:rPr>
          <w:rFonts w:ascii="Arial" w:hAnsi="Arial" w:cs="Arial"/>
          <w:iCs/>
          <w:sz w:val="22"/>
          <w:szCs w:val="22"/>
        </w:rPr>
        <w:t>The Government should reprioritise existing spending to undertake</w:t>
      </w:r>
      <w:r w:rsidR="00C07345">
        <w:rPr>
          <w:rFonts w:ascii="Arial" w:hAnsi="Arial" w:cs="Arial"/>
          <w:iCs/>
          <w:sz w:val="22"/>
          <w:szCs w:val="22"/>
        </w:rPr>
        <w:t xml:space="preserve"> the following developmental activities with respect to road pricing reform:</w:t>
      </w:r>
    </w:p>
    <w:p w:rsidR="00C07345" w:rsidRDefault="00C07345" w:rsidP="009D1601">
      <w:pPr>
        <w:pStyle w:val="NormalWeb"/>
        <w:spacing w:before="0" w:beforeAutospacing="0" w:after="0" w:afterAutospacing="0"/>
        <w:rPr>
          <w:rFonts w:ascii="Arial" w:hAnsi="Arial" w:cs="Arial"/>
          <w:iCs/>
          <w:sz w:val="22"/>
          <w:szCs w:val="22"/>
        </w:rPr>
      </w:pPr>
    </w:p>
    <w:p w:rsidR="00546664" w:rsidRDefault="00546664" w:rsidP="00C07345">
      <w:pPr>
        <w:pStyle w:val="NormalWeb"/>
        <w:numPr>
          <w:ilvl w:val="0"/>
          <w:numId w:val="23"/>
        </w:numPr>
        <w:spacing w:before="0" w:beforeAutospacing="0" w:after="0" w:afterAutospacing="0"/>
        <w:rPr>
          <w:rFonts w:ascii="Arial" w:hAnsi="Arial" w:cs="Arial"/>
          <w:iCs/>
          <w:sz w:val="22"/>
          <w:szCs w:val="22"/>
        </w:rPr>
      </w:pPr>
      <w:r>
        <w:rPr>
          <w:rFonts w:ascii="Arial" w:hAnsi="Arial" w:cs="Arial"/>
          <w:iCs/>
          <w:sz w:val="22"/>
          <w:szCs w:val="22"/>
        </w:rPr>
        <w:t xml:space="preserve">developing an independent economic regulator for road prices, however they are </w:t>
      </w:r>
      <w:r w:rsidR="00320150">
        <w:rPr>
          <w:rFonts w:ascii="Arial" w:hAnsi="Arial" w:cs="Arial"/>
          <w:iCs/>
          <w:sz w:val="22"/>
          <w:szCs w:val="22"/>
        </w:rPr>
        <w:t xml:space="preserve">to be </w:t>
      </w:r>
      <w:r>
        <w:rPr>
          <w:rFonts w:ascii="Arial" w:hAnsi="Arial" w:cs="Arial"/>
          <w:iCs/>
          <w:sz w:val="22"/>
          <w:szCs w:val="22"/>
        </w:rPr>
        <w:t>imposed, and regulated service delivery standards for roads</w:t>
      </w:r>
    </w:p>
    <w:p w:rsidR="00C07345" w:rsidRPr="00546664" w:rsidRDefault="00546664" w:rsidP="00B97B3E">
      <w:pPr>
        <w:pStyle w:val="NormalWeb"/>
        <w:numPr>
          <w:ilvl w:val="0"/>
          <w:numId w:val="23"/>
        </w:numPr>
        <w:spacing w:before="0" w:beforeAutospacing="0" w:after="0" w:afterAutospacing="0"/>
        <w:rPr>
          <w:rFonts w:ascii="Arial" w:hAnsi="Arial" w:cs="Arial"/>
          <w:iCs/>
          <w:sz w:val="22"/>
          <w:szCs w:val="22"/>
        </w:rPr>
      </w:pPr>
      <w:r w:rsidRPr="00546664">
        <w:rPr>
          <w:rFonts w:ascii="Arial" w:hAnsi="Arial" w:cs="Arial"/>
          <w:iCs/>
          <w:sz w:val="22"/>
          <w:szCs w:val="22"/>
        </w:rPr>
        <w:t>developing</w:t>
      </w:r>
      <w:r w:rsidR="00C07345" w:rsidRPr="00546664">
        <w:rPr>
          <w:rFonts w:ascii="Arial" w:hAnsi="Arial" w:cs="Arial"/>
          <w:iCs/>
          <w:sz w:val="22"/>
          <w:szCs w:val="22"/>
        </w:rPr>
        <w:t xml:space="preserve"> </w:t>
      </w:r>
      <w:r w:rsidR="0082468F">
        <w:rPr>
          <w:rFonts w:ascii="Arial" w:hAnsi="Arial" w:cs="Arial"/>
          <w:iCs/>
          <w:sz w:val="22"/>
          <w:szCs w:val="22"/>
        </w:rPr>
        <w:t>the road fund concept so it could</w:t>
      </w:r>
      <w:r w:rsidRPr="00546664">
        <w:rPr>
          <w:rFonts w:ascii="Arial" w:hAnsi="Arial" w:cs="Arial"/>
          <w:iCs/>
          <w:sz w:val="22"/>
          <w:szCs w:val="22"/>
        </w:rPr>
        <w:t xml:space="preserve"> be implemented in conjunction with any new pricing system</w:t>
      </w:r>
    </w:p>
    <w:p w:rsidR="004C78A5" w:rsidRDefault="004F6D2F" w:rsidP="00C07345">
      <w:pPr>
        <w:pStyle w:val="NormalWeb"/>
        <w:numPr>
          <w:ilvl w:val="0"/>
          <w:numId w:val="23"/>
        </w:numPr>
        <w:spacing w:before="0" w:beforeAutospacing="0" w:after="0" w:afterAutospacing="0"/>
        <w:rPr>
          <w:rFonts w:ascii="Arial" w:hAnsi="Arial" w:cs="Arial"/>
          <w:iCs/>
          <w:sz w:val="22"/>
          <w:szCs w:val="22"/>
        </w:rPr>
      </w:pPr>
      <w:r>
        <w:rPr>
          <w:rFonts w:ascii="Arial" w:hAnsi="Arial" w:cs="Arial"/>
          <w:iCs/>
          <w:sz w:val="22"/>
          <w:szCs w:val="22"/>
        </w:rPr>
        <w:t>reducing</w:t>
      </w:r>
      <w:r w:rsidR="00C07345">
        <w:rPr>
          <w:rFonts w:ascii="Arial" w:hAnsi="Arial" w:cs="Arial"/>
          <w:iCs/>
          <w:sz w:val="22"/>
          <w:szCs w:val="22"/>
        </w:rPr>
        <w:t xml:space="preserve"> the cash flow gap </w:t>
      </w:r>
      <w:r w:rsidR="00320150">
        <w:rPr>
          <w:rFonts w:ascii="Arial" w:hAnsi="Arial" w:cs="Arial"/>
          <w:iCs/>
          <w:sz w:val="22"/>
          <w:szCs w:val="22"/>
        </w:rPr>
        <w:t>caused by the interaction between road pricing and the existing fuel tax credits system</w:t>
      </w:r>
      <w:r>
        <w:rPr>
          <w:rFonts w:ascii="Arial" w:hAnsi="Arial" w:cs="Arial"/>
          <w:iCs/>
          <w:sz w:val="22"/>
          <w:szCs w:val="22"/>
        </w:rPr>
        <w:t>.</w:t>
      </w:r>
    </w:p>
    <w:p w:rsidR="00D36B98" w:rsidRDefault="00D36B98" w:rsidP="00D36B98">
      <w:pPr>
        <w:pStyle w:val="NormalWeb"/>
        <w:spacing w:before="0" w:beforeAutospacing="0" w:after="0" w:afterAutospacing="0"/>
        <w:rPr>
          <w:rFonts w:ascii="Arial" w:hAnsi="Arial" w:cs="Arial"/>
          <w:iCs/>
          <w:sz w:val="22"/>
          <w:szCs w:val="22"/>
        </w:rPr>
      </w:pPr>
    </w:p>
    <w:p w:rsidR="00D36B98" w:rsidRDefault="00D36B98" w:rsidP="00D36B98">
      <w:pPr>
        <w:pStyle w:val="NormalWeb"/>
        <w:spacing w:before="0" w:beforeAutospacing="0" w:after="0" w:afterAutospacing="0"/>
        <w:rPr>
          <w:rFonts w:ascii="Arial" w:hAnsi="Arial" w:cs="Arial"/>
          <w:iCs/>
          <w:sz w:val="22"/>
          <w:szCs w:val="22"/>
        </w:rPr>
      </w:pPr>
    </w:p>
    <w:p w:rsidR="004762BA" w:rsidRPr="00706722" w:rsidRDefault="004762BA" w:rsidP="00571F8F">
      <w:pPr>
        <w:pStyle w:val="Heading1"/>
        <w:keepNext/>
        <w:rPr>
          <w:sz w:val="24"/>
          <w:szCs w:val="24"/>
        </w:rPr>
      </w:pPr>
      <w:bookmarkStart w:id="14" w:name="_Toc442434873"/>
      <w:r>
        <w:rPr>
          <w:sz w:val="24"/>
          <w:szCs w:val="24"/>
        </w:rPr>
        <w:lastRenderedPageBreak/>
        <w:t>Other issues</w:t>
      </w:r>
      <w:bookmarkEnd w:id="14"/>
    </w:p>
    <w:p w:rsidR="004762BA" w:rsidRDefault="004762BA" w:rsidP="00571F8F">
      <w:pPr>
        <w:pStyle w:val="NormalWeb"/>
        <w:keepNext/>
        <w:spacing w:before="0" w:beforeAutospacing="0" w:after="0" w:afterAutospacing="0"/>
        <w:rPr>
          <w:rFonts w:ascii="Arial" w:hAnsi="Arial" w:cs="Arial"/>
          <w:iCs/>
          <w:sz w:val="22"/>
          <w:szCs w:val="22"/>
        </w:rPr>
      </w:pPr>
    </w:p>
    <w:p w:rsidR="004762BA" w:rsidRPr="006975D4" w:rsidRDefault="004762BA" w:rsidP="00571F8F">
      <w:pPr>
        <w:keepNext/>
        <w:rPr>
          <w:rFonts w:ascii="Arial" w:eastAsiaTheme="minorHAnsi" w:hAnsi="Arial" w:cs="Arial"/>
        </w:rPr>
      </w:pPr>
      <w:r w:rsidRPr="004762BA">
        <w:rPr>
          <w:rFonts w:ascii="Arial" w:hAnsi="Arial" w:cs="Arial"/>
        </w:rPr>
        <w:t xml:space="preserve">In its final report on </w:t>
      </w:r>
      <w:r w:rsidR="00320150">
        <w:rPr>
          <w:rFonts w:ascii="Arial" w:hAnsi="Arial" w:cs="Arial"/>
        </w:rPr>
        <w:t>business set-up, transfer and c</w:t>
      </w:r>
      <w:r>
        <w:rPr>
          <w:rFonts w:ascii="Arial" w:hAnsi="Arial" w:cs="Arial"/>
        </w:rPr>
        <w:t xml:space="preserve">losure, the </w:t>
      </w:r>
      <w:r w:rsidRPr="004762BA">
        <w:rPr>
          <w:rFonts w:ascii="Arial" w:eastAsiaTheme="minorHAnsi" w:hAnsi="Arial" w:cs="Arial"/>
        </w:rPr>
        <w:t>Productivity</w:t>
      </w:r>
      <w:r w:rsidRPr="006975D4">
        <w:rPr>
          <w:rFonts w:ascii="Arial" w:eastAsiaTheme="minorHAnsi" w:hAnsi="Arial" w:cs="Arial"/>
        </w:rPr>
        <w:t xml:space="preserve"> Commission </w:t>
      </w:r>
      <w:r>
        <w:rPr>
          <w:rFonts w:ascii="Arial" w:eastAsiaTheme="minorHAnsi" w:hAnsi="Arial" w:cs="Arial"/>
        </w:rPr>
        <w:t>recommended that</w:t>
      </w:r>
      <w:r w:rsidRPr="006975D4">
        <w:rPr>
          <w:rFonts w:ascii="Arial" w:eastAsiaTheme="minorHAnsi" w:hAnsi="Arial" w:cs="Arial"/>
        </w:rPr>
        <w:t>:</w:t>
      </w:r>
    </w:p>
    <w:p w:rsidR="004762BA" w:rsidRPr="006975D4" w:rsidRDefault="004762BA" w:rsidP="004762BA">
      <w:pPr>
        <w:keepNext/>
        <w:rPr>
          <w:rFonts w:ascii="Arial" w:eastAsiaTheme="minorHAnsi" w:hAnsi="Arial" w:cs="Arial"/>
        </w:rPr>
      </w:pPr>
    </w:p>
    <w:p w:rsidR="004762BA" w:rsidRDefault="004762BA" w:rsidP="004762BA">
      <w:pPr>
        <w:keepNext/>
        <w:ind w:left="720" w:right="720"/>
        <w:rPr>
          <w:rFonts w:ascii="Arial" w:eastAsiaTheme="minorHAnsi" w:hAnsi="Arial" w:cs="Arial"/>
          <w:sz w:val="18"/>
          <w:szCs w:val="18"/>
        </w:rPr>
      </w:pPr>
      <w:r w:rsidRPr="009D5312">
        <w:rPr>
          <w:rFonts w:ascii="Arial" w:eastAsiaTheme="minorHAnsi" w:hAnsi="Arial" w:cs="Arial"/>
          <w:sz w:val="18"/>
          <w:szCs w:val="18"/>
        </w:rPr>
        <w:t>The current small business capital gains tax concessions should be rationalised. The</w:t>
      </w:r>
      <w:r>
        <w:rPr>
          <w:rFonts w:ascii="Arial" w:eastAsiaTheme="minorHAnsi" w:hAnsi="Arial" w:cs="Arial"/>
          <w:sz w:val="18"/>
          <w:szCs w:val="18"/>
        </w:rPr>
        <w:t xml:space="preserve"> </w:t>
      </w:r>
      <w:r w:rsidRPr="009D5312">
        <w:rPr>
          <w:rFonts w:ascii="Arial" w:eastAsiaTheme="minorHAnsi" w:hAnsi="Arial" w:cs="Arial"/>
          <w:sz w:val="18"/>
          <w:szCs w:val="18"/>
        </w:rPr>
        <w:t>White Paper on the Reform of Australia’s Tax System should consider</w:t>
      </w:r>
      <w:r>
        <w:rPr>
          <w:rFonts w:ascii="Arial" w:eastAsiaTheme="minorHAnsi" w:hAnsi="Arial" w:cs="Arial"/>
          <w:sz w:val="18"/>
          <w:szCs w:val="18"/>
        </w:rPr>
        <w:t>:</w:t>
      </w:r>
      <w:r w:rsidRPr="009D5312">
        <w:rPr>
          <w:rFonts w:ascii="Arial" w:eastAsiaTheme="minorHAnsi" w:hAnsi="Arial" w:cs="Arial"/>
          <w:sz w:val="18"/>
          <w:szCs w:val="18"/>
        </w:rPr>
        <w:t xml:space="preserve"> </w:t>
      </w:r>
    </w:p>
    <w:p w:rsidR="004762BA" w:rsidRDefault="004762BA" w:rsidP="004762BA">
      <w:pPr>
        <w:keepNext/>
        <w:ind w:left="720" w:right="720"/>
        <w:rPr>
          <w:rFonts w:ascii="Arial" w:eastAsiaTheme="minorHAnsi" w:hAnsi="Arial" w:cs="Arial"/>
          <w:sz w:val="18"/>
          <w:szCs w:val="18"/>
        </w:rPr>
      </w:pPr>
    </w:p>
    <w:p w:rsidR="004762BA" w:rsidRDefault="004762BA" w:rsidP="004762BA">
      <w:pPr>
        <w:pStyle w:val="ListParagraph"/>
        <w:keepNext/>
        <w:numPr>
          <w:ilvl w:val="0"/>
          <w:numId w:val="15"/>
        </w:numPr>
        <w:ind w:right="720"/>
        <w:rPr>
          <w:rFonts w:ascii="Arial" w:eastAsiaTheme="minorHAnsi" w:hAnsi="Arial" w:cs="Arial"/>
          <w:sz w:val="18"/>
          <w:szCs w:val="18"/>
        </w:rPr>
      </w:pPr>
      <w:r w:rsidRPr="00985A2C">
        <w:rPr>
          <w:rFonts w:ascii="Arial" w:eastAsiaTheme="minorHAnsi" w:hAnsi="Arial" w:cs="Arial"/>
          <w:sz w:val="18"/>
          <w:szCs w:val="18"/>
        </w:rPr>
        <w:t>the recommendations of the Henry Tax Review relating to small business capital gains tax relief with a view to the effectiveness of implementation, avoidance of unintended consequences and ensuring consistency with broader tax policy.</w:t>
      </w:r>
    </w:p>
    <w:p w:rsidR="004762BA" w:rsidRPr="00985A2C" w:rsidRDefault="004762BA" w:rsidP="004762BA">
      <w:pPr>
        <w:pStyle w:val="ListParagraph"/>
        <w:keepNext/>
        <w:numPr>
          <w:ilvl w:val="0"/>
          <w:numId w:val="15"/>
        </w:numPr>
        <w:spacing w:after="0" w:line="240" w:lineRule="auto"/>
        <w:ind w:right="720"/>
        <w:rPr>
          <w:rFonts w:ascii="Arial" w:eastAsiaTheme="minorHAnsi" w:hAnsi="Arial" w:cs="Arial"/>
          <w:sz w:val="18"/>
          <w:szCs w:val="18"/>
        </w:rPr>
      </w:pPr>
      <w:r>
        <w:rPr>
          <w:rFonts w:ascii="Arial" w:eastAsiaTheme="minorHAnsi" w:hAnsi="Arial" w:cs="Arial"/>
          <w:sz w:val="18"/>
          <w:szCs w:val="18"/>
        </w:rPr>
        <w:t>t</w:t>
      </w:r>
      <w:r w:rsidRPr="00985A2C">
        <w:rPr>
          <w:rFonts w:ascii="Arial" w:eastAsiaTheme="minorHAnsi" w:hAnsi="Arial" w:cs="Arial"/>
          <w:sz w:val="18"/>
          <w:szCs w:val="18"/>
        </w:rPr>
        <w:t>he relationship between small business capital gains tax relief and retirement incomes policy for small business owners.</w:t>
      </w:r>
      <w:r w:rsidRPr="009D5312">
        <w:rPr>
          <w:rFonts w:ascii="Arial" w:eastAsiaTheme="minorHAnsi" w:hAnsi="Arial" w:cs="Arial"/>
          <w:sz w:val="18"/>
          <w:szCs w:val="18"/>
          <w:vertAlign w:val="superscript"/>
        </w:rPr>
        <w:footnoteReference w:id="19"/>
      </w:r>
    </w:p>
    <w:p w:rsidR="004762BA" w:rsidRDefault="004762BA" w:rsidP="004762BA">
      <w:pPr>
        <w:pStyle w:val="Heading1"/>
        <w:numPr>
          <w:ilvl w:val="0"/>
          <w:numId w:val="0"/>
        </w:numPr>
        <w:rPr>
          <w:b w:val="0"/>
          <w:color w:val="auto"/>
          <w:sz w:val="22"/>
          <w:szCs w:val="22"/>
        </w:rPr>
      </w:pPr>
    </w:p>
    <w:p w:rsidR="004762BA" w:rsidRPr="006975D4" w:rsidRDefault="003F14C7" w:rsidP="00F93B9A">
      <w:pPr>
        <w:keepNext/>
        <w:autoSpaceDE w:val="0"/>
        <w:autoSpaceDN w:val="0"/>
        <w:adjustRightInd w:val="0"/>
        <w:rPr>
          <w:rFonts w:ascii="Arial" w:eastAsiaTheme="minorHAnsi" w:hAnsi="Arial" w:cs="Arial"/>
        </w:rPr>
      </w:pPr>
      <w:r>
        <w:rPr>
          <w:rFonts w:ascii="Arial" w:eastAsiaTheme="minorHAnsi" w:hAnsi="Arial" w:cs="Arial"/>
        </w:rPr>
        <w:t>The ATA’s submission to the inquiry argued that the existing CGT system made it difficult for small family businesses to pass the firm to the next generation of family members.</w:t>
      </w:r>
      <w:r>
        <w:rPr>
          <w:rStyle w:val="FootnoteReference"/>
          <w:rFonts w:ascii="Arial" w:eastAsiaTheme="minorHAnsi" w:hAnsi="Arial"/>
        </w:rPr>
        <w:footnoteReference w:id="20"/>
      </w:r>
    </w:p>
    <w:p w:rsidR="004762BA" w:rsidRDefault="004762BA" w:rsidP="00F93B9A">
      <w:pPr>
        <w:keepNext/>
        <w:rPr>
          <w:rFonts w:ascii="Arial" w:hAnsi="Arial" w:cs="Arial"/>
          <w:iCs/>
        </w:rPr>
      </w:pPr>
    </w:p>
    <w:p w:rsidR="003F14C7" w:rsidRDefault="003F14C7" w:rsidP="00F93B9A">
      <w:pPr>
        <w:keepNext/>
        <w:rPr>
          <w:rFonts w:ascii="Arial" w:hAnsi="Arial" w:cs="Arial"/>
          <w:iCs/>
        </w:rPr>
      </w:pPr>
      <w:r>
        <w:rPr>
          <w:rFonts w:ascii="Arial" w:hAnsi="Arial" w:cs="Arial"/>
          <w:iCs/>
        </w:rPr>
        <w:t>The ATA will continue pursuing this issue through the tax white paper process.</w:t>
      </w:r>
    </w:p>
    <w:sectPr w:rsidR="003F14C7" w:rsidSect="00A9141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567" w:left="1134" w:header="703"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B0" w:rsidRDefault="005F01B0" w:rsidP="000F3D9F">
      <w:r>
        <w:separator/>
      </w:r>
    </w:p>
  </w:endnote>
  <w:endnote w:type="continuationSeparator" w:id="0">
    <w:p w:rsidR="005F01B0" w:rsidRDefault="005F01B0" w:rsidP="000F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FEB" w:rsidRDefault="00FD4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rsidP="0000435D">
    <w:pPr>
      <w:jc w:val="right"/>
      <w:rPr>
        <w:rFonts w:ascii="Arial" w:hAnsi="Arial" w:cs="Arial"/>
        <w:smallCaps/>
        <w:noProof/>
        <w:szCs w:val="23"/>
        <w:lang w:eastAsia="en-AU"/>
      </w:rPr>
    </w:pPr>
    <w:r>
      <w:rPr>
        <w:rFonts w:ascii="Arial" w:hAnsi="Arial" w:cs="Arial"/>
        <w:smallCaps/>
        <w:noProof/>
        <w:szCs w:val="23"/>
        <w:lang w:eastAsia="en-AU"/>
      </w:rPr>
      <w:drawing>
        <wp:inline distT="0" distB="0" distL="0" distR="0" wp14:anchorId="19CF4117" wp14:editId="3F00CF92">
          <wp:extent cx="1751501" cy="84645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ad Logo ACT 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1501" cy="846455"/>
                  </a:xfrm>
                  <a:prstGeom prst="rect">
                    <a:avLst/>
                  </a:prstGeom>
                  <a:noFill/>
                  <a:ln w="9525">
                    <a:noFill/>
                    <a:miter lim="800000"/>
                    <a:headEnd/>
                    <a:tailEnd/>
                  </a:ln>
                </pic:spPr>
              </pic:pic>
            </a:graphicData>
          </a:graphic>
        </wp:inline>
      </w:drawing>
    </w:r>
  </w:p>
  <w:p w:rsidR="005F01B0" w:rsidRPr="00E8056B" w:rsidRDefault="005F01B0" w:rsidP="00E8056B">
    <w:pPr>
      <w:jc w:val="right"/>
      <w:rPr>
        <w:rFonts w:ascii="Arial" w:hAnsi="Arial" w:cs="Arial"/>
        <w:sz w:val="16"/>
        <w:szCs w:val="16"/>
      </w:rPr>
    </w:pPr>
  </w:p>
  <w:p w:rsidR="005F01B0" w:rsidRPr="00E8056B" w:rsidRDefault="005F01B0" w:rsidP="00E8056B">
    <w:pPr>
      <w:pStyle w:val="Footer"/>
      <w:jc w:val="right"/>
      <w:rPr>
        <w:rFonts w:ascii="Arial" w:hAnsi="Arial" w:cs="Arial"/>
        <w:sz w:val="16"/>
        <w:szCs w:val="16"/>
      </w:rPr>
    </w:pPr>
    <w:smartTag w:uri="urn:schemas-microsoft-com:office:smarttags" w:element="place">
      <w:smartTag w:uri="urn:schemas-microsoft-com:office:smarttags" w:element="PlaceName">
        <w:r w:rsidRPr="00E8056B">
          <w:rPr>
            <w:rFonts w:ascii="Arial" w:hAnsi="Arial" w:cs="Arial"/>
            <w:sz w:val="16"/>
            <w:szCs w:val="16"/>
          </w:rPr>
          <w:t>Minter</w:t>
        </w:r>
      </w:smartTag>
      <w:r w:rsidRPr="00E8056B">
        <w:rPr>
          <w:rFonts w:ascii="Arial" w:hAnsi="Arial" w:cs="Arial"/>
          <w:sz w:val="16"/>
          <w:szCs w:val="16"/>
        </w:rPr>
        <w:t xml:space="preserve"> </w:t>
      </w:r>
      <w:smartTag w:uri="urn:schemas-microsoft-com:office:smarttags" w:element="PlaceType">
        <w:smartTag w:uri="urn:schemas-microsoft-com:office:smarttags" w:element="PlaceName">
          <w:r w:rsidRPr="00E8056B">
            <w:rPr>
              <w:rFonts w:ascii="Arial" w:hAnsi="Arial" w:cs="Arial"/>
              <w:sz w:val="16"/>
              <w:szCs w:val="16"/>
            </w:rPr>
            <w:t>Ellison</w:t>
          </w:r>
        </w:smartTag>
      </w:smartTag>
      <w:r w:rsidRPr="00E8056B">
        <w:rPr>
          <w:rFonts w:ascii="Arial" w:hAnsi="Arial" w:cs="Arial"/>
          <w:sz w:val="16"/>
          <w:szCs w:val="16"/>
        </w:rPr>
        <w:t xml:space="preserve"> </w:t>
      </w:r>
      <w:smartTag w:uri="urn:schemas-microsoft-com:office:smarttags" w:element="place">
        <w:r w:rsidRPr="00E8056B">
          <w:rPr>
            <w:rFonts w:ascii="Arial" w:hAnsi="Arial" w:cs="Arial"/>
            <w:sz w:val="16"/>
            <w:szCs w:val="16"/>
          </w:rPr>
          <w:t>Building</w:t>
        </w:r>
      </w:smartTag>
    </w:smartTag>
    <w:r w:rsidRPr="00E8056B">
      <w:rPr>
        <w:rFonts w:ascii="Arial" w:hAnsi="Arial" w:cs="Arial"/>
        <w:sz w:val="16"/>
        <w:szCs w:val="16"/>
      </w:rPr>
      <w:t>, 25 National Circuit, Forrest ACT 2603</w:t>
    </w:r>
  </w:p>
  <w:p w:rsidR="005F01B0" w:rsidRPr="00E8056B" w:rsidRDefault="005F01B0" w:rsidP="00E8056B">
    <w:pPr>
      <w:pStyle w:val="Footer"/>
      <w:jc w:val="right"/>
      <w:rPr>
        <w:rFonts w:ascii="Arial" w:hAnsi="Arial" w:cs="Arial"/>
        <w:sz w:val="16"/>
        <w:szCs w:val="16"/>
      </w:rPr>
    </w:pPr>
    <w:r w:rsidRPr="00E8056B">
      <w:rPr>
        <w:rFonts w:ascii="Arial" w:hAnsi="Arial" w:cs="Arial"/>
        <w:b/>
        <w:sz w:val="16"/>
        <w:szCs w:val="16"/>
      </w:rPr>
      <w:t>P</w:t>
    </w:r>
    <w:r w:rsidRPr="00E8056B">
      <w:rPr>
        <w:rFonts w:ascii="Arial" w:hAnsi="Arial" w:cs="Arial"/>
        <w:sz w:val="16"/>
        <w:szCs w:val="16"/>
      </w:rPr>
      <w:t xml:space="preserve"> 02 6253 6900 </w:t>
    </w:r>
    <w:r w:rsidRPr="00E8056B">
      <w:rPr>
        <w:rFonts w:ascii="Arial" w:hAnsi="Arial" w:cs="Arial"/>
        <w:b/>
        <w:sz w:val="16"/>
        <w:szCs w:val="16"/>
      </w:rPr>
      <w:t>F</w:t>
    </w:r>
    <w:r w:rsidRPr="00E8056B">
      <w:rPr>
        <w:rFonts w:ascii="Arial" w:hAnsi="Arial" w:cs="Arial"/>
        <w:sz w:val="16"/>
        <w:szCs w:val="16"/>
      </w:rPr>
      <w:t xml:space="preserve"> 02 6253 6999 </w:t>
    </w:r>
    <w:r w:rsidRPr="00E8056B">
      <w:rPr>
        <w:rFonts w:ascii="Arial" w:hAnsi="Arial" w:cs="Arial"/>
        <w:b/>
        <w:sz w:val="16"/>
        <w:szCs w:val="16"/>
      </w:rPr>
      <w:t>E</w:t>
    </w:r>
    <w:r w:rsidRPr="00E8056B">
      <w:rPr>
        <w:rFonts w:ascii="Arial" w:hAnsi="Arial" w:cs="Arial"/>
        <w:sz w:val="16"/>
        <w:szCs w:val="16"/>
      </w:rPr>
      <w:t xml:space="preserve"> </w:t>
    </w:r>
    <w:r>
      <w:rPr>
        <w:rFonts w:ascii="Arial" w:hAnsi="Arial" w:cs="Arial"/>
        <w:bCs/>
        <w:sz w:val="16"/>
        <w:szCs w:val="16"/>
      </w:rPr>
      <w:t>ata@</w:t>
    </w:r>
    <w:r w:rsidRPr="00E8056B">
      <w:rPr>
        <w:rFonts w:ascii="Arial" w:hAnsi="Arial" w:cs="Arial"/>
        <w:bCs/>
        <w:sz w:val="16"/>
        <w:szCs w:val="16"/>
      </w:rPr>
      <w:t>truck.net.au</w:t>
    </w:r>
    <w:r w:rsidRPr="00E8056B">
      <w:rPr>
        <w:rFonts w:ascii="Arial" w:hAnsi="Arial" w:cs="Arial"/>
        <w:b/>
        <w:sz w:val="16"/>
        <w:szCs w:val="16"/>
      </w:rPr>
      <w:t xml:space="preserve"> W</w:t>
    </w:r>
    <w:r w:rsidRPr="00E8056B">
      <w:rPr>
        <w:rFonts w:ascii="Arial" w:hAnsi="Arial" w:cs="Arial"/>
        <w:sz w:val="16"/>
        <w:szCs w:val="16"/>
      </w:rPr>
      <w:t xml:space="preserve"> </w:t>
    </w:r>
    <w:r>
      <w:rPr>
        <w:rFonts w:ascii="Arial" w:hAnsi="Arial" w:cs="Arial"/>
        <w:bCs/>
        <w:sz w:val="16"/>
        <w:szCs w:val="16"/>
      </w:rPr>
      <w:t>www.</w:t>
    </w:r>
    <w:r w:rsidRPr="00E8056B">
      <w:rPr>
        <w:rFonts w:ascii="Arial" w:hAnsi="Arial" w:cs="Arial"/>
        <w:bCs/>
        <w:sz w:val="16"/>
        <w:szCs w:val="16"/>
      </w:rPr>
      <w:t>truck.net.au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pPr>
      <w:pStyle w:val="Footer"/>
      <w:jc w:val="right"/>
    </w:pPr>
    <w:r>
      <w:fldChar w:fldCharType="begin"/>
    </w:r>
    <w:r>
      <w:instrText xml:space="preserve"> PAGE   \* MERGEFORMAT </w:instrText>
    </w:r>
    <w:r>
      <w:fldChar w:fldCharType="separate"/>
    </w:r>
    <w:r>
      <w:rPr>
        <w:noProof/>
      </w:rPr>
      <w:t>7</w:t>
    </w:r>
    <w:r>
      <w:rPr>
        <w:noProof/>
      </w:rPr>
      <w:fldChar w:fldCharType="end"/>
    </w:r>
  </w:p>
  <w:p w:rsidR="005F01B0" w:rsidRDefault="005F01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insideH w:val="single" w:sz="4" w:space="0" w:color="000000"/>
      </w:tblBorders>
      <w:tblLook w:val="04A0" w:firstRow="1" w:lastRow="0" w:firstColumn="1" w:lastColumn="0" w:noHBand="0" w:noVBand="1"/>
    </w:tblPr>
    <w:tblGrid>
      <w:gridCol w:w="4824"/>
      <w:gridCol w:w="4814"/>
    </w:tblGrid>
    <w:tr w:rsidR="005F01B0" w:rsidRPr="00A91411" w:rsidTr="008E09F4">
      <w:trPr>
        <w:trHeight w:val="57"/>
      </w:trPr>
      <w:tc>
        <w:tcPr>
          <w:tcW w:w="4927" w:type="dxa"/>
          <w:vAlign w:val="center"/>
        </w:tcPr>
        <w:p w:rsidR="005F01B0" w:rsidRPr="00A91411" w:rsidRDefault="0025360A" w:rsidP="008C10AA">
          <w:pPr>
            <w:pStyle w:val="Footer"/>
            <w:rPr>
              <w:rFonts w:ascii="Arial" w:hAnsi="Arial" w:cs="Arial"/>
              <w:sz w:val="14"/>
              <w:szCs w:val="14"/>
            </w:rPr>
          </w:pPr>
          <w:r>
            <w:rPr>
              <w:rFonts w:ascii="Arial" w:hAnsi="Arial" w:cs="Arial"/>
              <w:sz w:val="14"/>
              <w:szCs w:val="14"/>
            </w:rPr>
            <w:t>2016-17 pre-budget submission</w:t>
          </w:r>
        </w:p>
      </w:tc>
      <w:tc>
        <w:tcPr>
          <w:tcW w:w="4927" w:type="dxa"/>
          <w:vAlign w:val="center"/>
        </w:tcPr>
        <w:p w:rsidR="005F01B0" w:rsidRPr="00A91411" w:rsidRDefault="005F01B0" w:rsidP="00D735FF">
          <w:pPr>
            <w:pStyle w:val="Footer"/>
            <w:jc w:val="right"/>
            <w:rPr>
              <w:rFonts w:ascii="Arial" w:hAnsi="Arial" w:cs="Arial"/>
              <w:sz w:val="14"/>
              <w:szCs w:val="14"/>
            </w:rPr>
          </w:pPr>
          <w:r w:rsidRPr="00A91411">
            <w:rPr>
              <w:rFonts w:ascii="Arial" w:hAnsi="Arial" w:cs="Arial"/>
              <w:sz w:val="14"/>
              <w:szCs w:val="14"/>
            </w:rPr>
            <w:t xml:space="preserve">Page </w:t>
          </w:r>
          <w:r w:rsidRPr="00A91411">
            <w:rPr>
              <w:rFonts w:ascii="Arial" w:hAnsi="Arial" w:cs="Arial"/>
              <w:sz w:val="14"/>
              <w:szCs w:val="14"/>
            </w:rPr>
            <w:fldChar w:fldCharType="begin"/>
          </w:r>
          <w:r w:rsidRPr="00A91411">
            <w:rPr>
              <w:rFonts w:ascii="Arial" w:hAnsi="Arial" w:cs="Arial"/>
              <w:sz w:val="14"/>
              <w:szCs w:val="14"/>
            </w:rPr>
            <w:instrText xml:space="preserve"> PAGE   \* MERGEFORMAT </w:instrText>
          </w:r>
          <w:r w:rsidRPr="00A91411">
            <w:rPr>
              <w:rFonts w:ascii="Arial" w:hAnsi="Arial" w:cs="Arial"/>
              <w:sz w:val="14"/>
              <w:szCs w:val="14"/>
            </w:rPr>
            <w:fldChar w:fldCharType="separate"/>
          </w:r>
          <w:r w:rsidR="00632EB0">
            <w:rPr>
              <w:rFonts w:ascii="Arial" w:hAnsi="Arial" w:cs="Arial"/>
              <w:noProof/>
              <w:sz w:val="14"/>
              <w:szCs w:val="14"/>
            </w:rPr>
            <w:t>10</w:t>
          </w:r>
          <w:r w:rsidRPr="00A91411">
            <w:rPr>
              <w:rFonts w:ascii="Arial" w:hAnsi="Arial" w:cs="Arial"/>
              <w:sz w:val="14"/>
              <w:szCs w:val="14"/>
            </w:rPr>
            <w:fldChar w:fldCharType="end"/>
          </w:r>
        </w:p>
      </w:tc>
    </w:tr>
  </w:tbl>
  <w:p w:rsidR="005F01B0" w:rsidRPr="00A91411" w:rsidRDefault="005F01B0">
    <w:pP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B0" w:rsidRDefault="005F01B0" w:rsidP="000F3D9F">
      <w:r>
        <w:separator/>
      </w:r>
    </w:p>
  </w:footnote>
  <w:footnote w:type="continuationSeparator" w:id="0">
    <w:p w:rsidR="005F01B0" w:rsidRDefault="005F01B0" w:rsidP="000F3D9F">
      <w:r>
        <w:continuationSeparator/>
      </w:r>
    </w:p>
  </w:footnote>
  <w:footnote w:id="1">
    <w:p w:rsidR="005326EB" w:rsidRPr="005326EB" w:rsidRDefault="005326EB">
      <w:pPr>
        <w:pStyle w:val="FootnoteText"/>
        <w:rPr>
          <w:rFonts w:ascii="Arial" w:hAnsi="Arial" w:cs="Arial"/>
          <w:sz w:val="18"/>
          <w:szCs w:val="18"/>
        </w:rPr>
      </w:pPr>
      <w:r>
        <w:rPr>
          <w:rStyle w:val="FootnoteReference"/>
        </w:rPr>
        <w:footnoteRef/>
      </w:r>
      <w:r>
        <w:t xml:space="preserve"> </w:t>
      </w:r>
      <w:r>
        <w:rPr>
          <w:rFonts w:ascii="Arial" w:hAnsi="Arial" w:cs="Arial"/>
          <w:sz w:val="18"/>
          <w:szCs w:val="18"/>
        </w:rPr>
        <w:t>Stevens, G. “Monetary policy decision,” RBA media release, 2 February 2016.</w:t>
      </w:r>
    </w:p>
  </w:footnote>
  <w:footnote w:id="2">
    <w:p w:rsidR="00ED0E44" w:rsidRPr="007F4B03" w:rsidRDefault="00ED0E44" w:rsidP="00ED0E44">
      <w:pPr>
        <w:pStyle w:val="FootnoteText"/>
        <w:rPr>
          <w:rFonts w:ascii="Arial" w:hAnsi="Arial" w:cs="Arial"/>
          <w:sz w:val="18"/>
          <w:szCs w:val="18"/>
        </w:rPr>
      </w:pPr>
      <w:r w:rsidRPr="007F4B03">
        <w:rPr>
          <w:rStyle w:val="FootnoteReference"/>
          <w:rFonts w:ascii="Arial" w:hAnsi="Arial" w:cs="Arial"/>
          <w:sz w:val="18"/>
          <w:szCs w:val="18"/>
        </w:rPr>
        <w:footnoteRef/>
      </w:r>
      <w:r w:rsidRPr="007F4B03">
        <w:rPr>
          <w:rFonts w:ascii="Arial" w:hAnsi="Arial" w:cs="Arial"/>
          <w:sz w:val="18"/>
          <w:szCs w:val="18"/>
        </w:rPr>
        <w:t xml:space="preserve"> </w:t>
      </w:r>
      <w:r>
        <w:rPr>
          <w:rFonts w:ascii="Arial" w:hAnsi="Arial" w:cs="Arial"/>
          <w:sz w:val="18"/>
          <w:szCs w:val="18"/>
        </w:rPr>
        <w:t xml:space="preserve">ABS, </w:t>
      </w:r>
      <w:r w:rsidRPr="007F4B03">
        <w:rPr>
          <w:rFonts w:ascii="Arial" w:hAnsi="Arial" w:cs="Arial"/>
          <w:i/>
          <w:sz w:val="18"/>
          <w:szCs w:val="18"/>
        </w:rPr>
        <w:t>Counts of Australian Businesses, including Entries and Exits, Jun 2010 to Jun 2014</w:t>
      </w:r>
      <w:r>
        <w:rPr>
          <w:rFonts w:ascii="Arial" w:hAnsi="Arial" w:cs="Arial"/>
          <w:sz w:val="18"/>
          <w:szCs w:val="18"/>
        </w:rPr>
        <w:t xml:space="preserve">. (Cat 81650. Table 1: </w:t>
      </w:r>
      <w:r w:rsidRPr="007F4B03">
        <w:rPr>
          <w:rFonts w:ascii="Arial" w:hAnsi="Arial" w:cs="Arial"/>
          <w:sz w:val="18"/>
          <w:szCs w:val="18"/>
        </w:rPr>
        <w:t>Businesses by Main State by Industry Class by Employment Size Ranges, June 2014</w:t>
      </w:r>
      <w:r>
        <w:rPr>
          <w:rFonts w:ascii="Arial" w:hAnsi="Arial" w:cs="Arial"/>
          <w:sz w:val="18"/>
          <w:szCs w:val="18"/>
        </w:rPr>
        <w:t>.</w:t>
      </w:r>
    </w:p>
  </w:footnote>
  <w:footnote w:id="3">
    <w:p w:rsidR="0002564A" w:rsidRPr="0002564A" w:rsidRDefault="0002564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NTC, </w:t>
      </w:r>
      <w:r w:rsidRPr="0002564A">
        <w:rPr>
          <w:rFonts w:ascii="Arial" w:hAnsi="Arial" w:cs="Arial"/>
          <w:i/>
          <w:sz w:val="18"/>
          <w:szCs w:val="18"/>
        </w:rPr>
        <w:t>2016 heavy vehicle charges industry briefing information paper</w:t>
      </w:r>
      <w:r>
        <w:rPr>
          <w:rFonts w:ascii="Arial" w:hAnsi="Arial" w:cs="Arial"/>
          <w:sz w:val="18"/>
          <w:szCs w:val="18"/>
        </w:rPr>
        <w:t>, October 2015, p15.</w:t>
      </w:r>
    </w:p>
  </w:footnote>
  <w:footnote w:id="4">
    <w:p w:rsidR="0009718D" w:rsidRPr="007F70C8" w:rsidRDefault="0009718D" w:rsidP="0009718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NTC, </w:t>
      </w:r>
      <w:r w:rsidRPr="007F70C8">
        <w:rPr>
          <w:rFonts w:ascii="Arial" w:hAnsi="Arial" w:cs="Arial"/>
          <w:i/>
          <w:sz w:val="18"/>
          <w:szCs w:val="18"/>
        </w:rPr>
        <w:t>2014 Heavy vehicle charges determination regulatory impact statement</w:t>
      </w:r>
      <w:r>
        <w:rPr>
          <w:rFonts w:ascii="Arial" w:hAnsi="Arial" w:cs="Arial"/>
          <w:sz w:val="18"/>
          <w:szCs w:val="18"/>
        </w:rPr>
        <w:t>, p80.</w:t>
      </w:r>
    </w:p>
  </w:footnote>
  <w:footnote w:id="5">
    <w:p w:rsidR="0009718D" w:rsidRPr="00292F57" w:rsidRDefault="0009718D" w:rsidP="0009718D">
      <w:pPr>
        <w:pStyle w:val="FootnoteText"/>
        <w:rPr>
          <w:rFonts w:ascii="Arial" w:hAnsi="Arial" w:cs="Arial"/>
          <w:sz w:val="18"/>
          <w:szCs w:val="18"/>
        </w:rPr>
      </w:pPr>
      <w:r w:rsidRPr="00292F57">
        <w:rPr>
          <w:rStyle w:val="FootnoteReference"/>
          <w:rFonts w:ascii="Arial" w:hAnsi="Arial" w:cs="Arial"/>
          <w:sz w:val="18"/>
          <w:szCs w:val="18"/>
        </w:rPr>
        <w:footnoteRef/>
      </w:r>
      <w:r w:rsidRPr="00292F57">
        <w:rPr>
          <w:rFonts w:ascii="Arial" w:hAnsi="Arial" w:cs="Arial"/>
          <w:sz w:val="18"/>
          <w:szCs w:val="18"/>
        </w:rPr>
        <w:t xml:space="preserve"> </w:t>
      </w:r>
      <w:r>
        <w:rPr>
          <w:rFonts w:ascii="Arial" w:hAnsi="Arial" w:cs="Arial"/>
          <w:sz w:val="18"/>
          <w:szCs w:val="18"/>
        </w:rPr>
        <w:t xml:space="preserve">Productivity Commission, </w:t>
      </w:r>
      <w:r w:rsidR="004F0A9B">
        <w:rPr>
          <w:rFonts w:ascii="Arial" w:hAnsi="Arial" w:cs="Arial"/>
          <w:i/>
          <w:sz w:val="18"/>
          <w:szCs w:val="18"/>
        </w:rPr>
        <w:t>Public i</w:t>
      </w:r>
      <w:r w:rsidRPr="00292F57">
        <w:rPr>
          <w:rFonts w:ascii="Arial" w:hAnsi="Arial" w:cs="Arial"/>
          <w:i/>
          <w:sz w:val="18"/>
          <w:szCs w:val="18"/>
        </w:rPr>
        <w:t>nfrastructure</w:t>
      </w:r>
      <w:r>
        <w:rPr>
          <w:rFonts w:ascii="Arial" w:hAnsi="Arial" w:cs="Arial"/>
          <w:sz w:val="18"/>
          <w:szCs w:val="18"/>
        </w:rPr>
        <w:t xml:space="preserve">, </w:t>
      </w:r>
      <w:r w:rsidR="004F0A9B">
        <w:rPr>
          <w:rFonts w:ascii="Arial" w:hAnsi="Arial" w:cs="Arial"/>
          <w:sz w:val="18"/>
          <w:szCs w:val="18"/>
        </w:rPr>
        <w:t>May 2014</w:t>
      </w:r>
      <w:r>
        <w:rPr>
          <w:rFonts w:ascii="Arial" w:hAnsi="Arial" w:cs="Arial"/>
          <w:sz w:val="18"/>
          <w:szCs w:val="18"/>
        </w:rPr>
        <w:t>, vol 1, p149.</w:t>
      </w:r>
    </w:p>
  </w:footnote>
  <w:footnote w:id="6">
    <w:p w:rsidR="00902F10" w:rsidRPr="00902F10" w:rsidRDefault="00902F10">
      <w:pPr>
        <w:pStyle w:val="FootnoteText"/>
        <w:rPr>
          <w:rFonts w:ascii="Arial" w:hAnsi="Arial" w:cs="Arial"/>
          <w:sz w:val="18"/>
          <w:szCs w:val="18"/>
        </w:rPr>
      </w:pPr>
      <w:r w:rsidRPr="00902F10">
        <w:rPr>
          <w:rStyle w:val="FootnoteReference"/>
          <w:rFonts w:ascii="Arial" w:hAnsi="Arial" w:cs="Arial"/>
          <w:sz w:val="18"/>
          <w:szCs w:val="18"/>
        </w:rPr>
        <w:footnoteRef/>
      </w:r>
      <w:r w:rsidRPr="00902F10">
        <w:rPr>
          <w:rFonts w:ascii="Arial" w:hAnsi="Arial" w:cs="Arial"/>
          <w:sz w:val="18"/>
          <w:szCs w:val="18"/>
        </w:rPr>
        <w:t xml:space="preserve"> DIRD</w:t>
      </w:r>
      <w:r>
        <w:rPr>
          <w:rFonts w:ascii="Arial" w:hAnsi="Arial" w:cs="Arial"/>
          <w:sz w:val="18"/>
          <w:szCs w:val="18"/>
        </w:rPr>
        <w:t>, “Bridges Renewal Programme (BRP) round 2: programme criteria and proposal form.”</w:t>
      </w:r>
    </w:p>
  </w:footnote>
  <w:footnote w:id="7">
    <w:p w:rsidR="00902F10" w:rsidRPr="00902F10" w:rsidRDefault="00902F10">
      <w:pPr>
        <w:pStyle w:val="FootnoteText"/>
        <w:rPr>
          <w:rFonts w:ascii="Arial" w:hAnsi="Arial" w:cs="Arial"/>
          <w:sz w:val="18"/>
          <w:szCs w:val="18"/>
        </w:rPr>
      </w:pPr>
      <w:r w:rsidRPr="00902F10">
        <w:rPr>
          <w:rStyle w:val="FootnoteReference"/>
          <w:rFonts w:ascii="Arial" w:hAnsi="Arial" w:cs="Arial"/>
          <w:sz w:val="18"/>
          <w:szCs w:val="18"/>
        </w:rPr>
        <w:footnoteRef/>
      </w:r>
      <w:r w:rsidRPr="00902F10">
        <w:rPr>
          <w:rFonts w:ascii="Arial" w:hAnsi="Arial" w:cs="Arial"/>
          <w:sz w:val="18"/>
          <w:szCs w:val="18"/>
        </w:rPr>
        <w:t xml:space="preserve"> DIRD</w:t>
      </w:r>
      <w:r>
        <w:rPr>
          <w:rFonts w:ascii="Arial" w:hAnsi="Arial" w:cs="Arial"/>
          <w:sz w:val="18"/>
          <w:szCs w:val="18"/>
        </w:rPr>
        <w:t>, “Heavy Vehicle Safety and Productivity Programme (HVSPP) round 5: programme criteria and proposal form.”</w:t>
      </w:r>
    </w:p>
  </w:footnote>
  <w:footnote w:id="8">
    <w:p w:rsidR="008A5348" w:rsidRPr="008A5348" w:rsidRDefault="008A5348">
      <w:pPr>
        <w:pStyle w:val="FootnoteText"/>
        <w:rPr>
          <w:rFonts w:ascii="Arial" w:hAnsi="Arial" w:cs="Arial"/>
          <w:sz w:val="18"/>
          <w:szCs w:val="18"/>
        </w:rPr>
      </w:pPr>
      <w:r w:rsidRPr="008A5348">
        <w:rPr>
          <w:rStyle w:val="FootnoteReference"/>
          <w:rFonts w:ascii="Arial" w:hAnsi="Arial" w:cs="Arial"/>
          <w:sz w:val="18"/>
          <w:szCs w:val="18"/>
        </w:rPr>
        <w:footnoteRef/>
      </w:r>
      <w:r w:rsidRPr="008A5348">
        <w:rPr>
          <w:rFonts w:ascii="Arial" w:hAnsi="Arial" w:cs="Arial"/>
          <w:sz w:val="18"/>
          <w:szCs w:val="18"/>
        </w:rPr>
        <w:t xml:space="preserve"> NHVR, “Improved performance tool to boost freight,” Media release, 19 January 2016.</w:t>
      </w:r>
    </w:p>
  </w:footnote>
  <w:footnote w:id="9">
    <w:p w:rsidR="00936935" w:rsidRPr="00936935" w:rsidRDefault="00936935">
      <w:pPr>
        <w:pStyle w:val="FootnoteText"/>
        <w:rPr>
          <w:rFonts w:ascii="Arial" w:hAnsi="Arial" w:cs="Arial"/>
          <w:sz w:val="18"/>
          <w:szCs w:val="18"/>
        </w:rPr>
      </w:pPr>
      <w:r>
        <w:rPr>
          <w:rStyle w:val="FootnoteReference"/>
        </w:rPr>
        <w:footnoteRef/>
      </w:r>
      <w:r>
        <w:t xml:space="preserve"> </w:t>
      </w:r>
      <w:r w:rsidRPr="00936935">
        <w:rPr>
          <w:rFonts w:ascii="Arial" w:hAnsi="Arial" w:cs="Arial"/>
          <w:sz w:val="18"/>
          <w:szCs w:val="18"/>
        </w:rPr>
        <w:t>Productivity Commission</w:t>
      </w:r>
      <w:r>
        <w:rPr>
          <w:rFonts w:ascii="Arial" w:hAnsi="Arial" w:cs="Arial"/>
          <w:sz w:val="18"/>
          <w:szCs w:val="18"/>
        </w:rPr>
        <w:t xml:space="preserve">, 2014, </w:t>
      </w:r>
      <w:r w:rsidR="004F0A9B">
        <w:rPr>
          <w:rFonts w:ascii="Arial" w:hAnsi="Arial" w:cs="Arial"/>
          <w:sz w:val="18"/>
          <w:szCs w:val="18"/>
        </w:rPr>
        <w:t xml:space="preserve">vol 1, </w:t>
      </w:r>
      <w:r>
        <w:rPr>
          <w:rFonts w:ascii="Arial" w:hAnsi="Arial" w:cs="Arial"/>
          <w:sz w:val="18"/>
          <w:szCs w:val="18"/>
        </w:rPr>
        <w:t>p303.</w:t>
      </w:r>
    </w:p>
  </w:footnote>
  <w:footnote w:id="10">
    <w:p w:rsidR="00936935" w:rsidRPr="00936935" w:rsidRDefault="00936935">
      <w:pPr>
        <w:pStyle w:val="FootnoteText"/>
        <w:rPr>
          <w:rFonts w:ascii="Arial" w:hAnsi="Arial" w:cs="Arial"/>
          <w:sz w:val="18"/>
          <w:szCs w:val="18"/>
        </w:rPr>
      </w:pPr>
      <w:r w:rsidRPr="00936935">
        <w:rPr>
          <w:rStyle w:val="FootnoteReference"/>
          <w:rFonts w:ascii="Arial" w:hAnsi="Arial" w:cs="Arial"/>
          <w:sz w:val="18"/>
          <w:szCs w:val="18"/>
        </w:rPr>
        <w:footnoteRef/>
      </w:r>
      <w:r w:rsidRPr="00936935">
        <w:rPr>
          <w:rFonts w:ascii="Arial" w:hAnsi="Arial" w:cs="Arial"/>
          <w:sz w:val="18"/>
          <w:szCs w:val="18"/>
        </w:rPr>
        <w:t xml:space="preserve"> ATA, </w:t>
      </w:r>
      <w:r w:rsidRPr="00936935">
        <w:rPr>
          <w:rFonts w:ascii="Arial" w:hAnsi="Arial" w:cs="Arial"/>
          <w:i/>
          <w:sz w:val="18"/>
          <w:szCs w:val="18"/>
        </w:rPr>
        <w:t>2015-16 pre-budget submission</w:t>
      </w:r>
      <w:r>
        <w:rPr>
          <w:rFonts w:ascii="Arial" w:hAnsi="Arial" w:cs="Arial"/>
          <w:sz w:val="18"/>
          <w:szCs w:val="18"/>
        </w:rPr>
        <w:t>, p9.</w:t>
      </w:r>
    </w:p>
  </w:footnote>
  <w:footnote w:id="11">
    <w:p w:rsidR="00DF74E3" w:rsidRPr="00902F10" w:rsidRDefault="00DF74E3">
      <w:pPr>
        <w:pStyle w:val="FootnoteText"/>
        <w:rPr>
          <w:rFonts w:ascii="Arial" w:hAnsi="Arial" w:cs="Arial"/>
          <w:sz w:val="18"/>
          <w:szCs w:val="18"/>
        </w:rPr>
      </w:pPr>
      <w:r w:rsidRPr="00902F10">
        <w:rPr>
          <w:rStyle w:val="FootnoteReference"/>
          <w:rFonts w:ascii="Arial" w:hAnsi="Arial" w:cs="Arial"/>
          <w:sz w:val="18"/>
          <w:szCs w:val="18"/>
        </w:rPr>
        <w:footnoteRef/>
      </w:r>
      <w:r w:rsidRPr="00902F10">
        <w:rPr>
          <w:rFonts w:ascii="Arial" w:hAnsi="Arial" w:cs="Arial"/>
          <w:sz w:val="18"/>
          <w:szCs w:val="18"/>
        </w:rPr>
        <w:t xml:space="preserve"> Prod</w:t>
      </w:r>
      <w:r w:rsidR="004F0A9B">
        <w:rPr>
          <w:rFonts w:ascii="Arial" w:hAnsi="Arial" w:cs="Arial"/>
          <w:sz w:val="18"/>
          <w:szCs w:val="18"/>
        </w:rPr>
        <w:t>uctivity Commission, 2014, vol 1, p</w:t>
      </w:r>
      <w:r w:rsidR="00E34BD0" w:rsidRPr="00902F10">
        <w:rPr>
          <w:rFonts w:ascii="Arial" w:hAnsi="Arial" w:cs="Arial"/>
          <w:sz w:val="18"/>
          <w:szCs w:val="18"/>
        </w:rPr>
        <w:t>161</w:t>
      </w:r>
      <w:r w:rsidRPr="00902F10">
        <w:rPr>
          <w:rFonts w:ascii="Arial" w:hAnsi="Arial" w:cs="Arial"/>
          <w:sz w:val="18"/>
          <w:szCs w:val="18"/>
        </w:rPr>
        <w:t>.</w:t>
      </w:r>
    </w:p>
  </w:footnote>
  <w:footnote w:id="12">
    <w:p w:rsidR="00E34BD0" w:rsidRPr="00EB05BC" w:rsidRDefault="00E34BD0">
      <w:pPr>
        <w:pStyle w:val="FootnoteText"/>
        <w:rPr>
          <w:rFonts w:ascii="Arial" w:hAnsi="Arial" w:cs="Arial"/>
          <w:sz w:val="18"/>
          <w:szCs w:val="18"/>
        </w:rPr>
      </w:pPr>
      <w:r w:rsidRPr="00EB05BC">
        <w:rPr>
          <w:rStyle w:val="FootnoteReference"/>
          <w:rFonts w:ascii="Arial" w:hAnsi="Arial" w:cs="Arial"/>
          <w:sz w:val="18"/>
          <w:szCs w:val="18"/>
        </w:rPr>
        <w:footnoteRef/>
      </w:r>
      <w:r w:rsidRPr="00EB05BC">
        <w:rPr>
          <w:rFonts w:ascii="Arial" w:hAnsi="Arial" w:cs="Arial"/>
          <w:sz w:val="18"/>
          <w:szCs w:val="18"/>
        </w:rPr>
        <w:t xml:space="preserve"> </w:t>
      </w:r>
      <w:r w:rsidR="00EB05BC" w:rsidRPr="00EB05BC">
        <w:rPr>
          <w:rFonts w:ascii="Arial" w:hAnsi="Arial" w:cs="Arial"/>
          <w:sz w:val="18"/>
          <w:szCs w:val="18"/>
        </w:rPr>
        <w:t xml:space="preserve">Australian Government, </w:t>
      </w:r>
      <w:r w:rsidR="00EB05BC" w:rsidRPr="00EB05BC">
        <w:rPr>
          <w:rFonts w:ascii="Arial" w:hAnsi="Arial" w:cs="Arial"/>
          <w:i/>
          <w:sz w:val="18"/>
          <w:szCs w:val="18"/>
        </w:rPr>
        <w:t>Competition policy review: final report</w:t>
      </w:r>
      <w:r w:rsidR="00EB05BC" w:rsidRPr="00EB05BC">
        <w:rPr>
          <w:rFonts w:ascii="Arial" w:hAnsi="Arial" w:cs="Arial"/>
          <w:sz w:val="18"/>
          <w:szCs w:val="18"/>
        </w:rPr>
        <w:t>,</w:t>
      </w:r>
      <w:r w:rsidR="00EB05BC">
        <w:rPr>
          <w:rFonts w:ascii="Arial" w:hAnsi="Arial" w:cs="Arial"/>
          <w:sz w:val="18"/>
          <w:szCs w:val="18"/>
        </w:rPr>
        <w:t xml:space="preserve"> March 2015, p216.</w:t>
      </w:r>
    </w:p>
  </w:footnote>
  <w:footnote w:id="13">
    <w:p w:rsidR="002A7D7F" w:rsidRPr="002A7D7F" w:rsidRDefault="002A7D7F">
      <w:pPr>
        <w:pStyle w:val="FootnoteText"/>
        <w:rPr>
          <w:rFonts w:ascii="Arial" w:hAnsi="Arial" w:cs="Arial"/>
          <w:sz w:val="18"/>
          <w:szCs w:val="18"/>
        </w:rPr>
      </w:pPr>
      <w:r>
        <w:rPr>
          <w:rStyle w:val="FootnoteReference"/>
        </w:rPr>
        <w:footnoteRef/>
      </w:r>
      <w:r>
        <w:t xml:space="preserve"> </w:t>
      </w:r>
      <w:r>
        <w:rPr>
          <w:rFonts w:ascii="Arial" w:hAnsi="Arial" w:cs="Arial"/>
          <w:sz w:val="18"/>
          <w:szCs w:val="18"/>
        </w:rPr>
        <w:t>Fletcher, P. (Minister for Major Projects, Territories and Local Government)</w:t>
      </w:r>
      <w:r w:rsidR="004F0A9B">
        <w:rPr>
          <w:rFonts w:ascii="Arial" w:hAnsi="Arial" w:cs="Arial"/>
          <w:sz w:val="18"/>
          <w:szCs w:val="18"/>
        </w:rPr>
        <w:t>,</w:t>
      </w:r>
      <w:r>
        <w:rPr>
          <w:rFonts w:ascii="Arial" w:hAnsi="Arial" w:cs="Arial"/>
          <w:sz w:val="18"/>
          <w:szCs w:val="18"/>
        </w:rPr>
        <w:t xml:space="preserve"> </w:t>
      </w:r>
      <w:r w:rsidRPr="002A7D7F">
        <w:rPr>
          <w:rFonts w:ascii="Arial" w:hAnsi="Arial" w:cs="Arial"/>
          <w:i/>
          <w:sz w:val="18"/>
          <w:szCs w:val="18"/>
        </w:rPr>
        <w:t>The Australian Government’s response to the Harper Review’s recommendations on road pricing</w:t>
      </w:r>
      <w:r>
        <w:rPr>
          <w:rFonts w:ascii="Arial" w:hAnsi="Arial" w:cs="Arial"/>
          <w:sz w:val="18"/>
          <w:szCs w:val="18"/>
        </w:rPr>
        <w:t>, 2 December 2015.</w:t>
      </w:r>
    </w:p>
  </w:footnote>
  <w:footnote w:id="14">
    <w:p w:rsidR="00FA56D3" w:rsidRPr="00FA56D3" w:rsidRDefault="00FA56D3">
      <w:pPr>
        <w:pStyle w:val="FootnoteText"/>
        <w:rPr>
          <w:rFonts w:ascii="Arial" w:hAnsi="Arial" w:cs="Arial"/>
          <w:sz w:val="18"/>
          <w:szCs w:val="18"/>
        </w:rPr>
      </w:pPr>
      <w:r>
        <w:rPr>
          <w:rStyle w:val="FootnoteReference"/>
        </w:rPr>
        <w:footnoteRef/>
      </w:r>
      <w:r>
        <w:t xml:space="preserve"> </w:t>
      </w:r>
      <w:r>
        <w:rPr>
          <w:rFonts w:ascii="Arial" w:hAnsi="Arial" w:cs="Arial"/>
          <w:sz w:val="18"/>
          <w:szCs w:val="18"/>
        </w:rPr>
        <w:t>Truss, W. (Deputy Prime Minister and Minister for Infrastructure and Regional Development), “</w:t>
      </w:r>
      <w:r w:rsidR="0045153A">
        <w:rPr>
          <w:rFonts w:ascii="Arial" w:hAnsi="Arial" w:cs="Arial"/>
          <w:sz w:val="18"/>
          <w:szCs w:val="18"/>
        </w:rPr>
        <w:t>Expenditure plans and asset registers for key freight r</w:t>
      </w:r>
      <w:r w:rsidRPr="00FA56D3">
        <w:rPr>
          <w:rFonts w:ascii="Arial" w:hAnsi="Arial" w:cs="Arial"/>
          <w:sz w:val="18"/>
          <w:szCs w:val="18"/>
        </w:rPr>
        <w:t>outes</w:t>
      </w:r>
      <w:r>
        <w:rPr>
          <w:rFonts w:ascii="Arial" w:hAnsi="Arial" w:cs="Arial"/>
          <w:sz w:val="18"/>
          <w:szCs w:val="18"/>
        </w:rPr>
        <w:t>,” Media release, 29 January 2016.</w:t>
      </w:r>
    </w:p>
  </w:footnote>
  <w:footnote w:id="15">
    <w:p w:rsidR="00604795" w:rsidRPr="002B31AF" w:rsidRDefault="00604795" w:rsidP="00604795">
      <w:pPr>
        <w:pStyle w:val="FootnoteText"/>
        <w:rPr>
          <w:rFonts w:ascii="Arial" w:hAnsi="Arial" w:cs="Arial"/>
          <w:sz w:val="18"/>
          <w:szCs w:val="18"/>
        </w:rPr>
      </w:pPr>
      <w:r w:rsidRPr="002B31AF">
        <w:rPr>
          <w:rStyle w:val="FootnoteReference"/>
          <w:rFonts w:ascii="Arial" w:hAnsi="Arial" w:cs="Arial"/>
          <w:sz w:val="18"/>
          <w:szCs w:val="18"/>
        </w:rPr>
        <w:footnoteRef/>
      </w:r>
      <w:r w:rsidRPr="002B31AF">
        <w:rPr>
          <w:rFonts w:ascii="Arial" w:hAnsi="Arial" w:cs="Arial"/>
          <w:sz w:val="18"/>
          <w:szCs w:val="18"/>
        </w:rPr>
        <w:t xml:space="preserve"> See</w:t>
      </w:r>
      <w:r w:rsidR="00075811">
        <w:rPr>
          <w:rFonts w:ascii="Arial" w:hAnsi="Arial" w:cs="Arial"/>
          <w:sz w:val="18"/>
          <w:szCs w:val="18"/>
        </w:rPr>
        <w:t xml:space="preserve"> Harvey, M. “Commercial road supply with incentive r</w:t>
      </w:r>
      <w:r>
        <w:rPr>
          <w:rFonts w:ascii="Arial" w:hAnsi="Arial" w:cs="Arial"/>
          <w:sz w:val="18"/>
          <w:szCs w:val="18"/>
        </w:rPr>
        <w:t xml:space="preserve">egulation,” in </w:t>
      </w:r>
      <w:r w:rsidRPr="002B31AF">
        <w:rPr>
          <w:rFonts w:ascii="Arial" w:hAnsi="Arial" w:cs="Arial"/>
          <w:i/>
          <w:sz w:val="18"/>
          <w:szCs w:val="18"/>
        </w:rPr>
        <w:t>International Journal of Sustainable Transportation</w:t>
      </w:r>
      <w:r>
        <w:rPr>
          <w:rFonts w:ascii="Arial" w:hAnsi="Arial" w:cs="Arial"/>
          <w:sz w:val="18"/>
          <w:szCs w:val="18"/>
        </w:rPr>
        <w:t>, 9:4, pp241-253.</w:t>
      </w:r>
    </w:p>
  </w:footnote>
  <w:footnote w:id="16">
    <w:p w:rsidR="00604795" w:rsidRPr="00D36B98" w:rsidRDefault="00604795" w:rsidP="00604795">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PricewaterhouseCoopers, </w:t>
      </w:r>
      <w:r w:rsidRPr="00D36B98">
        <w:rPr>
          <w:rFonts w:ascii="Arial" w:hAnsi="Arial" w:cs="Arial"/>
          <w:i/>
          <w:sz w:val="18"/>
          <w:szCs w:val="18"/>
        </w:rPr>
        <w:t xml:space="preserve">A </w:t>
      </w:r>
      <w:r w:rsidR="00075811">
        <w:rPr>
          <w:rFonts w:ascii="Arial" w:hAnsi="Arial" w:cs="Arial"/>
          <w:i/>
          <w:sz w:val="18"/>
          <w:szCs w:val="18"/>
        </w:rPr>
        <w:t>future strategy for road supply and c</w:t>
      </w:r>
      <w:r w:rsidRPr="00D36B98">
        <w:rPr>
          <w:rFonts w:ascii="Arial" w:hAnsi="Arial" w:cs="Arial"/>
          <w:i/>
          <w:sz w:val="18"/>
          <w:szCs w:val="18"/>
        </w:rPr>
        <w:t>harging in Australia</w:t>
      </w:r>
      <w:r>
        <w:rPr>
          <w:rFonts w:ascii="Arial" w:hAnsi="Arial" w:cs="Arial"/>
          <w:sz w:val="18"/>
          <w:szCs w:val="18"/>
        </w:rPr>
        <w:t>. Report to the ATA, March 2013, pp31-32.</w:t>
      </w:r>
    </w:p>
  </w:footnote>
  <w:footnote w:id="17">
    <w:p w:rsidR="00F6200B" w:rsidRPr="004762BA" w:rsidRDefault="00F6200B" w:rsidP="00F6200B">
      <w:pPr>
        <w:pStyle w:val="FootnoteText"/>
        <w:rPr>
          <w:rFonts w:ascii="Arial" w:hAnsi="Arial" w:cs="Arial"/>
          <w:sz w:val="18"/>
          <w:szCs w:val="18"/>
        </w:rPr>
      </w:pPr>
      <w:r w:rsidRPr="004762BA">
        <w:rPr>
          <w:rStyle w:val="FootnoteReference"/>
          <w:rFonts w:ascii="Arial" w:hAnsi="Arial" w:cs="Arial"/>
          <w:sz w:val="18"/>
          <w:szCs w:val="18"/>
        </w:rPr>
        <w:footnoteRef/>
      </w:r>
      <w:r w:rsidRPr="004762BA">
        <w:rPr>
          <w:rFonts w:ascii="Arial" w:hAnsi="Arial" w:cs="Arial"/>
          <w:sz w:val="18"/>
          <w:szCs w:val="18"/>
        </w:rPr>
        <w:t xml:space="preserve"> Productivity Commission, 2014, </w:t>
      </w:r>
      <w:r w:rsidR="00075811">
        <w:rPr>
          <w:rFonts w:ascii="Arial" w:hAnsi="Arial" w:cs="Arial"/>
          <w:sz w:val="18"/>
          <w:szCs w:val="18"/>
        </w:rPr>
        <w:t>vol 1, p3</w:t>
      </w:r>
      <w:r w:rsidRPr="004762BA">
        <w:rPr>
          <w:rFonts w:ascii="Arial" w:hAnsi="Arial" w:cs="Arial"/>
          <w:sz w:val="18"/>
          <w:szCs w:val="18"/>
        </w:rPr>
        <w:t>10.</w:t>
      </w:r>
    </w:p>
  </w:footnote>
  <w:footnote w:id="18">
    <w:p w:rsidR="003D0990" w:rsidRPr="003D0990" w:rsidRDefault="003D0990">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DIRD, </w:t>
      </w:r>
      <w:r w:rsidRPr="003D0990">
        <w:rPr>
          <w:rFonts w:ascii="Arial" w:hAnsi="Arial" w:cs="Arial"/>
          <w:i/>
          <w:sz w:val="18"/>
          <w:szCs w:val="18"/>
        </w:rPr>
        <w:t>Australian Government response: Productivity Commission inquiry report into public infrastructure</w:t>
      </w:r>
      <w:r>
        <w:rPr>
          <w:rFonts w:ascii="Arial" w:hAnsi="Arial" w:cs="Arial"/>
          <w:sz w:val="18"/>
          <w:szCs w:val="18"/>
        </w:rPr>
        <w:t>, 2014. p11.</w:t>
      </w:r>
    </w:p>
  </w:footnote>
  <w:footnote w:id="19">
    <w:p w:rsidR="004762BA" w:rsidRPr="009D5312" w:rsidRDefault="004762BA" w:rsidP="004762BA">
      <w:pPr>
        <w:pStyle w:val="FootnoteText"/>
        <w:rPr>
          <w:rFonts w:ascii="Arial" w:hAnsi="Arial" w:cs="Arial"/>
          <w:sz w:val="18"/>
          <w:szCs w:val="18"/>
        </w:rPr>
      </w:pPr>
      <w:r w:rsidRPr="009D5312">
        <w:rPr>
          <w:rStyle w:val="FootnoteReference"/>
          <w:rFonts w:ascii="Arial" w:hAnsi="Arial" w:cs="Arial"/>
          <w:sz w:val="18"/>
          <w:szCs w:val="18"/>
        </w:rPr>
        <w:footnoteRef/>
      </w:r>
      <w:r w:rsidRPr="009D5312">
        <w:rPr>
          <w:rFonts w:ascii="Arial" w:hAnsi="Arial" w:cs="Arial"/>
          <w:sz w:val="18"/>
          <w:szCs w:val="18"/>
        </w:rPr>
        <w:t xml:space="preserve"> Productivity Commission</w:t>
      </w:r>
      <w:r w:rsidR="003F14C7">
        <w:rPr>
          <w:rFonts w:ascii="Arial" w:hAnsi="Arial" w:cs="Arial"/>
          <w:sz w:val="18"/>
          <w:szCs w:val="18"/>
        </w:rPr>
        <w:t>,</w:t>
      </w:r>
      <w:r w:rsidRPr="009D5312">
        <w:rPr>
          <w:rFonts w:ascii="Arial" w:hAnsi="Arial" w:cs="Arial"/>
          <w:sz w:val="18"/>
          <w:szCs w:val="18"/>
        </w:rPr>
        <w:t xml:space="preserve"> </w:t>
      </w:r>
      <w:r w:rsidRPr="009D5312">
        <w:rPr>
          <w:rFonts w:ascii="Arial" w:hAnsi="Arial" w:cs="Arial"/>
          <w:i/>
          <w:sz w:val="18"/>
          <w:szCs w:val="18"/>
        </w:rPr>
        <w:t>Business Set-Up, Transfer and Closure</w:t>
      </w:r>
      <w:r w:rsidRPr="009D5312">
        <w:rPr>
          <w:rFonts w:ascii="Arial" w:hAnsi="Arial" w:cs="Arial"/>
          <w:sz w:val="18"/>
          <w:szCs w:val="18"/>
        </w:rPr>
        <w:t xml:space="preserve">, </w:t>
      </w:r>
      <w:r w:rsidR="003F14C7">
        <w:rPr>
          <w:rFonts w:ascii="Arial" w:hAnsi="Arial" w:cs="Arial"/>
          <w:sz w:val="18"/>
          <w:szCs w:val="18"/>
        </w:rPr>
        <w:t>September 2015. p309.</w:t>
      </w:r>
    </w:p>
  </w:footnote>
  <w:footnote w:id="20">
    <w:p w:rsidR="003F14C7" w:rsidRPr="003F14C7" w:rsidRDefault="003F14C7">
      <w:pPr>
        <w:pStyle w:val="FootnoteText"/>
        <w:rPr>
          <w:rFonts w:ascii="Arial" w:hAnsi="Arial" w:cs="Arial"/>
          <w:sz w:val="18"/>
          <w:szCs w:val="18"/>
        </w:rPr>
      </w:pPr>
      <w:r w:rsidRPr="003F14C7">
        <w:rPr>
          <w:rStyle w:val="FootnoteReference"/>
          <w:rFonts w:ascii="Arial" w:hAnsi="Arial" w:cs="Arial"/>
          <w:sz w:val="18"/>
          <w:szCs w:val="18"/>
        </w:rPr>
        <w:footnoteRef/>
      </w:r>
      <w:r w:rsidRPr="003F14C7">
        <w:rPr>
          <w:rFonts w:ascii="Arial" w:hAnsi="Arial" w:cs="Arial"/>
          <w:sz w:val="18"/>
          <w:szCs w:val="18"/>
        </w:rPr>
        <w:t xml:space="preserve"> </w:t>
      </w:r>
      <w:r>
        <w:rPr>
          <w:rFonts w:ascii="Arial" w:hAnsi="Arial" w:cs="Arial"/>
          <w:sz w:val="18"/>
          <w:szCs w:val="18"/>
        </w:rPr>
        <w:t xml:space="preserve">ATA, </w:t>
      </w:r>
      <w:r w:rsidRPr="00320150">
        <w:rPr>
          <w:rFonts w:ascii="Arial" w:hAnsi="Arial" w:cs="Arial"/>
          <w:i/>
          <w:sz w:val="18"/>
          <w:szCs w:val="18"/>
        </w:rPr>
        <w:t>Business Set-Up, Transfer and Closure</w:t>
      </w:r>
      <w:r>
        <w:rPr>
          <w:rFonts w:ascii="Arial" w:hAnsi="Arial" w:cs="Arial"/>
          <w:i/>
          <w:sz w:val="18"/>
          <w:szCs w:val="18"/>
        </w:rPr>
        <w:t xml:space="preserve">. </w:t>
      </w:r>
      <w:r>
        <w:rPr>
          <w:rFonts w:ascii="Arial" w:hAnsi="Arial" w:cs="Arial"/>
          <w:sz w:val="18"/>
          <w:szCs w:val="18"/>
        </w:rPr>
        <w:t>Submission t</w:t>
      </w:r>
      <w:r w:rsidR="00320150">
        <w:rPr>
          <w:rFonts w:ascii="Arial" w:hAnsi="Arial" w:cs="Arial"/>
          <w:sz w:val="18"/>
          <w:szCs w:val="18"/>
        </w:rPr>
        <w:t xml:space="preserve">o the Productivity Commission, </w:t>
      </w:r>
      <w:r>
        <w:rPr>
          <w:rFonts w:ascii="Arial" w:hAnsi="Arial" w:cs="Arial"/>
          <w:sz w:val="18"/>
          <w:szCs w:val="18"/>
        </w:rPr>
        <w:t xml:space="preserve">February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FEB" w:rsidRDefault="00FD4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FEB" w:rsidRDefault="00FD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Pr="00E8056B" w:rsidRDefault="005F01B0" w:rsidP="001C3659">
    <w:pPr>
      <w:jc w:val="right"/>
      <w:rPr>
        <w:rFonts w:ascii="Arial" w:hAnsi="Arial" w:cs="Arial"/>
        <w:color w:val="FF0000"/>
        <w:sz w:val="18"/>
        <w:szCs w:val="18"/>
      </w:rPr>
    </w:pPr>
    <w:r w:rsidRPr="00E8056B">
      <w:rPr>
        <w:rFonts w:ascii="Arial" w:hAnsi="Arial" w:cs="Arial"/>
        <w:color w:val="000064"/>
        <w:sz w:val="18"/>
        <w:szCs w:val="18"/>
      </w:rPr>
      <w:t xml:space="preserve">AUSTRALIAN TRUCKING </w:t>
    </w:r>
    <w:r w:rsidRPr="00E8056B">
      <w:rPr>
        <w:rFonts w:ascii="Arial" w:hAnsi="Arial" w:cs="Arial"/>
        <w:color w:val="FF0000"/>
        <w:sz w:val="18"/>
        <w:szCs w:val="18"/>
      </w:rPr>
      <w:t>ASSOCIATION</w:t>
    </w:r>
  </w:p>
  <w:p w:rsidR="005F01B0" w:rsidRDefault="005F01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Pr="0019542E" w:rsidRDefault="005F01B0" w:rsidP="00986804">
    <w:pPr>
      <w:jc w:val="right"/>
      <w:rPr>
        <w:sz w:val="4"/>
        <w:szCs w:val="4"/>
      </w:rPr>
    </w:pPr>
    <w:r w:rsidRPr="00565F92">
      <w:rPr>
        <w:rFonts w:ascii="Arial" w:hAnsi="Arial" w:cs="Arial"/>
        <w:color w:val="000064"/>
        <w:sz w:val="18"/>
        <w:szCs w:val="18"/>
      </w:rPr>
      <w:t xml:space="preserve">AUSTRALIAN TRUCKING </w:t>
    </w:r>
    <w:r w:rsidRPr="00565F92">
      <w:rPr>
        <w:rFonts w:ascii="Arial" w:hAnsi="Arial" w:cs="Arial"/>
        <w:color w:val="FF0000"/>
        <w:sz w:val="18"/>
        <w:szCs w:val="18"/>
      </w:rPr>
      <w:t>ASSOCIATION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B0" w:rsidRDefault="005F0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036"/>
    <w:multiLevelType w:val="hybridMultilevel"/>
    <w:tmpl w:val="2D30E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30707"/>
    <w:multiLevelType w:val="hybridMultilevel"/>
    <w:tmpl w:val="90046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CF0806"/>
    <w:multiLevelType w:val="hybridMultilevel"/>
    <w:tmpl w:val="E63A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A48E1"/>
    <w:multiLevelType w:val="hybridMultilevel"/>
    <w:tmpl w:val="8546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60874"/>
    <w:multiLevelType w:val="hybridMultilevel"/>
    <w:tmpl w:val="EB7EF76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731044"/>
    <w:multiLevelType w:val="hybridMultilevel"/>
    <w:tmpl w:val="513A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F0147"/>
    <w:multiLevelType w:val="hybridMultilevel"/>
    <w:tmpl w:val="7274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F3265C"/>
    <w:multiLevelType w:val="hybridMultilevel"/>
    <w:tmpl w:val="B9A2E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C3126"/>
    <w:multiLevelType w:val="multilevel"/>
    <w:tmpl w:val="872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83B2E"/>
    <w:multiLevelType w:val="hybridMultilevel"/>
    <w:tmpl w:val="3FB6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83FE8"/>
    <w:multiLevelType w:val="hybridMultilevel"/>
    <w:tmpl w:val="EF88E13E"/>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1" w15:restartNumberingAfterBreak="0">
    <w:nsid w:val="3DA35423"/>
    <w:multiLevelType w:val="hybridMultilevel"/>
    <w:tmpl w:val="8968C0E4"/>
    <w:lvl w:ilvl="0" w:tplc="815878FA">
      <w:start w:val="1"/>
      <w:numFmt w:val="decimal"/>
      <w:pStyle w:val="RecommendationStyle"/>
      <w:lvlText w:val="Recommendation %1"/>
      <w:lvlJc w:val="left"/>
      <w:pPr>
        <w:tabs>
          <w:tab w:val="num" w:pos="1192"/>
        </w:tabs>
      </w:pPr>
      <w:rPr>
        <w:rFonts w:ascii="Arial" w:hAnsi="Arial" w:cs="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100DC5"/>
    <w:multiLevelType w:val="hybridMultilevel"/>
    <w:tmpl w:val="FC448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636987"/>
    <w:multiLevelType w:val="hybridMultilevel"/>
    <w:tmpl w:val="5BCC2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8802C92"/>
    <w:multiLevelType w:val="hybridMultilevel"/>
    <w:tmpl w:val="1C0E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B4C3A"/>
    <w:multiLevelType w:val="multilevel"/>
    <w:tmpl w:val="0FEA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B60ED"/>
    <w:multiLevelType w:val="hybridMultilevel"/>
    <w:tmpl w:val="5B9E2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D554ED9"/>
    <w:multiLevelType w:val="multilevel"/>
    <w:tmpl w:val="652E1C90"/>
    <w:lvl w:ilvl="0">
      <w:start w:val="1"/>
      <w:numFmt w:val="decimal"/>
      <w:pStyle w:val="Heading1"/>
      <w:lvlText w:val="%1."/>
      <w:lvlJc w:val="left"/>
      <w:pPr>
        <w:ind w:left="360" w:hanging="360"/>
      </w:pPr>
      <w:rPr>
        <w:rFonts w:cs="Times New Roman" w:hint="default"/>
      </w:rPr>
    </w:lvl>
    <w:lvl w:ilvl="1">
      <w:start w:val="1"/>
      <w:numFmt w:val="decimal"/>
      <w:pStyle w:val="ATAHeading2"/>
      <w:lvlText w:val="%1.%2."/>
      <w:lvlJc w:val="left"/>
      <w:pPr>
        <w:ind w:left="716" w:hanging="432"/>
      </w:pPr>
      <w:rPr>
        <w:rFonts w:cs="Times New Roman" w:hint="default"/>
      </w:rPr>
    </w:lvl>
    <w:lvl w:ilvl="2">
      <w:start w:val="1"/>
      <w:numFmt w:val="decimal"/>
      <w:pStyle w:val="ATAHeading3"/>
      <w:lvlText w:val="%1.%2.%3."/>
      <w:lvlJc w:val="left"/>
      <w:pPr>
        <w:ind w:left="1224" w:hanging="504"/>
      </w:pPr>
      <w:rPr>
        <w:rFonts w:cs="Times New Roman" w:hint="default"/>
        <w:b/>
        <w:color w:val="00006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3C84D13"/>
    <w:multiLevelType w:val="hybridMultilevel"/>
    <w:tmpl w:val="12D49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4F3BF5"/>
    <w:multiLevelType w:val="hybridMultilevel"/>
    <w:tmpl w:val="CC1C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FB02BD"/>
    <w:multiLevelType w:val="hybridMultilevel"/>
    <w:tmpl w:val="96FC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8"/>
  </w:num>
  <w:num w:numId="4">
    <w:abstractNumId w:val="0"/>
  </w:num>
  <w:num w:numId="5">
    <w:abstractNumId w:val="10"/>
  </w:num>
  <w:num w:numId="6">
    <w:abstractNumId w:val="16"/>
  </w:num>
  <w:num w:numId="7">
    <w:abstractNumId w:val="12"/>
  </w:num>
  <w:num w:numId="8">
    <w:abstractNumId w:val="13"/>
  </w:num>
  <w:num w:numId="9">
    <w:abstractNumId w:val="7"/>
  </w:num>
  <w:num w:numId="10">
    <w:abstractNumId w:val="6"/>
  </w:num>
  <w:num w:numId="11">
    <w:abstractNumId w:val="17"/>
  </w:num>
  <w:num w:numId="12">
    <w:abstractNumId w:val="15"/>
  </w:num>
  <w:num w:numId="13">
    <w:abstractNumId w:val="8"/>
  </w:num>
  <w:num w:numId="14">
    <w:abstractNumId w:val="17"/>
  </w:num>
  <w:num w:numId="15">
    <w:abstractNumId w:val="4"/>
  </w:num>
  <w:num w:numId="16">
    <w:abstractNumId w:val="1"/>
  </w:num>
  <w:num w:numId="17">
    <w:abstractNumId w:val="3"/>
  </w:num>
  <w:num w:numId="18">
    <w:abstractNumId w:val="5"/>
  </w:num>
  <w:num w:numId="19">
    <w:abstractNumId w:val="19"/>
  </w:num>
  <w:num w:numId="20">
    <w:abstractNumId w:val="9"/>
  </w:num>
  <w:num w:numId="21">
    <w:abstractNumId w:val="20"/>
  </w:num>
  <w:num w:numId="22">
    <w:abstractNumId w:val="14"/>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E9"/>
    <w:rsid w:val="0000052A"/>
    <w:rsid w:val="00000CE3"/>
    <w:rsid w:val="00001E4D"/>
    <w:rsid w:val="0000435D"/>
    <w:rsid w:val="00005A35"/>
    <w:rsid w:val="00005E0D"/>
    <w:rsid w:val="00006297"/>
    <w:rsid w:val="00006C53"/>
    <w:rsid w:val="00007723"/>
    <w:rsid w:val="00007CA7"/>
    <w:rsid w:val="00011661"/>
    <w:rsid w:val="00012205"/>
    <w:rsid w:val="000156D1"/>
    <w:rsid w:val="000169A5"/>
    <w:rsid w:val="00020B9C"/>
    <w:rsid w:val="00021886"/>
    <w:rsid w:val="00021D7D"/>
    <w:rsid w:val="0002564A"/>
    <w:rsid w:val="00027E86"/>
    <w:rsid w:val="0003251D"/>
    <w:rsid w:val="00035304"/>
    <w:rsid w:val="00035CFC"/>
    <w:rsid w:val="0004081E"/>
    <w:rsid w:val="00040876"/>
    <w:rsid w:val="00040B35"/>
    <w:rsid w:val="000447B1"/>
    <w:rsid w:val="00046251"/>
    <w:rsid w:val="00047723"/>
    <w:rsid w:val="00047B01"/>
    <w:rsid w:val="00050538"/>
    <w:rsid w:val="00050AC8"/>
    <w:rsid w:val="00050CE6"/>
    <w:rsid w:val="00052E54"/>
    <w:rsid w:val="00052E9C"/>
    <w:rsid w:val="00053DCB"/>
    <w:rsid w:val="00054F0E"/>
    <w:rsid w:val="00056113"/>
    <w:rsid w:val="00056A74"/>
    <w:rsid w:val="00060365"/>
    <w:rsid w:val="00060651"/>
    <w:rsid w:val="0006283B"/>
    <w:rsid w:val="00063D15"/>
    <w:rsid w:val="00067698"/>
    <w:rsid w:val="00070737"/>
    <w:rsid w:val="00071A71"/>
    <w:rsid w:val="00072CCE"/>
    <w:rsid w:val="0007542B"/>
    <w:rsid w:val="00075811"/>
    <w:rsid w:val="00075E7B"/>
    <w:rsid w:val="00077364"/>
    <w:rsid w:val="00083C15"/>
    <w:rsid w:val="000848A1"/>
    <w:rsid w:val="00086A56"/>
    <w:rsid w:val="00087208"/>
    <w:rsid w:val="00091EB9"/>
    <w:rsid w:val="00093679"/>
    <w:rsid w:val="00094FE3"/>
    <w:rsid w:val="00095C3B"/>
    <w:rsid w:val="00096B02"/>
    <w:rsid w:val="0009718D"/>
    <w:rsid w:val="00097329"/>
    <w:rsid w:val="000976B9"/>
    <w:rsid w:val="0009785A"/>
    <w:rsid w:val="000A01D0"/>
    <w:rsid w:val="000A2163"/>
    <w:rsid w:val="000A2996"/>
    <w:rsid w:val="000A2BCF"/>
    <w:rsid w:val="000A2C1A"/>
    <w:rsid w:val="000A4EB0"/>
    <w:rsid w:val="000A6499"/>
    <w:rsid w:val="000B0410"/>
    <w:rsid w:val="000B069A"/>
    <w:rsid w:val="000B1819"/>
    <w:rsid w:val="000B496C"/>
    <w:rsid w:val="000C049C"/>
    <w:rsid w:val="000C0C35"/>
    <w:rsid w:val="000C0F58"/>
    <w:rsid w:val="000C4A62"/>
    <w:rsid w:val="000C7BBC"/>
    <w:rsid w:val="000D033C"/>
    <w:rsid w:val="000D5E4E"/>
    <w:rsid w:val="000D6EF5"/>
    <w:rsid w:val="000D7CD4"/>
    <w:rsid w:val="000E00E4"/>
    <w:rsid w:val="000E7B14"/>
    <w:rsid w:val="000F0F7B"/>
    <w:rsid w:val="000F314E"/>
    <w:rsid w:val="000F34E0"/>
    <w:rsid w:val="000F3ACC"/>
    <w:rsid w:val="000F3ADB"/>
    <w:rsid w:val="000F3D9F"/>
    <w:rsid w:val="000F53C2"/>
    <w:rsid w:val="000F566E"/>
    <w:rsid w:val="000F5BB5"/>
    <w:rsid w:val="000F7F6F"/>
    <w:rsid w:val="00100A35"/>
    <w:rsid w:val="00103E24"/>
    <w:rsid w:val="001051CB"/>
    <w:rsid w:val="00106FC6"/>
    <w:rsid w:val="00110610"/>
    <w:rsid w:val="00110711"/>
    <w:rsid w:val="00110A53"/>
    <w:rsid w:val="001121A8"/>
    <w:rsid w:val="0011347C"/>
    <w:rsid w:val="00114FC5"/>
    <w:rsid w:val="001176CB"/>
    <w:rsid w:val="00121A4F"/>
    <w:rsid w:val="00121A53"/>
    <w:rsid w:val="00122285"/>
    <w:rsid w:val="00125009"/>
    <w:rsid w:val="00125023"/>
    <w:rsid w:val="0013041A"/>
    <w:rsid w:val="001320D2"/>
    <w:rsid w:val="00132E36"/>
    <w:rsid w:val="00133207"/>
    <w:rsid w:val="00134E0D"/>
    <w:rsid w:val="001368EB"/>
    <w:rsid w:val="00141274"/>
    <w:rsid w:val="00141395"/>
    <w:rsid w:val="0014179F"/>
    <w:rsid w:val="0014300C"/>
    <w:rsid w:val="001431E4"/>
    <w:rsid w:val="00145B71"/>
    <w:rsid w:val="0014683D"/>
    <w:rsid w:val="00150065"/>
    <w:rsid w:val="0015008C"/>
    <w:rsid w:val="00150435"/>
    <w:rsid w:val="0015062F"/>
    <w:rsid w:val="0015211C"/>
    <w:rsid w:val="00152A71"/>
    <w:rsid w:val="001533F1"/>
    <w:rsid w:val="0015359E"/>
    <w:rsid w:val="0015386B"/>
    <w:rsid w:val="001552BC"/>
    <w:rsid w:val="00160FE3"/>
    <w:rsid w:val="001611AB"/>
    <w:rsid w:val="00163879"/>
    <w:rsid w:val="00166CBD"/>
    <w:rsid w:val="00167142"/>
    <w:rsid w:val="00167289"/>
    <w:rsid w:val="00172FC4"/>
    <w:rsid w:val="00174273"/>
    <w:rsid w:val="00176C09"/>
    <w:rsid w:val="00177BE9"/>
    <w:rsid w:val="001807A8"/>
    <w:rsid w:val="001811B8"/>
    <w:rsid w:val="001822CF"/>
    <w:rsid w:val="001855CD"/>
    <w:rsid w:val="00185B28"/>
    <w:rsid w:val="0019542E"/>
    <w:rsid w:val="00195C1B"/>
    <w:rsid w:val="00197B9E"/>
    <w:rsid w:val="001A0DC3"/>
    <w:rsid w:val="001A0DEF"/>
    <w:rsid w:val="001A3A47"/>
    <w:rsid w:val="001A6510"/>
    <w:rsid w:val="001A6D98"/>
    <w:rsid w:val="001A7687"/>
    <w:rsid w:val="001B0529"/>
    <w:rsid w:val="001B0E57"/>
    <w:rsid w:val="001B2CD7"/>
    <w:rsid w:val="001B3675"/>
    <w:rsid w:val="001B36AC"/>
    <w:rsid w:val="001B3E52"/>
    <w:rsid w:val="001B5390"/>
    <w:rsid w:val="001C05C2"/>
    <w:rsid w:val="001C0C68"/>
    <w:rsid w:val="001C125D"/>
    <w:rsid w:val="001C3659"/>
    <w:rsid w:val="001C5B41"/>
    <w:rsid w:val="001D2D61"/>
    <w:rsid w:val="001D50C7"/>
    <w:rsid w:val="001D64FE"/>
    <w:rsid w:val="001D77A8"/>
    <w:rsid w:val="001D7817"/>
    <w:rsid w:val="001E0A75"/>
    <w:rsid w:val="001E1BA9"/>
    <w:rsid w:val="001E3AC7"/>
    <w:rsid w:val="001E474C"/>
    <w:rsid w:val="001E5BE0"/>
    <w:rsid w:val="001E5C29"/>
    <w:rsid w:val="001E70A3"/>
    <w:rsid w:val="001F0C6E"/>
    <w:rsid w:val="001F1455"/>
    <w:rsid w:val="001F187C"/>
    <w:rsid w:val="001F7268"/>
    <w:rsid w:val="00200A50"/>
    <w:rsid w:val="0020303C"/>
    <w:rsid w:val="002041FF"/>
    <w:rsid w:val="002067C0"/>
    <w:rsid w:val="00207DE8"/>
    <w:rsid w:val="00210088"/>
    <w:rsid w:val="0021270C"/>
    <w:rsid w:val="0021283E"/>
    <w:rsid w:val="002137D3"/>
    <w:rsid w:val="00214282"/>
    <w:rsid w:val="00215F0D"/>
    <w:rsid w:val="00216CE6"/>
    <w:rsid w:val="00222A5F"/>
    <w:rsid w:val="00225B24"/>
    <w:rsid w:val="002278E9"/>
    <w:rsid w:val="0023094F"/>
    <w:rsid w:val="00230C4F"/>
    <w:rsid w:val="00230DFC"/>
    <w:rsid w:val="002333DB"/>
    <w:rsid w:val="00237081"/>
    <w:rsid w:val="00241C15"/>
    <w:rsid w:val="0024248F"/>
    <w:rsid w:val="00242D21"/>
    <w:rsid w:val="0024360C"/>
    <w:rsid w:val="00243731"/>
    <w:rsid w:val="00250025"/>
    <w:rsid w:val="0025225E"/>
    <w:rsid w:val="002527BE"/>
    <w:rsid w:val="00252AA9"/>
    <w:rsid w:val="0025360A"/>
    <w:rsid w:val="002542D1"/>
    <w:rsid w:val="00254301"/>
    <w:rsid w:val="002543DF"/>
    <w:rsid w:val="00255617"/>
    <w:rsid w:val="00257D05"/>
    <w:rsid w:val="00260827"/>
    <w:rsid w:val="00262C0A"/>
    <w:rsid w:val="00263A7C"/>
    <w:rsid w:val="002647C3"/>
    <w:rsid w:val="00265EB9"/>
    <w:rsid w:val="00266881"/>
    <w:rsid w:val="00266915"/>
    <w:rsid w:val="00267CAF"/>
    <w:rsid w:val="00267EA4"/>
    <w:rsid w:val="00270995"/>
    <w:rsid w:val="00271561"/>
    <w:rsid w:val="00277981"/>
    <w:rsid w:val="00277D24"/>
    <w:rsid w:val="00282EF9"/>
    <w:rsid w:val="0028399D"/>
    <w:rsid w:val="00291C6F"/>
    <w:rsid w:val="0029355B"/>
    <w:rsid w:val="002938B5"/>
    <w:rsid w:val="00295501"/>
    <w:rsid w:val="00296633"/>
    <w:rsid w:val="00296A47"/>
    <w:rsid w:val="002A061F"/>
    <w:rsid w:val="002A243F"/>
    <w:rsid w:val="002A3F63"/>
    <w:rsid w:val="002A4859"/>
    <w:rsid w:val="002A4F45"/>
    <w:rsid w:val="002A5C2E"/>
    <w:rsid w:val="002A7CB7"/>
    <w:rsid w:val="002A7D7F"/>
    <w:rsid w:val="002B0559"/>
    <w:rsid w:val="002B0F48"/>
    <w:rsid w:val="002B172B"/>
    <w:rsid w:val="002B31AF"/>
    <w:rsid w:val="002B3668"/>
    <w:rsid w:val="002B381D"/>
    <w:rsid w:val="002B3C02"/>
    <w:rsid w:val="002B44CF"/>
    <w:rsid w:val="002B54EF"/>
    <w:rsid w:val="002B7A60"/>
    <w:rsid w:val="002B7C87"/>
    <w:rsid w:val="002C015C"/>
    <w:rsid w:val="002C0499"/>
    <w:rsid w:val="002C1799"/>
    <w:rsid w:val="002C2485"/>
    <w:rsid w:val="002C5598"/>
    <w:rsid w:val="002D1187"/>
    <w:rsid w:val="002D592D"/>
    <w:rsid w:val="002E06F2"/>
    <w:rsid w:val="002E226D"/>
    <w:rsid w:val="002E453E"/>
    <w:rsid w:val="002E4551"/>
    <w:rsid w:val="002E5D82"/>
    <w:rsid w:val="002E5F39"/>
    <w:rsid w:val="002E6075"/>
    <w:rsid w:val="002E7897"/>
    <w:rsid w:val="002E7F28"/>
    <w:rsid w:val="002F2F65"/>
    <w:rsid w:val="002F3241"/>
    <w:rsid w:val="002F438C"/>
    <w:rsid w:val="002F50FD"/>
    <w:rsid w:val="002F5A71"/>
    <w:rsid w:val="002F632C"/>
    <w:rsid w:val="00302E87"/>
    <w:rsid w:val="00304B46"/>
    <w:rsid w:val="00304E75"/>
    <w:rsid w:val="00304FB2"/>
    <w:rsid w:val="003054ED"/>
    <w:rsid w:val="00306FBF"/>
    <w:rsid w:val="00307FF7"/>
    <w:rsid w:val="00315333"/>
    <w:rsid w:val="0032008B"/>
    <w:rsid w:val="00320150"/>
    <w:rsid w:val="00320AFE"/>
    <w:rsid w:val="00321A43"/>
    <w:rsid w:val="0032308F"/>
    <w:rsid w:val="00325A6C"/>
    <w:rsid w:val="003265BF"/>
    <w:rsid w:val="00330F29"/>
    <w:rsid w:val="00336512"/>
    <w:rsid w:val="00336760"/>
    <w:rsid w:val="00336EBD"/>
    <w:rsid w:val="00342826"/>
    <w:rsid w:val="00350300"/>
    <w:rsid w:val="00351556"/>
    <w:rsid w:val="00351657"/>
    <w:rsid w:val="00351D4B"/>
    <w:rsid w:val="003533CA"/>
    <w:rsid w:val="00354394"/>
    <w:rsid w:val="0035493A"/>
    <w:rsid w:val="00354DA6"/>
    <w:rsid w:val="00356D3A"/>
    <w:rsid w:val="00360759"/>
    <w:rsid w:val="00360AD1"/>
    <w:rsid w:val="00364BA5"/>
    <w:rsid w:val="0036535E"/>
    <w:rsid w:val="00372137"/>
    <w:rsid w:val="00374990"/>
    <w:rsid w:val="00376E2F"/>
    <w:rsid w:val="00380998"/>
    <w:rsid w:val="003828AD"/>
    <w:rsid w:val="00384772"/>
    <w:rsid w:val="00385F00"/>
    <w:rsid w:val="00385F9E"/>
    <w:rsid w:val="0039063B"/>
    <w:rsid w:val="00390696"/>
    <w:rsid w:val="003911E4"/>
    <w:rsid w:val="0039442F"/>
    <w:rsid w:val="003A17DE"/>
    <w:rsid w:val="003A223A"/>
    <w:rsid w:val="003A4520"/>
    <w:rsid w:val="003B1937"/>
    <w:rsid w:val="003B2024"/>
    <w:rsid w:val="003B23CF"/>
    <w:rsid w:val="003B56E7"/>
    <w:rsid w:val="003B6265"/>
    <w:rsid w:val="003B74E4"/>
    <w:rsid w:val="003B76E9"/>
    <w:rsid w:val="003B7C68"/>
    <w:rsid w:val="003C2311"/>
    <w:rsid w:val="003C2DEE"/>
    <w:rsid w:val="003C42D2"/>
    <w:rsid w:val="003C4664"/>
    <w:rsid w:val="003C6E58"/>
    <w:rsid w:val="003D0990"/>
    <w:rsid w:val="003D0AC3"/>
    <w:rsid w:val="003D1163"/>
    <w:rsid w:val="003D27E1"/>
    <w:rsid w:val="003D3DC0"/>
    <w:rsid w:val="003D4281"/>
    <w:rsid w:val="003D5C05"/>
    <w:rsid w:val="003D6F49"/>
    <w:rsid w:val="003D75FC"/>
    <w:rsid w:val="003D7690"/>
    <w:rsid w:val="003E06E7"/>
    <w:rsid w:val="003E2B20"/>
    <w:rsid w:val="003E3B58"/>
    <w:rsid w:val="003E3D6A"/>
    <w:rsid w:val="003E4EFE"/>
    <w:rsid w:val="003E7053"/>
    <w:rsid w:val="003F0B5C"/>
    <w:rsid w:val="003F0F16"/>
    <w:rsid w:val="003F14C7"/>
    <w:rsid w:val="003F6CA9"/>
    <w:rsid w:val="00400142"/>
    <w:rsid w:val="004008C7"/>
    <w:rsid w:val="004008D8"/>
    <w:rsid w:val="00402138"/>
    <w:rsid w:val="00403823"/>
    <w:rsid w:val="00404392"/>
    <w:rsid w:val="00404731"/>
    <w:rsid w:val="00404820"/>
    <w:rsid w:val="004053D4"/>
    <w:rsid w:val="00406222"/>
    <w:rsid w:val="00407881"/>
    <w:rsid w:val="00407EF2"/>
    <w:rsid w:val="00410341"/>
    <w:rsid w:val="0041041B"/>
    <w:rsid w:val="004115B6"/>
    <w:rsid w:val="00411625"/>
    <w:rsid w:val="004116EA"/>
    <w:rsid w:val="00411877"/>
    <w:rsid w:val="0041272C"/>
    <w:rsid w:val="004130C2"/>
    <w:rsid w:val="00413868"/>
    <w:rsid w:val="00414BFC"/>
    <w:rsid w:val="00415126"/>
    <w:rsid w:val="00420431"/>
    <w:rsid w:val="0042052C"/>
    <w:rsid w:val="004209B1"/>
    <w:rsid w:val="00420F75"/>
    <w:rsid w:val="00421306"/>
    <w:rsid w:val="00422BB7"/>
    <w:rsid w:val="00423CC7"/>
    <w:rsid w:val="00423CCC"/>
    <w:rsid w:val="00424D3E"/>
    <w:rsid w:val="0042557B"/>
    <w:rsid w:val="004263BE"/>
    <w:rsid w:val="00430557"/>
    <w:rsid w:val="00432273"/>
    <w:rsid w:val="004353C2"/>
    <w:rsid w:val="00440231"/>
    <w:rsid w:val="00443123"/>
    <w:rsid w:val="004436EB"/>
    <w:rsid w:val="00445CDC"/>
    <w:rsid w:val="00450FF8"/>
    <w:rsid w:val="0045153A"/>
    <w:rsid w:val="00451BB7"/>
    <w:rsid w:val="00451BD9"/>
    <w:rsid w:val="00454D08"/>
    <w:rsid w:val="00455514"/>
    <w:rsid w:val="00462423"/>
    <w:rsid w:val="00463025"/>
    <w:rsid w:val="004640D1"/>
    <w:rsid w:val="00466E7F"/>
    <w:rsid w:val="00473A75"/>
    <w:rsid w:val="00474AAC"/>
    <w:rsid w:val="00475C39"/>
    <w:rsid w:val="004762BA"/>
    <w:rsid w:val="00483BAA"/>
    <w:rsid w:val="00483F2E"/>
    <w:rsid w:val="00484068"/>
    <w:rsid w:val="004847D2"/>
    <w:rsid w:val="00484C78"/>
    <w:rsid w:val="004854A3"/>
    <w:rsid w:val="00487F0F"/>
    <w:rsid w:val="004952A7"/>
    <w:rsid w:val="0049636E"/>
    <w:rsid w:val="00496A24"/>
    <w:rsid w:val="004977DE"/>
    <w:rsid w:val="00497CD2"/>
    <w:rsid w:val="004A2F6F"/>
    <w:rsid w:val="004A325F"/>
    <w:rsid w:val="004A7B44"/>
    <w:rsid w:val="004B08E7"/>
    <w:rsid w:val="004B0BF5"/>
    <w:rsid w:val="004B26EB"/>
    <w:rsid w:val="004B2B19"/>
    <w:rsid w:val="004B3EF6"/>
    <w:rsid w:val="004B4B20"/>
    <w:rsid w:val="004B509F"/>
    <w:rsid w:val="004B5FA9"/>
    <w:rsid w:val="004B6187"/>
    <w:rsid w:val="004B64C9"/>
    <w:rsid w:val="004B6C90"/>
    <w:rsid w:val="004C1C6A"/>
    <w:rsid w:val="004C21BB"/>
    <w:rsid w:val="004C3CC3"/>
    <w:rsid w:val="004C78A5"/>
    <w:rsid w:val="004C7AD5"/>
    <w:rsid w:val="004C7EE3"/>
    <w:rsid w:val="004D0C5A"/>
    <w:rsid w:val="004D3774"/>
    <w:rsid w:val="004D42D0"/>
    <w:rsid w:val="004D6BAD"/>
    <w:rsid w:val="004E1EBB"/>
    <w:rsid w:val="004E5885"/>
    <w:rsid w:val="004E5EA3"/>
    <w:rsid w:val="004F0A9B"/>
    <w:rsid w:val="004F112A"/>
    <w:rsid w:val="004F38D2"/>
    <w:rsid w:val="004F3B07"/>
    <w:rsid w:val="004F500B"/>
    <w:rsid w:val="004F6D2F"/>
    <w:rsid w:val="004F79DA"/>
    <w:rsid w:val="00500BCF"/>
    <w:rsid w:val="00501270"/>
    <w:rsid w:val="00502292"/>
    <w:rsid w:val="005022E4"/>
    <w:rsid w:val="0050368F"/>
    <w:rsid w:val="00503808"/>
    <w:rsid w:val="00504707"/>
    <w:rsid w:val="00504A7C"/>
    <w:rsid w:val="00510952"/>
    <w:rsid w:val="00510A99"/>
    <w:rsid w:val="00512B6D"/>
    <w:rsid w:val="0052056E"/>
    <w:rsid w:val="005208A7"/>
    <w:rsid w:val="005223FD"/>
    <w:rsid w:val="00525303"/>
    <w:rsid w:val="0053137B"/>
    <w:rsid w:val="0053194E"/>
    <w:rsid w:val="0053236A"/>
    <w:rsid w:val="005326EB"/>
    <w:rsid w:val="00532BFB"/>
    <w:rsid w:val="00532EDD"/>
    <w:rsid w:val="00532F0A"/>
    <w:rsid w:val="00533381"/>
    <w:rsid w:val="00533467"/>
    <w:rsid w:val="00533DD1"/>
    <w:rsid w:val="0053492E"/>
    <w:rsid w:val="005350B5"/>
    <w:rsid w:val="00535155"/>
    <w:rsid w:val="00535863"/>
    <w:rsid w:val="005359BF"/>
    <w:rsid w:val="005365E0"/>
    <w:rsid w:val="00540454"/>
    <w:rsid w:val="00540ABF"/>
    <w:rsid w:val="00542877"/>
    <w:rsid w:val="00543163"/>
    <w:rsid w:val="005434F6"/>
    <w:rsid w:val="0054477E"/>
    <w:rsid w:val="00545151"/>
    <w:rsid w:val="00545CB8"/>
    <w:rsid w:val="00545E6C"/>
    <w:rsid w:val="00546664"/>
    <w:rsid w:val="00550256"/>
    <w:rsid w:val="005507D4"/>
    <w:rsid w:val="005520B3"/>
    <w:rsid w:val="00552289"/>
    <w:rsid w:val="005539F5"/>
    <w:rsid w:val="005551EA"/>
    <w:rsid w:val="005571CA"/>
    <w:rsid w:val="0056179B"/>
    <w:rsid w:val="0056479F"/>
    <w:rsid w:val="005648B3"/>
    <w:rsid w:val="00564DAA"/>
    <w:rsid w:val="00565F92"/>
    <w:rsid w:val="00566D20"/>
    <w:rsid w:val="00570127"/>
    <w:rsid w:val="0057019E"/>
    <w:rsid w:val="00571F8F"/>
    <w:rsid w:val="0057591D"/>
    <w:rsid w:val="00576710"/>
    <w:rsid w:val="00576ED0"/>
    <w:rsid w:val="00576F0D"/>
    <w:rsid w:val="005773CF"/>
    <w:rsid w:val="0057783F"/>
    <w:rsid w:val="00580BDF"/>
    <w:rsid w:val="0058247C"/>
    <w:rsid w:val="00583369"/>
    <w:rsid w:val="00586A8B"/>
    <w:rsid w:val="00587C8F"/>
    <w:rsid w:val="00593217"/>
    <w:rsid w:val="0059482D"/>
    <w:rsid w:val="00596872"/>
    <w:rsid w:val="00596DBF"/>
    <w:rsid w:val="005A2A86"/>
    <w:rsid w:val="005A38CD"/>
    <w:rsid w:val="005A49DD"/>
    <w:rsid w:val="005B0230"/>
    <w:rsid w:val="005B0CD7"/>
    <w:rsid w:val="005B1179"/>
    <w:rsid w:val="005B34B7"/>
    <w:rsid w:val="005B3729"/>
    <w:rsid w:val="005B4CA8"/>
    <w:rsid w:val="005B4F21"/>
    <w:rsid w:val="005B68E9"/>
    <w:rsid w:val="005C1B52"/>
    <w:rsid w:val="005C31A0"/>
    <w:rsid w:val="005C36D1"/>
    <w:rsid w:val="005C4492"/>
    <w:rsid w:val="005C473F"/>
    <w:rsid w:val="005C4952"/>
    <w:rsid w:val="005C61CC"/>
    <w:rsid w:val="005C63F7"/>
    <w:rsid w:val="005C7729"/>
    <w:rsid w:val="005C77F4"/>
    <w:rsid w:val="005D00E8"/>
    <w:rsid w:val="005D2355"/>
    <w:rsid w:val="005D2445"/>
    <w:rsid w:val="005D6CD2"/>
    <w:rsid w:val="005E117A"/>
    <w:rsid w:val="005E11FC"/>
    <w:rsid w:val="005E20ED"/>
    <w:rsid w:val="005E23F5"/>
    <w:rsid w:val="005E28FB"/>
    <w:rsid w:val="005E4356"/>
    <w:rsid w:val="005E57AC"/>
    <w:rsid w:val="005E6294"/>
    <w:rsid w:val="005E661C"/>
    <w:rsid w:val="005E6D8B"/>
    <w:rsid w:val="005F01B0"/>
    <w:rsid w:val="005F1009"/>
    <w:rsid w:val="005F21D1"/>
    <w:rsid w:val="005F31DF"/>
    <w:rsid w:val="005F4FBC"/>
    <w:rsid w:val="005F528E"/>
    <w:rsid w:val="005F5ACC"/>
    <w:rsid w:val="005F69CC"/>
    <w:rsid w:val="00600132"/>
    <w:rsid w:val="006007D6"/>
    <w:rsid w:val="00600AC6"/>
    <w:rsid w:val="006014C4"/>
    <w:rsid w:val="00601B01"/>
    <w:rsid w:val="00602F81"/>
    <w:rsid w:val="00603655"/>
    <w:rsid w:val="00604795"/>
    <w:rsid w:val="00605F3F"/>
    <w:rsid w:val="00605FB9"/>
    <w:rsid w:val="00606FFD"/>
    <w:rsid w:val="006109E9"/>
    <w:rsid w:val="00610CFE"/>
    <w:rsid w:val="006110D1"/>
    <w:rsid w:val="006123DD"/>
    <w:rsid w:val="00614369"/>
    <w:rsid w:val="00617C9D"/>
    <w:rsid w:val="006233B3"/>
    <w:rsid w:val="006244DA"/>
    <w:rsid w:val="00625BAD"/>
    <w:rsid w:val="00625E9E"/>
    <w:rsid w:val="006278F6"/>
    <w:rsid w:val="00627F56"/>
    <w:rsid w:val="006308E9"/>
    <w:rsid w:val="0063291A"/>
    <w:rsid w:val="00632AA0"/>
    <w:rsid w:val="00632D04"/>
    <w:rsid w:val="00632EB0"/>
    <w:rsid w:val="006331D5"/>
    <w:rsid w:val="00634824"/>
    <w:rsid w:val="0063609C"/>
    <w:rsid w:val="0063713C"/>
    <w:rsid w:val="00640DAD"/>
    <w:rsid w:val="006410BD"/>
    <w:rsid w:val="006458F3"/>
    <w:rsid w:val="00646B21"/>
    <w:rsid w:val="00647FBE"/>
    <w:rsid w:val="00650566"/>
    <w:rsid w:val="006509D3"/>
    <w:rsid w:val="00651339"/>
    <w:rsid w:val="006518D9"/>
    <w:rsid w:val="0065569F"/>
    <w:rsid w:val="0066270D"/>
    <w:rsid w:val="00662A4B"/>
    <w:rsid w:val="00663AE8"/>
    <w:rsid w:val="00664D33"/>
    <w:rsid w:val="00665680"/>
    <w:rsid w:val="00666A1A"/>
    <w:rsid w:val="00667036"/>
    <w:rsid w:val="0066769B"/>
    <w:rsid w:val="006677C7"/>
    <w:rsid w:val="00682B89"/>
    <w:rsid w:val="00683D7C"/>
    <w:rsid w:val="00685443"/>
    <w:rsid w:val="00685459"/>
    <w:rsid w:val="006858FF"/>
    <w:rsid w:val="006859F7"/>
    <w:rsid w:val="00686470"/>
    <w:rsid w:val="0069019B"/>
    <w:rsid w:val="00692625"/>
    <w:rsid w:val="006932F3"/>
    <w:rsid w:val="00693363"/>
    <w:rsid w:val="006939CC"/>
    <w:rsid w:val="0069483A"/>
    <w:rsid w:val="00694C83"/>
    <w:rsid w:val="00694F97"/>
    <w:rsid w:val="0069582B"/>
    <w:rsid w:val="006A0105"/>
    <w:rsid w:val="006A1612"/>
    <w:rsid w:val="006A208A"/>
    <w:rsid w:val="006A522F"/>
    <w:rsid w:val="006A52C4"/>
    <w:rsid w:val="006A63B2"/>
    <w:rsid w:val="006A7735"/>
    <w:rsid w:val="006A797E"/>
    <w:rsid w:val="006B36C8"/>
    <w:rsid w:val="006B4B45"/>
    <w:rsid w:val="006B558F"/>
    <w:rsid w:val="006B7D6C"/>
    <w:rsid w:val="006C38AD"/>
    <w:rsid w:val="006C428F"/>
    <w:rsid w:val="006D4D41"/>
    <w:rsid w:val="006D7818"/>
    <w:rsid w:val="006E026F"/>
    <w:rsid w:val="006E05F0"/>
    <w:rsid w:val="006E0E88"/>
    <w:rsid w:val="006E26D5"/>
    <w:rsid w:val="006F050F"/>
    <w:rsid w:val="006F0BC5"/>
    <w:rsid w:val="006F0C79"/>
    <w:rsid w:val="006F0EA4"/>
    <w:rsid w:val="006F2893"/>
    <w:rsid w:val="006F6C3C"/>
    <w:rsid w:val="00700742"/>
    <w:rsid w:val="00704823"/>
    <w:rsid w:val="00704E66"/>
    <w:rsid w:val="007062D8"/>
    <w:rsid w:val="00706722"/>
    <w:rsid w:val="00710395"/>
    <w:rsid w:val="0071276D"/>
    <w:rsid w:val="00714204"/>
    <w:rsid w:val="007162A5"/>
    <w:rsid w:val="0071719F"/>
    <w:rsid w:val="0071762D"/>
    <w:rsid w:val="00717BAD"/>
    <w:rsid w:val="007224BA"/>
    <w:rsid w:val="00725BC0"/>
    <w:rsid w:val="00726797"/>
    <w:rsid w:val="007270C9"/>
    <w:rsid w:val="00731DC4"/>
    <w:rsid w:val="00737149"/>
    <w:rsid w:val="00740005"/>
    <w:rsid w:val="00740DF8"/>
    <w:rsid w:val="00741304"/>
    <w:rsid w:val="007468FB"/>
    <w:rsid w:val="00746BF5"/>
    <w:rsid w:val="007470CF"/>
    <w:rsid w:val="00751BF0"/>
    <w:rsid w:val="00753F95"/>
    <w:rsid w:val="0075427A"/>
    <w:rsid w:val="00754EBD"/>
    <w:rsid w:val="007551E1"/>
    <w:rsid w:val="00756F64"/>
    <w:rsid w:val="00757C3B"/>
    <w:rsid w:val="0076023A"/>
    <w:rsid w:val="0076304F"/>
    <w:rsid w:val="00763C32"/>
    <w:rsid w:val="00773733"/>
    <w:rsid w:val="00774FE0"/>
    <w:rsid w:val="0077582D"/>
    <w:rsid w:val="00776E81"/>
    <w:rsid w:val="007802E1"/>
    <w:rsid w:val="00780FAD"/>
    <w:rsid w:val="00782256"/>
    <w:rsid w:val="00791216"/>
    <w:rsid w:val="00791617"/>
    <w:rsid w:val="00792CEB"/>
    <w:rsid w:val="00793AD6"/>
    <w:rsid w:val="00793EA7"/>
    <w:rsid w:val="007940E8"/>
    <w:rsid w:val="00795047"/>
    <w:rsid w:val="00797CEC"/>
    <w:rsid w:val="007A673A"/>
    <w:rsid w:val="007A69C1"/>
    <w:rsid w:val="007B03E4"/>
    <w:rsid w:val="007B3B54"/>
    <w:rsid w:val="007B3BE2"/>
    <w:rsid w:val="007B4B84"/>
    <w:rsid w:val="007B665E"/>
    <w:rsid w:val="007B711A"/>
    <w:rsid w:val="007C19F7"/>
    <w:rsid w:val="007C385B"/>
    <w:rsid w:val="007C3F49"/>
    <w:rsid w:val="007C5879"/>
    <w:rsid w:val="007C5AD5"/>
    <w:rsid w:val="007C746E"/>
    <w:rsid w:val="007C7FD7"/>
    <w:rsid w:val="007D4DD3"/>
    <w:rsid w:val="007D57CA"/>
    <w:rsid w:val="007D608A"/>
    <w:rsid w:val="007D7F92"/>
    <w:rsid w:val="007E0773"/>
    <w:rsid w:val="007E0ABA"/>
    <w:rsid w:val="007E3FCC"/>
    <w:rsid w:val="007E6163"/>
    <w:rsid w:val="007E7BC6"/>
    <w:rsid w:val="007E7F34"/>
    <w:rsid w:val="007F0554"/>
    <w:rsid w:val="007F15BB"/>
    <w:rsid w:val="007F2D2A"/>
    <w:rsid w:val="007F3589"/>
    <w:rsid w:val="007F4404"/>
    <w:rsid w:val="007F44BE"/>
    <w:rsid w:val="007F4B03"/>
    <w:rsid w:val="007F4C48"/>
    <w:rsid w:val="007F4E1E"/>
    <w:rsid w:val="0080211A"/>
    <w:rsid w:val="008045A8"/>
    <w:rsid w:val="00804638"/>
    <w:rsid w:val="00804B17"/>
    <w:rsid w:val="008062BF"/>
    <w:rsid w:val="0080683E"/>
    <w:rsid w:val="0081411F"/>
    <w:rsid w:val="00814C62"/>
    <w:rsid w:val="00821537"/>
    <w:rsid w:val="0082345F"/>
    <w:rsid w:val="00823880"/>
    <w:rsid w:val="008241D3"/>
    <w:rsid w:val="0082468F"/>
    <w:rsid w:val="00824D91"/>
    <w:rsid w:val="00825673"/>
    <w:rsid w:val="008257C1"/>
    <w:rsid w:val="00825C08"/>
    <w:rsid w:val="0083058C"/>
    <w:rsid w:val="00830A8A"/>
    <w:rsid w:val="00831AA7"/>
    <w:rsid w:val="00832C0D"/>
    <w:rsid w:val="008361ED"/>
    <w:rsid w:val="00836304"/>
    <w:rsid w:val="00846848"/>
    <w:rsid w:val="00846C4C"/>
    <w:rsid w:val="008472E2"/>
    <w:rsid w:val="008479ED"/>
    <w:rsid w:val="00847D7A"/>
    <w:rsid w:val="00850D33"/>
    <w:rsid w:val="00852672"/>
    <w:rsid w:val="00852A83"/>
    <w:rsid w:val="00853473"/>
    <w:rsid w:val="00854D3E"/>
    <w:rsid w:val="008561E9"/>
    <w:rsid w:val="00860723"/>
    <w:rsid w:val="00861D20"/>
    <w:rsid w:val="00863B20"/>
    <w:rsid w:val="008648BB"/>
    <w:rsid w:val="008653DE"/>
    <w:rsid w:val="008679F8"/>
    <w:rsid w:val="0087010A"/>
    <w:rsid w:val="00870397"/>
    <w:rsid w:val="00871395"/>
    <w:rsid w:val="0087242A"/>
    <w:rsid w:val="00872E19"/>
    <w:rsid w:val="00874AAE"/>
    <w:rsid w:val="00875BF1"/>
    <w:rsid w:val="00877FD8"/>
    <w:rsid w:val="008808E3"/>
    <w:rsid w:val="00880C51"/>
    <w:rsid w:val="00881A97"/>
    <w:rsid w:val="00882C09"/>
    <w:rsid w:val="00883178"/>
    <w:rsid w:val="00883881"/>
    <w:rsid w:val="00885151"/>
    <w:rsid w:val="00890346"/>
    <w:rsid w:val="008929C1"/>
    <w:rsid w:val="00893728"/>
    <w:rsid w:val="00894FDA"/>
    <w:rsid w:val="008979D4"/>
    <w:rsid w:val="008A1D8B"/>
    <w:rsid w:val="008A3948"/>
    <w:rsid w:val="008A5088"/>
    <w:rsid w:val="008A5348"/>
    <w:rsid w:val="008A5FC4"/>
    <w:rsid w:val="008A74F8"/>
    <w:rsid w:val="008B0EEF"/>
    <w:rsid w:val="008B123F"/>
    <w:rsid w:val="008B2A89"/>
    <w:rsid w:val="008B3178"/>
    <w:rsid w:val="008B4082"/>
    <w:rsid w:val="008B7312"/>
    <w:rsid w:val="008C09D2"/>
    <w:rsid w:val="008C10AA"/>
    <w:rsid w:val="008C1818"/>
    <w:rsid w:val="008C21E6"/>
    <w:rsid w:val="008C3592"/>
    <w:rsid w:val="008C38B7"/>
    <w:rsid w:val="008C6E07"/>
    <w:rsid w:val="008D0899"/>
    <w:rsid w:val="008D0B92"/>
    <w:rsid w:val="008D3C61"/>
    <w:rsid w:val="008D3E3D"/>
    <w:rsid w:val="008D42D4"/>
    <w:rsid w:val="008D451E"/>
    <w:rsid w:val="008D49C3"/>
    <w:rsid w:val="008D6B14"/>
    <w:rsid w:val="008D7A86"/>
    <w:rsid w:val="008E09F4"/>
    <w:rsid w:val="008E0C8C"/>
    <w:rsid w:val="008E0E01"/>
    <w:rsid w:val="008E1721"/>
    <w:rsid w:val="008E2AB0"/>
    <w:rsid w:val="008E3865"/>
    <w:rsid w:val="008E417C"/>
    <w:rsid w:val="008E4B38"/>
    <w:rsid w:val="008E5878"/>
    <w:rsid w:val="008F09AB"/>
    <w:rsid w:val="008F11A3"/>
    <w:rsid w:val="008F7601"/>
    <w:rsid w:val="008F79E1"/>
    <w:rsid w:val="00902F10"/>
    <w:rsid w:val="0090378D"/>
    <w:rsid w:val="00904039"/>
    <w:rsid w:val="00907971"/>
    <w:rsid w:val="00907A05"/>
    <w:rsid w:val="009100A8"/>
    <w:rsid w:val="00912187"/>
    <w:rsid w:val="009132E3"/>
    <w:rsid w:val="00913890"/>
    <w:rsid w:val="009148AC"/>
    <w:rsid w:val="00914C1D"/>
    <w:rsid w:val="00915F3F"/>
    <w:rsid w:val="00916228"/>
    <w:rsid w:val="0091747C"/>
    <w:rsid w:val="00922A9B"/>
    <w:rsid w:val="009231B2"/>
    <w:rsid w:val="00923ADD"/>
    <w:rsid w:val="00925758"/>
    <w:rsid w:val="009279F2"/>
    <w:rsid w:val="00931B2F"/>
    <w:rsid w:val="00932BAB"/>
    <w:rsid w:val="0093306C"/>
    <w:rsid w:val="009339FC"/>
    <w:rsid w:val="009350CE"/>
    <w:rsid w:val="00936935"/>
    <w:rsid w:val="00940B60"/>
    <w:rsid w:val="00940D05"/>
    <w:rsid w:val="00942722"/>
    <w:rsid w:val="009433C1"/>
    <w:rsid w:val="00943829"/>
    <w:rsid w:val="0094402B"/>
    <w:rsid w:val="00946124"/>
    <w:rsid w:val="00946DC5"/>
    <w:rsid w:val="00946E17"/>
    <w:rsid w:val="00947278"/>
    <w:rsid w:val="009539FA"/>
    <w:rsid w:val="009544B3"/>
    <w:rsid w:val="00960FE0"/>
    <w:rsid w:val="0096247E"/>
    <w:rsid w:val="00963D1D"/>
    <w:rsid w:val="00964284"/>
    <w:rsid w:val="00965069"/>
    <w:rsid w:val="00965FDF"/>
    <w:rsid w:val="009802CB"/>
    <w:rsid w:val="0098465E"/>
    <w:rsid w:val="00985A2C"/>
    <w:rsid w:val="00985AD3"/>
    <w:rsid w:val="00985D31"/>
    <w:rsid w:val="00986804"/>
    <w:rsid w:val="0099070F"/>
    <w:rsid w:val="00993BAE"/>
    <w:rsid w:val="00993E39"/>
    <w:rsid w:val="0099546D"/>
    <w:rsid w:val="00996370"/>
    <w:rsid w:val="00997EED"/>
    <w:rsid w:val="009A2455"/>
    <w:rsid w:val="009A375C"/>
    <w:rsid w:val="009A3780"/>
    <w:rsid w:val="009A3853"/>
    <w:rsid w:val="009B0520"/>
    <w:rsid w:val="009B2803"/>
    <w:rsid w:val="009B4220"/>
    <w:rsid w:val="009B5742"/>
    <w:rsid w:val="009B709C"/>
    <w:rsid w:val="009B73F5"/>
    <w:rsid w:val="009C3182"/>
    <w:rsid w:val="009C34F3"/>
    <w:rsid w:val="009C5367"/>
    <w:rsid w:val="009C5B87"/>
    <w:rsid w:val="009D1601"/>
    <w:rsid w:val="009D2F28"/>
    <w:rsid w:val="009D3731"/>
    <w:rsid w:val="009D38A1"/>
    <w:rsid w:val="009E3C08"/>
    <w:rsid w:val="009E6C6B"/>
    <w:rsid w:val="009E77F2"/>
    <w:rsid w:val="009F23BD"/>
    <w:rsid w:val="009F593D"/>
    <w:rsid w:val="00A00503"/>
    <w:rsid w:val="00A0156A"/>
    <w:rsid w:val="00A01C6F"/>
    <w:rsid w:val="00A023EA"/>
    <w:rsid w:val="00A047CA"/>
    <w:rsid w:val="00A109D4"/>
    <w:rsid w:val="00A12D70"/>
    <w:rsid w:val="00A1430A"/>
    <w:rsid w:val="00A16057"/>
    <w:rsid w:val="00A21842"/>
    <w:rsid w:val="00A21925"/>
    <w:rsid w:val="00A2215A"/>
    <w:rsid w:val="00A23059"/>
    <w:rsid w:val="00A2623B"/>
    <w:rsid w:val="00A26B28"/>
    <w:rsid w:val="00A300E2"/>
    <w:rsid w:val="00A323BD"/>
    <w:rsid w:val="00A34465"/>
    <w:rsid w:val="00A35D7E"/>
    <w:rsid w:val="00A37A93"/>
    <w:rsid w:val="00A40847"/>
    <w:rsid w:val="00A40FCF"/>
    <w:rsid w:val="00A444A6"/>
    <w:rsid w:val="00A44995"/>
    <w:rsid w:val="00A45C33"/>
    <w:rsid w:val="00A466B6"/>
    <w:rsid w:val="00A46EE9"/>
    <w:rsid w:val="00A5128C"/>
    <w:rsid w:val="00A5234E"/>
    <w:rsid w:val="00A57D2F"/>
    <w:rsid w:val="00A57DBC"/>
    <w:rsid w:val="00A57EC2"/>
    <w:rsid w:val="00A60114"/>
    <w:rsid w:val="00A64F9C"/>
    <w:rsid w:val="00A674D0"/>
    <w:rsid w:val="00A71BAA"/>
    <w:rsid w:val="00A74122"/>
    <w:rsid w:val="00A76443"/>
    <w:rsid w:val="00A8447E"/>
    <w:rsid w:val="00A87317"/>
    <w:rsid w:val="00A903D9"/>
    <w:rsid w:val="00A90C07"/>
    <w:rsid w:val="00A91411"/>
    <w:rsid w:val="00A931E9"/>
    <w:rsid w:val="00A93511"/>
    <w:rsid w:val="00A94647"/>
    <w:rsid w:val="00A9687E"/>
    <w:rsid w:val="00A97A9E"/>
    <w:rsid w:val="00A97D79"/>
    <w:rsid w:val="00AA0C5A"/>
    <w:rsid w:val="00AA2D57"/>
    <w:rsid w:val="00AA3E70"/>
    <w:rsid w:val="00AA4EF1"/>
    <w:rsid w:val="00AA6BA4"/>
    <w:rsid w:val="00AA7670"/>
    <w:rsid w:val="00AA7C25"/>
    <w:rsid w:val="00AB3269"/>
    <w:rsid w:val="00AB3C78"/>
    <w:rsid w:val="00AB6D11"/>
    <w:rsid w:val="00AC0045"/>
    <w:rsid w:val="00AC0C16"/>
    <w:rsid w:val="00AC45CF"/>
    <w:rsid w:val="00AC4A34"/>
    <w:rsid w:val="00AC5B44"/>
    <w:rsid w:val="00AC6679"/>
    <w:rsid w:val="00AD0FD4"/>
    <w:rsid w:val="00AD281B"/>
    <w:rsid w:val="00AD29E4"/>
    <w:rsid w:val="00AD51CE"/>
    <w:rsid w:val="00AD6FA9"/>
    <w:rsid w:val="00AD7650"/>
    <w:rsid w:val="00AE132C"/>
    <w:rsid w:val="00AE1BC2"/>
    <w:rsid w:val="00AE2DD6"/>
    <w:rsid w:val="00AE3B7B"/>
    <w:rsid w:val="00AE4A80"/>
    <w:rsid w:val="00AE71A5"/>
    <w:rsid w:val="00AE7959"/>
    <w:rsid w:val="00AF1D10"/>
    <w:rsid w:val="00AF2921"/>
    <w:rsid w:val="00AF3FFC"/>
    <w:rsid w:val="00AF404A"/>
    <w:rsid w:val="00AF440E"/>
    <w:rsid w:val="00B00132"/>
    <w:rsid w:val="00B01A6B"/>
    <w:rsid w:val="00B01C81"/>
    <w:rsid w:val="00B02FF3"/>
    <w:rsid w:val="00B030B3"/>
    <w:rsid w:val="00B05F83"/>
    <w:rsid w:val="00B064C6"/>
    <w:rsid w:val="00B115A2"/>
    <w:rsid w:val="00B13AC3"/>
    <w:rsid w:val="00B13B6B"/>
    <w:rsid w:val="00B15CA5"/>
    <w:rsid w:val="00B210F4"/>
    <w:rsid w:val="00B21270"/>
    <w:rsid w:val="00B233FA"/>
    <w:rsid w:val="00B31461"/>
    <w:rsid w:val="00B31649"/>
    <w:rsid w:val="00B344FD"/>
    <w:rsid w:val="00B3586B"/>
    <w:rsid w:val="00B3706D"/>
    <w:rsid w:val="00B40005"/>
    <w:rsid w:val="00B4177C"/>
    <w:rsid w:val="00B41E03"/>
    <w:rsid w:val="00B42C45"/>
    <w:rsid w:val="00B43A28"/>
    <w:rsid w:val="00B43E2A"/>
    <w:rsid w:val="00B440EB"/>
    <w:rsid w:val="00B46272"/>
    <w:rsid w:val="00B47A01"/>
    <w:rsid w:val="00B53589"/>
    <w:rsid w:val="00B56443"/>
    <w:rsid w:val="00B568A2"/>
    <w:rsid w:val="00B57F53"/>
    <w:rsid w:val="00B612B6"/>
    <w:rsid w:val="00B636DC"/>
    <w:rsid w:val="00B639E5"/>
    <w:rsid w:val="00B67019"/>
    <w:rsid w:val="00B74C0E"/>
    <w:rsid w:val="00B81003"/>
    <w:rsid w:val="00B818D7"/>
    <w:rsid w:val="00B82008"/>
    <w:rsid w:val="00B85678"/>
    <w:rsid w:val="00B867DD"/>
    <w:rsid w:val="00B90EA0"/>
    <w:rsid w:val="00B91BAA"/>
    <w:rsid w:val="00B91BC8"/>
    <w:rsid w:val="00B92538"/>
    <w:rsid w:val="00B92C39"/>
    <w:rsid w:val="00B9320E"/>
    <w:rsid w:val="00B93F58"/>
    <w:rsid w:val="00B952B5"/>
    <w:rsid w:val="00B9742B"/>
    <w:rsid w:val="00BA01D2"/>
    <w:rsid w:val="00BA0CE8"/>
    <w:rsid w:val="00BA19BE"/>
    <w:rsid w:val="00BA1DFD"/>
    <w:rsid w:val="00BA1F1D"/>
    <w:rsid w:val="00BA2A76"/>
    <w:rsid w:val="00BA374F"/>
    <w:rsid w:val="00BA4A46"/>
    <w:rsid w:val="00BB48FA"/>
    <w:rsid w:val="00BB5312"/>
    <w:rsid w:val="00BC1B68"/>
    <w:rsid w:val="00BC3700"/>
    <w:rsid w:val="00BC5ACA"/>
    <w:rsid w:val="00BC5E7C"/>
    <w:rsid w:val="00BC5ECE"/>
    <w:rsid w:val="00BC6314"/>
    <w:rsid w:val="00BC67A2"/>
    <w:rsid w:val="00BD0BA3"/>
    <w:rsid w:val="00BD26FC"/>
    <w:rsid w:val="00BD44B9"/>
    <w:rsid w:val="00BD49FC"/>
    <w:rsid w:val="00BD4A08"/>
    <w:rsid w:val="00BD75B3"/>
    <w:rsid w:val="00BD7ACB"/>
    <w:rsid w:val="00BE0BD4"/>
    <w:rsid w:val="00BE391B"/>
    <w:rsid w:val="00BE46AC"/>
    <w:rsid w:val="00BE639D"/>
    <w:rsid w:val="00BE69AC"/>
    <w:rsid w:val="00BF33B0"/>
    <w:rsid w:val="00BF5839"/>
    <w:rsid w:val="00BF59B2"/>
    <w:rsid w:val="00C00DC1"/>
    <w:rsid w:val="00C01514"/>
    <w:rsid w:val="00C061E3"/>
    <w:rsid w:val="00C06240"/>
    <w:rsid w:val="00C07345"/>
    <w:rsid w:val="00C07770"/>
    <w:rsid w:val="00C119C2"/>
    <w:rsid w:val="00C141DF"/>
    <w:rsid w:val="00C14967"/>
    <w:rsid w:val="00C14B25"/>
    <w:rsid w:val="00C15FEE"/>
    <w:rsid w:val="00C1627A"/>
    <w:rsid w:val="00C17198"/>
    <w:rsid w:val="00C1777A"/>
    <w:rsid w:val="00C20E15"/>
    <w:rsid w:val="00C222AC"/>
    <w:rsid w:val="00C24C12"/>
    <w:rsid w:val="00C252E8"/>
    <w:rsid w:val="00C26E47"/>
    <w:rsid w:val="00C3083F"/>
    <w:rsid w:val="00C30B76"/>
    <w:rsid w:val="00C31B7A"/>
    <w:rsid w:val="00C322A1"/>
    <w:rsid w:val="00C32E9F"/>
    <w:rsid w:val="00C33404"/>
    <w:rsid w:val="00C338CE"/>
    <w:rsid w:val="00C33BEE"/>
    <w:rsid w:val="00C34E14"/>
    <w:rsid w:val="00C364D6"/>
    <w:rsid w:val="00C40350"/>
    <w:rsid w:val="00C414E8"/>
    <w:rsid w:val="00C42AAC"/>
    <w:rsid w:val="00C42CE4"/>
    <w:rsid w:val="00C43619"/>
    <w:rsid w:val="00C43DAE"/>
    <w:rsid w:val="00C51A84"/>
    <w:rsid w:val="00C531DC"/>
    <w:rsid w:val="00C532F8"/>
    <w:rsid w:val="00C533FE"/>
    <w:rsid w:val="00C5376C"/>
    <w:rsid w:val="00C54162"/>
    <w:rsid w:val="00C549B7"/>
    <w:rsid w:val="00C54C55"/>
    <w:rsid w:val="00C61020"/>
    <w:rsid w:val="00C62631"/>
    <w:rsid w:val="00C63972"/>
    <w:rsid w:val="00C65241"/>
    <w:rsid w:val="00C66CB0"/>
    <w:rsid w:val="00C676E5"/>
    <w:rsid w:val="00C7661F"/>
    <w:rsid w:val="00C76787"/>
    <w:rsid w:val="00C772E3"/>
    <w:rsid w:val="00C803E7"/>
    <w:rsid w:val="00C83A4F"/>
    <w:rsid w:val="00C84379"/>
    <w:rsid w:val="00C84D05"/>
    <w:rsid w:val="00C8621A"/>
    <w:rsid w:val="00C87641"/>
    <w:rsid w:val="00C926AD"/>
    <w:rsid w:val="00C92826"/>
    <w:rsid w:val="00C93453"/>
    <w:rsid w:val="00C96889"/>
    <w:rsid w:val="00CA04DC"/>
    <w:rsid w:val="00CA0ADF"/>
    <w:rsid w:val="00CA5938"/>
    <w:rsid w:val="00CA5C45"/>
    <w:rsid w:val="00CA5DEE"/>
    <w:rsid w:val="00CB0E55"/>
    <w:rsid w:val="00CB38F2"/>
    <w:rsid w:val="00CB3CB5"/>
    <w:rsid w:val="00CB3DBD"/>
    <w:rsid w:val="00CB4D57"/>
    <w:rsid w:val="00CB57FE"/>
    <w:rsid w:val="00CB7123"/>
    <w:rsid w:val="00CB73A3"/>
    <w:rsid w:val="00CB7F0D"/>
    <w:rsid w:val="00CC1DF7"/>
    <w:rsid w:val="00CC20F1"/>
    <w:rsid w:val="00CC28C6"/>
    <w:rsid w:val="00CC3585"/>
    <w:rsid w:val="00CC4808"/>
    <w:rsid w:val="00CC4BC8"/>
    <w:rsid w:val="00CC7D66"/>
    <w:rsid w:val="00CD0055"/>
    <w:rsid w:val="00CD0400"/>
    <w:rsid w:val="00CD211F"/>
    <w:rsid w:val="00CD305B"/>
    <w:rsid w:val="00CD44A5"/>
    <w:rsid w:val="00CE0D2C"/>
    <w:rsid w:val="00CE1B8A"/>
    <w:rsid w:val="00CE1F0B"/>
    <w:rsid w:val="00CE3510"/>
    <w:rsid w:val="00CE4936"/>
    <w:rsid w:val="00CE4CC0"/>
    <w:rsid w:val="00CE6205"/>
    <w:rsid w:val="00CE6BF8"/>
    <w:rsid w:val="00CE7A1E"/>
    <w:rsid w:val="00CF27C4"/>
    <w:rsid w:val="00CF46D9"/>
    <w:rsid w:val="00D06F27"/>
    <w:rsid w:val="00D073F4"/>
    <w:rsid w:val="00D1102D"/>
    <w:rsid w:val="00D13DF0"/>
    <w:rsid w:val="00D143AC"/>
    <w:rsid w:val="00D14486"/>
    <w:rsid w:val="00D244C9"/>
    <w:rsid w:val="00D24520"/>
    <w:rsid w:val="00D25BF8"/>
    <w:rsid w:val="00D262EA"/>
    <w:rsid w:val="00D30A63"/>
    <w:rsid w:val="00D31703"/>
    <w:rsid w:val="00D32D1E"/>
    <w:rsid w:val="00D36774"/>
    <w:rsid w:val="00D36B98"/>
    <w:rsid w:val="00D40AAD"/>
    <w:rsid w:val="00D47ACC"/>
    <w:rsid w:val="00D5064E"/>
    <w:rsid w:val="00D51FE7"/>
    <w:rsid w:val="00D54B01"/>
    <w:rsid w:val="00D57274"/>
    <w:rsid w:val="00D600F0"/>
    <w:rsid w:val="00D6034D"/>
    <w:rsid w:val="00D61332"/>
    <w:rsid w:val="00D61F8A"/>
    <w:rsid w:val="00D6239E"/>
    <w:rsid w:val="00D640D7"/>
    <w:rsid w:val="00D64A4B"/>
    <w:rsid w:val="00D66A48"/>
    <w:rsid w:val="00D70374"/>
    <w:rsid w:val="00D71175"/>
    <w:rsid w:val="00D7260B"/>
    <w:rsid w:val="00D729B1"/>
    <w:rsid w:val="00D730B5"/>
    <w:rsid w:val="00D73129"/>
    <w:rsid w:val="00D735FF"/>
    <w:rsid w:val="00D73A3C"/>
    <w:rsid w:val="00D7483C"/>
    <w:rsid w:val="00D74FD2"/>
    <w:rsid w:val="00D77CD3"/>
    <w:rsid w:val="00D813C5"/>
    <w:rsid w:val="00D83999"/>
    <w:rsid w:val="00D839BC"/>
    <w:rsid w:val="00D84ABE"/>
    <w:rsid w:val="00D84F60"/>
    <w:rsid w:val="00D87B35"/>
    <w:rsid w:val="00D9098B"/>
    <w:rsid w:val="00D91B3F"/>
    <w:rsid w:val="00D91BC7"/>
    <w:rsid w:val="00D91FC5"/>
    <w:rsid w:val="00D92690"/>
    <w:rsid w:val="00D9288B"/>
    <w:rsid w:val="00D9376C"/>
    <w:rsid w:val="00D93EA3"/>
    <w:rsid w:val="00D97AD0"/>
    <w:rsid w:val="00DA068C"/>
    <w:rsid w:val="00DA2373"/>
    <w:rsid w:val="00DA6F20"/>
    <w:rsid w:val="00DB17ED"/>
    <w:rsid w:val="00DB35B2"/>
    <w:rsid w:val="00DB4087"/>
    <w:rsid w:val="00DB4755"/>
    <w:rsid w:val="00DC07A6"/>
    <w:rsid w:val="00DC22B8"/>
    <w:rsid w:val="00DC3E21"/>
    <w:rsid w:val="00DC428F"/>
    <w:rsid w:val="00DC48FC"/>
    <w:rsid w:val="00DD04B4"/>
    <w:rsid w:val="00DD2866"/>
    <w:rsid w:val="00DD2EAD"/>
    <w:rsid w:val="00DD332A"/>
    <w:rsid w:val="00DD3E03"/>
    <w:rsid w:val="00DD536D"/>
    <w:rsid w:val="00DD5672"/>
    <w:rsid w:val="00DD638B"/>
    <w:rsid w:val="00DD6622"/>
    <w:rsid w:val="00DE0CFB"/>
    <w:rsid w:val="00DE1245"/>
    <w:rsid w:val="00DE16B2"/>
    <w:rsid w:val="00DE17F9"/>
    <w:rsid w:val="00DE1EE8"/>
    <w:rsid w:val="00DE33F9"/>
    <w:rsid w:val="00DE3A75"/>
    <w:rsid w:val="00DE4C92"/>
    <w:rsid w:val="00DE6050"/>
    <w:rsid w:val="00DE65EC"/>
    <w:rsid w:val="00DE7094"/>
    <w:rsid w:val="00DF2EC9"/>
    <w:rsid w:val="00DF5393"/>
    <w:rsid w:val="00DF54C2"/>
    <w:rsid w:val="00DF5787"/>
    <w:rsid w:val="00DF57AB"/>
    <w:rsid w:val="00DF74E3"/>
    <w:rsid w:val="00DF794F"/>
    <w:rsid w:val="00E02336"/>
    <w:rsid w:val="00E023AA"/>
    <w:rsid w:val="00E02DF9"/>
    <w:rsid w:val="00E059CE"/>
    <w:rsid w:val="00E07B27"/>
    <w:rsid w:val="00E12228"/>
    <w:rsid w:val="00E15852"/>
    <w:rsid w:val="00E1630A"/>
    <w:rsid w:val="00E165CA"/>
    <w:rsid w:val="00E20A4D"/>
    <w:rsid w:val="00E23208"/>
    <w:rsid w:val="00E23A7E"/>
    <w:rsid w:val="00E24A0D"/>
    <w:rsid w:val="00E24A15"/>
    <w:rsid w:val="00E24F4E"/>
    <w:rsid w:val="00E25699"/>
    <w:rsid w:val="00E275BB"/>
    <w:rsid w:val="00E275CC"/>
    <w:rsid w:val="00E3023E"/>
    <w:rsid w:val="00E320BF"/>
    <w:rsid w:val="00E325CC"/>
    <w:rsid w:val="00E32F40"/>
    <w:rsid w:val="00E34B78"/>
    <w:rsid w:val="00E34BD0"/>
    <w:rsid w:val="00E35F2E"/>
    <w:rsid w:val="00E37029"/>
    <w:rsid w:val="00E42F1F"/>
    <w:rsid w:val="00E45A6B"/>
    <w:rsid w:val="00E464E0"/>
    <w:rsid w:val="00E51FE7"/>
    <w:rsid w:val="00E520C5"/>
    <w:rsid w:val="00E5274C"/>
    <w:rsid w:val="00E53E66"/>
    <w:rsid w:val="00E540E3"/>
    <w:rsid w:val="00E54235"/>
    <w:rsid w:val="00E548FC"/>
    <w:rsid w:val="00E5657E"/>
    <w:rsid w:val="00E60D4B"/>
    <w:rsid w:val="00E61488"/>
    <w:rsid w:val="00E6207F"/>
    <w:rsid w:val="00E62F37"/>
    <w:rsid w:val="00E63547"/>
    <w:rsid w:val="00E63814"/>
    <w:rsid w:val="00E651B3"/>
    <w:rsid w:val="00E71B47"/>
    <w:rsid w:val="00E73CC6"/>
    <w:rsid w:val="00E73E8E"/>
    <w:rsid w:val="00E7447A"/>
    <w:rsid w:val="00E77018"/>
    <w:rsid w:val="00E8056B"/>
    <w:rsid w:val="00E80729"/>
    <w:rsid w:val="00E80CF1"/>
    <w:rsid w:val="00E816A2"/>
    <w:rsid w:val="00E86E35"/>
    <w:rsid w:val="00E91E84"/>
    <w:rsid w:val="00E924CE"/>
    <w:rsid w:val="00E96BDF"/>
    <w:rsid w:val="00EA1831"/>
    <w:rsid w:val="00EA2204"/>
    <w:rsid w:val="00EA257F"/>
    <w:rsid w:val="00EA2A85"/>
    <w:rsid w:val="00EA3251"/>
    <w:rsid w:val="00EA3322"/>
    <w:rsid w:val="00EA3F83"/>
    <w:rsid w:val="00EA6150"/>
    <w:rsid w:val="00EA6D50"/>
    <w:rsid w:val="00EB05BC"/>
    <w:rsid w:val="00EB0C47"/>
    <w:rsid w:val="00EB3E6E"/>
    <w:rsid w:val="00EB73AB"/>
    <w:rsid w:val="00EC042B"/>
    <w:rsid w:val="00EC4A38"/>
    <w:rsid w:val="00EC7A14"/>
    <w:rsid w:val="00ED0C35"/>
    <w:rsid w:val="00ED0E44"/>
    <w:rsid w:val="00ED185A"/>
    <w:rsid w:val="00ED19EB"/>
    <w:rsid w:val="00ED1D0D"/>
    <w:rsid w:val="00ED2995"/>
    <w:rsid w:val="00ED39AB"/>
    <w:rsid w:val="00EE02B2"/>
    <w:rsid w:val="00EE1FFF"/>
    <w:rsid w:val="00EE2127"/>
    <w:rsid w:val="00EE22F2"/>
    <w:rsid w:val="00EE4129"/>
    <w:rsid w:val="00EE49F2"/>
    <w:rsid w:val="00EE51AD"/>
    <w:rsid w:val="00EE65C7"/>
    <w:rsid w:val="00EE7143"/>
    <w:rsid w:val="00EF081A"/>
    <w:rsid w:val="00EF5F37"/>
    <w:rsid w:val="00F020D5"/>
    <w:rsid w:val="00F03AB9"/>
    <w:rsid w:val="00F03D77"/>
    <w:rsid w:val="00F04185"/>
    <w:rsid w:val="00F04548"/>
    <w:rsid w:val="00F14B69"/>
    <w:rsid w:val="00F16C2D"/>
    <w:rsid w:val="00F17E6F"/>
    <w:rsid w:val="00F2072F"/>
    <w:rsid w:val="00F2165E"/>
    <w:rsid w:val="00F21CE8"/>
    <w:rsid w:val="00F24FD9"/>
    <w:rsid w:val="00F25484"/>
    <w:rsid w:val="00F254C0"/>
    <w:rsid w:val="00F26132"/>
    <w:rsid w:val="00F2650A"/>
    <w:rsid w:val="00F3294F"/>
    <w:rsid w:val="00F32DC1"/>
    <w:rsid w:val="00F33008"/>
    <w:rsid w:val="00F33089"/>
    <w:rsid w:val="00F33FD1"/>
    <w:rsid w:val="00F35870"/>
    <w:rsid w:val="00F377D3"/>
    <w:rsid w:val="00F4251D"/>
    <w:rsid w:val="00F4543E"/>
    <w:rsid w:val="00F50495"/>
    <w:rsid w:val="00F51B8C"/>
    <w:rsid w:val="00F52310"/>
    <w:rsid w:val="00F52883"/>
    <w:rsid w:val="00F5399F"/>
    <w:rsid w:val="00F5516D"/>
    <w:rsid w:val="00F56FD2"/>
    <w:rsid w:val="00F6195A"/>
    <w:rsid w:val="00F6200B"/>
    <w:rsid w:val="00F66724"/>
    <w:rsid w:val="00F70531"/>
    <w:rsid w:val="00F73ACC"/>
    <w:rsid w:val="00F811F7"/>
    <w:rsid w:val="00F81EED"/>
    <w:rsid w:val="00F8275D"/>
    <w:rsid w:val="00F8425A"/>
    <w:rsid w:val="00F84D4F"/>
    <w:rsid w:val="00F85E0E"/>
    <w:rsid w:val="00F93B9A"/>
    <w:rsid w:val="00F946DC"/>
    <w:rsid w:val="00F96568"/>
    <w:rsid w:val="00F97116"/>
    <w:rsid w:val="00F971D6"/>
    <w:rsid w:val="00F97FDE"/>
    <w:rsid w:val="00FA1D75"/>
    <w:rsid w:val="00FA2450"/>
    <w:rsid w:val="00FA2486"/>
    <w:rsid w:val="00FA321F"/>
    <w:rsid w:val="00FA56D3"/>
    <w:rsid w:val="00FA593F"/>
    <w:rsid w:val="00FA6CB0"/>
    <w:rsid w:val="00FB1DEC"/>
    <w:rsid w:val="00FB5CCE"/>
    <w:rsid w:val="00FB7B56"/>
    <w:rsid w:val="00FC027F"/>
    <w:rsid w:val="00FC1291"/>
    <w:rsid w:val="00FC1708"/>
    <w:rsid w:val="00FC2E35"/>
    <w:rsid w:val="00FC3859"/>
    <w:rsid w:val="00FC54E7"/>
    <w:rsid w:val="00FC7369"/>
    <w:rsid w:val="00FD016B"/>
    <w:rsid w:val="00FD3FFC"/>
    <w:rsid w:val="00FD4E53"/>
    <w:rsid w:val="00FD4FEB"/>
    <w:rsid w:val="00FD7129"/>
    <w:rsid w:val="00FD74A6"/>
    <w:rsid w:val="00FE3DE2"/>
    <w:rsid w:val="00FE6FC6"/>
    <w:rsid w:val="00FE75E5"/>
    <w:rsid w:val="00FF0E35"/>
    <w:rsid w:val="00FF4F15"/>
    <w:rsid w:val="00FF66DB"/>
    <w:rsid w:val="00FF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5F0"/>
    <w:rPr>
      <w:sz w:val="22"/>
      <w:szCs w:val="22"/>
      <w:lang w:eastAsia="en-US"/>
    </w:rPr>
  </w:style>
  <w:style w:type="paragraph" w:styleId="Heading1">
    <w:name w:val="heading 1"/>
    <w:aliases w:val="ATA Submission Heading 1"/>
    <w:basedOn w:val="Normal"/>
    <w:next w:val="Normal"/>
    <w:link w:val="Heading1Char"/>
    <w:uiPriority w:val="99"/>
    <w:qFormat/>
    <w:rsid w:val="003B74E4"/>
    <w:pPr>
      <w:numPr>
        <w:numId w:val="1"/>
      </w:numPr>
      <w:outlineLvl w:val="0"/>
    </w:pPr>
    <w:rPr>
      <w:rFonts w:ascii="Arial" w:hAnsi="Arial" w:cs="Arial"/>
      <w:b/>
      <w:color w:val="000064"/>
      <w:sz w:val="28"/>
      <w:szCs w:val="28"/>
    </w:rPr>
  </w:style>
  <w:style w:type="paragraph" w:styleId="Heading2">
    <w:name w:val="heading 2"/>
    <w:basedOn w:val="Normal"/>
    <w:next w:val="Normal"/>
    <w:link w:val="Heading2Char"/>
    <w:unhideWhenUsed/>
    <w:qFormat/>
    <w:locked/>
    <w:rsid w:val="00685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uiPriority w:val="99"/>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rsid w:val="006859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39"/>
    <w:rsid w:val="00C16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semiHidden/>
    <w:rsid w:val="000F53C2"/>
    <w:rPr>
      <w:sz w:val="20"/>
      <w:szCs w:val="20"/>
    </w:rPr>
  </w:style>
  <w:style w:type="character" w:customStyle="1" w:styleId="FootnoteTextChar">
    <w:name w:val="Footnote Text Char"/>
    <w:basedOn w:val="DefaultParagraphFont"/>
    <w:link w:val="FootnoteText"/>
    <w:uiPriority w:val="99"/>
    <w:semiHidden/>
    <w:locked/>
    <w:rsid w:val="000F53C2"/>
    <w:rPr>
      <w:rFonts w:cs="Times New Roman"/>
      <w:lang w:eastAsia="en-US"/>
    </w:rPr>
  </w:style>
  <w:style w:type="character" w:styleId="FootnoteReference">
    <w:name w:val="footnote reference"/>
    <w:basedOn w:val="DefaultParagraphFont"/>
    <w:uiPriority w:val="99"/>
    <w:semiHidden/>
    <w:rsid w:val="000F53C2"/>
    <w:rPr>
      <w:rFonts w:cs="Times New Roman"/>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uiPriority w:val="99"/>
    <w:rsid w:val="00B13B6B"/>
    <w:pPr>
      <w:numPr>
        <w:ilvl w:val="1"/>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uiPriority w:val="99"/>
    <w:locked/>
    <w:rsid w:val="00B13B6B"/>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numPr>
        <w:ilvl w:val="2"/>
      </w:numPr>
      <w:tabs>
        <w:tab w:val="left" w:pos="992"/>
      </w:tabs>
    </w:pPr>
    <w:rPr>
      <w:i/>
      <w:color w:val="0D0D0D" w:themeColor="text1" w:themeTint="F2"/>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themeColor="text1" w:themeTint="F2"/>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rFonts w:ascii="Times New Roman" w:hAnsi="Times New Roman"/>
      <w:color w:val="000000"/>
      <w:sz w:val="22"/>
      <w:szCs w:val="22"/>
      <w:lang w:val="en-AU" w:eastAsia="en-AU" w:bidi="ar-SA"/>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locked/>
    <w:rsid w:val="00D13DF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locked/>
    <w:rsid w:val="00907971"/>
    <w:pPr>
      <w:tabs>
        <w:tab w:val="right" w:leader="dot" w:pos="9628"/>
      </w:tabs>
      <w:spacing w:after="120"/>
      <w:ind w:left="221"/>
    </w:pPr>
    <w:rPr>
      <w:rFonts w:ascii="Arial" w:hAnsi="Arial"/>
      <w:sz w:val="20"/>
    </w:rPr>
  </w:style>
  <w:style w:type="paragraph" w:customStyle="1" w:styleId="RecommendationStyle">
    <w:name w:val="Recommendation Style"/>
    <w:basedOn w:val="ATARecommendationHeading"/>
    <w:link w:val="RecommendationStyleChar"/>
    <w:qFormat/>
    <w:rsid w:val="00907971"/>
    <w:pPr>
      <w:numPr>
        <w:numId w:val="2"/>
      </w:numPr>
      <w:tabs>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rFonts w:ascii="Arial" w:hAnsi="Arial" w:cs="Arial"/>
      <w:b/>
      <w:i/>
      <w:sz w:val="22"/>
      <w:szCs w:val="22"/>
      <w:lang w:eastAsia="en-US"/>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themeColor="hyperlink"/>
      <w:u w:val="single"/>
    </w:rPr>
  </w:style>
  <w:style w:type="paragraph" w:customStyle="1" w:styleId="RecommendationStyle3">
    <w:name w:val="Recommendation Style 3"/>
    <w:basedOn w:val="RecommendationStyle2"/>
    <w:link w:val="RecommendationStyle3Char"/>
    <w:qFormat/>
    <w:rsid w:val="00907971"/>
    <w:rPr>
      <w:color w:val="FFFFFF" w:themeColor="background1"/>
    </w:rPr>
  </w:style>
  <w:style w:type="paragraph" w:styleId="TOC3">
    <w:name w:val="toc 3"/>
    <w:basedOn w:val="Normal"/>
    <w:next w:val="Normal"/>
    <w:autoRedefine/>
    <w:uiPriority w:val="39"/>
    <w:locked/>
    <w:rsid w:val="00907971"/>
    <w:pPr>
      <w:tabs>
        <w:tab w:val="right" w:leader="dot" w:pos="9628"/>
      </w:tabs>
      <w:ind w:left="442"/>
    </w:pPr>
    <w:rPr>
      <w:noProof/>
      <w:color w:val="FFFFFF" w:themeColor="background1"/>
    </w:rPr>
  </w:style>
  <w:style w:type="character" w:customStyle="1" w:styleId="RecommendationStyle3Char">
    <w:name w:val="Recommendation Style 3 Char"/>
    <w:basedOn w:val="RecommendationStyle2Char"/>
    <w:link w:val="RecommendationStyle3"/>
    <w:rsid w:val="00907971"/>
    <w:rPr>
      <w:rFonts w:ascii="Arial" w:hAnsi="Arial" w:cs="Arial"/>
      <w:b/>
      <w:color w:val="FFFFFF" w:themeColor="background1"/>
      <w:lang w:eastAsia="en-US"/>
    </w:rPr>
  </w:style>
  <w:style w:type="paragraph" w:customStyle="1" w:styleId="ATASubHead1">
    <w:name w:val="ATASubHead1"/>
    <w:basedOn w:val="Normal"/>
    <w:link w:val="ATASubHead1Char"/>
    <w:qFormat/>
    <w:rsid w:val="004008C7"/>
    <w:pPr>
      <w:tabs>
        <w:tab w:val="left" w:pos="851"/>
      </w:tabs>
      <w:spacing w:before="240" w:after="120"/>
    </w:pPr>
    <w:rPr>
      <w:rFonts w:ascii="Arial" w:hAnsi="Arial" w:cs="Arial"/>
      <w:b/>
      <w:color w:val="000064"/>
      <w:sz w:val="28"/>
      <w:szCs w:val="28"/>
    </w:rPr>
  </w:style>
  <w:style w:type="character" w:customStyle="1" w:styleId="ATASubHead1Char">
    <w:name w:val="ATASubHead1 Char"/>
    <w:link w:val="ATASubHead1"/>
    <w:rsid w:val="004008C7"/>
    <w:rPr>
      <w:rFonts w:ascii="Arial" w:hAnsi="Arial" w:cs="Arial"/>
      <w:b/>
      <w:color w:val="000064"/>
      <w:sz w:val="28"/>
      <w:szCs w:val="28"/>
      <w:lang w:eastAsia="en-US"/>
    </w:rPr>
  </w:style>
  <w:style w:type="table" w:customStyle="1" w:styleId="LightList-Accent11">
    <w:name w:val="Light List - Accent 11"/>
    <w:basedOn w:val="TableNormal"/>
    <w:uiPriority w:val="61"/>
    <w:rsid w:val="004008C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93728"/>
    <w:pPr>
      <w:spacing w:before="100" w:beforeAutospacing="1" w:after="100" w:afterAutospacing="1"/>
    </w:pPr>
    <w:rPr>
      <w:rFonts w:ascii="Times New Roman" w:eastAsia="Times New Roman" w:hAnsi="Times New Roman"/>
      <w:sz w:val="24"/>
      <w:szCs w:val="24"/>
      <w:lang w:eastAsia="en-AU"/>
    </w:rPr>
  </w:style>
  <w:style w:type="character" w:customStyle="1" w:styleId="author-name2">
    <w:name w:val="author-name2"/>
    <w:basedOn w:val="DefaultParagraphFont"/>
    <w:rsid w:val="00FC1291"/>
    <w:rPr>
      <w:b/>
      <w:bCs/>
    </w:rPr>
  </w:style>
  <w:style w:type="character" w:customStyle="1" w:styleId="source-name5">
    <w:name w:val="source-name5"/>
    <w:basedOn w:val="DefaultParagraphFont"/>
    <w:rsid w:val="00FC1291"/>
    <w:rPr>
      <w:i/>
      <w:iCs/>
    </w:rPr>
  </w:style>
  <w:style w:type="character" w:customStyle="1" w:styleId="publish-date5">
    <w:name w:val="publish-date5"/>
    <w:basedOn w:val="DefaultParagraphFont"/>
    <w:rsid w:val="00FC1291"/>
    <w:rPr>
      <w:i/>
      <w:iCs/>
      <w:sz w:val="14"/>
      <w:szCs w:val="14"/>
    </w:rPr>
  </w:style>
  <w:style w:type="character" w:styleId="FollowedHyperlink">
    <w:name w:val="FollowedHyperlink"/>
    <w:basedOn w:val="DefaultParagraphFont"/>
    <w:uiPriority w:val="99"/>
    <w:semiHidden/>
    <w:unhideWhenUsed/>
    <w:rsid w:val="007C746E"/>
    <w:rPr>
      <w:color w:val="800080" w:themeColor="followedHyperlink"/>
      <w:u w:val="single"/>
    </w:rPr>
  </w:style>
  <w:style w:type="paragraph" w:customStyle="1" w:styleId="ATAPreMnorm">
    <w:name w:val="ATAPreM norm"/>
    <w:basedOn w:val="Normal"/>
    <w:link w:val="ATAPreMnormChar"/>
    <w:qFormat/>
    <w:rsid w:val="00F2072F"/>
    <w:rPr>
      <w:rFonts w:ascii="Arial" w:eastAsia="Times New Roman" w:hAnsi="Arial" w:cs="Arial"/>
      <w:i/>
      <w:color w:val="000000"/>
      <w:sz w:val="20"/>
      <w:szCs w:val="20"/>
      <w:lang w:eastAsia="en-AU"/>
    </w:rPr>
  </w:style>
  <w:style w:type="paragraph" w:customStyle="1" w:styleId="ATAPervMHeading">
    <w:name w:val="ATAPervMHeading"/>
    <w:basedOn w:val="Normal"/>
    <w:link w:val="ATAPervMHeadingChar"/>
    <w:qFormat/>
    <w:rsid w:val="00F2072F"/>
    <w:pPr>
      <w:tabs>
        <w:tab w:val="left" w:pos="851"/>
      </w:tabs>
      <w:ind w:left="851" w:hanging="851"/>
    </w:pPr>
    <w:rPr>
      <w:rFonts w:ascii="Arial" w:hAnsi="Arial" w:cs="Arial"/>
      <w:b/>
      <w:i/>
      <w:sz w:val="20"/>
      <w:szCs w:val="20"/>
    </w:rPr>
  </w:style>
  <w:style w:type="character" w:customStyle="1" w:styleId="ATAPreMnormChar">
    <w:name w:val="ATAPreM norm Char"/>
    <w:basedOn w:val="DefaultParagraphFont"/>
    <w:link w:val="ATAPreMnorm"/>
    <w:rsid w:val="00F2072F"/>
    <w:rPr>
      <w:rFonts w:ascii="Arial" w:eastAsia="Times New Roman" w:hAnsi="Arial" w:cs="Arial"/>
      <w:i/>
      <w:color w:val="000000"/>
    </w:rPr>
  </w:style>
  <w:style w:type="character" w:customStyle="1" w:styleId="ATAPervMHeadingChar">
    <w:name w:val="ATAPervMHeading Char"/>
    <w:basedOn w:val="DefaultParagraphFont"/>
    <w:link w:val="ATAPervMHeading"/>
    <w:rsid w:val="00F2072F"/>
    <w:rPr>
      <w:rFonts w:ascii="Arial" w:hAnsi="Arial" w:cs="Arial"/>
      <w:b/>
      <w:i/>
      <w:lang w:eastAsia="en-US"/>
    </w:rPr>
  </w:style>
  <w:style w:type="character" w:styleId="CommentReference">
    <w:name w:val="annotation reference"/>
    <w:basedOn w:val="DefaultParagraphFont"/>
    <w:uiPriority w:val="99"/>
    <w:semiHidden/>
    <w:unhideWhenUsed/>
    <w:rsid w:val="00603655"/>
    <w:rPr>
      <w:sz w:val="16"/>
      <w:szCs w:val="16"/>
    </w:rPr>
  </w:style>
  <w:style w:type="paragraph" w:styleId="CommentText">
    <w:name w:val="annotation text"/>
    <w:basedOn w:val="Normal"/>
    <w:link w:val="CommentTextChar"/>
    <w:uiPriority w:val="99"/>
    <w:semiHidden/>
    <w:unhideWhenUsed/>
    <w:rsid w:val="00603655"/>
    <w:rPr>
      <w:sz w:val="20"/>
      <w:szCs w:val="20"/>
    </w:rPr>
  </w:style>
  <w:style w:type="character" w:customStyle="1" w:styleId="CommentTextChar">
    <w:name w:val="Comment Text Char"/>
    <w:basedOn w:val="DefaultParagraphFont"/>
    <w:link w:val="CommentText"/>
    <w:uiPriority w:val="99"/>
    <w:semiHidden/>
    <w:rsid w:val="00603655"/>
    <w:rPr>
      <w:lang w:eastAsia="en-US"/>
    </w:rPr>
  </w:style>
  <w:style w:type="paragraph" w:styleId="CommentSubject">
    <w:name w:val="annotation subject"/>
    <w:basedOn w:val="CommentText"/>
    <w:next w:val="CommentText"/>
    <w:link w:val="CommentSubjectChar"/>
    <w:uiPriority w:val="99"/>
    <w:semiHidden/>
    <w:unhideWhenUsed/>
    <w:rsid w:val="00603655"/>
    <w:rPr>
      <w:b/>
      <w:bCs/>
    </w:rPr>
  </w:style>
  <w:style w:type="character" w:customStyle="1" w:styleId="CommentSubjectChar">
    <w:name w:val="Comment Subject Char"/>
    <w:basedOn w:val="CommentTextChar"/>
    <w:link w:val="CommentSubject"/>
    <w:uiPriority w:val="99"/>
    <w:semiHidden/>
    <w:rsid w:val="00603655"/>
    <w:rPr>
      <w:b/>
      <w:bCs/>
      <w:lang w:eastAsia="en-US"/>
    </w:rPr>
  </w:style>
  <w:style w:type="paragraph" w:styleId="PlainText">
    <w:name w:val="Plain Text"/>
    <w:basedOn w:val="Normal"/>
    <w:link w:val="PlainTextChar"/>
    <w:uiPriority w:val="99"/>
    <w:unhideWhenUsed/>
    <w:rsid w:val="00040B35"/>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040B35"/>
    <w:rPr>
      <w:rFonts w:ascii="Consolas" w:eastAsiaTheme="minorHAnsi" w:hAnsi="Consolas" w:cs="Consolas"/>
      <w:sz w:val="21"/>
      <w:szCs w:val="21"/>
    </w:rPr>
  </w:style>
  <w:style w:type="paragraph" w:styleId="NoSpacing">
    <w:name w:val="No Spacing"/>
    <w:basedOn w:val="Normal"/>
    <w:uiPriority w:val="1"/>
    <w:qFormat/>
    <w:rsid w:val="005C4492"/>
    <w:rPr>
      <w:rFonts w:eastAsiaTheme="minorHAnsi"/>
      <w:color w:val="404040"/>
      <w:sz w:val="19"/>
      <w:szCs w:val="19"/>
      <w:lang w:eastAsia="en-AU"/>
    </w:rPr>
  </w:style>
  <w:style w:type="character" w:customStyle="1" w:styleId="apple-converted-space">
    <w:name w:val="apple-converted-space"/>
    <w:basedOn w:val="DefaultParagraphFont"/>
    <w:rsid w:val="00DF2EC9"/>
  </w:style>
  <w:style w:type="character" w:customStyle="1" w:styleId="filesize">
    <w:name w:val="filesize"/>
    <w:basedOn w:val="DefaultParagraphFont"/>
    <w:rsid w:val="00DF2EC9"/>
  </w:style>
  <w:style w:type="table" w:customStyle="1" w:styleId="TableGrid1">
    <w:name w:val="Table Grid1"/>
    <w:basedOn w:val="TableNormal"/>
    <w:next w:val="TableGrid"/>
    <w:uiPriority w:val="39"/>
    <w:rsid w:val="000077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707">
      <w:bodyDiv w:val="1"/>
      <w:marLeft w:val="0"/>
      <w:marRight w:val="0"/>
      <w:marTop w:val="0"/>
      <w:marBottom w:val="0"/>
      <w:divBdr>
        <w:top w:val="none" w:sz="0" w:space="0" w:color="auto"/>
        <w:left w:val="none" w:sz="0" w:space="0" w:color="auto"/>
        <w:bottom w:val="none" w:sz="0" w:space="0" w:color="auto"/>
        <w:right w:val="none" w:sz="0" w:space="0" w:color="auto"/>
      </w:divBdr>
    </w:div>
    <w:div w:id="243534529">
      <w:bodyDiv w:val="1"/>
      <w:marLeft w:val="0"/>
      <w:marRight w:val="0"/>
      <w:marTop w:val="0"/>
      <w:marBottom w:val="0"/>
      <w:divBdr>
        <w:top w:val="none" w:sz="0" w:space="0" w:color="auto"/>
        <w:left w:val="none" w:sz="0" w:space="0" w:color="auto"/>
        <w:bottom w:val="none" w:sz="0" w:space="0" w:color="auto"/>
        <w:right w:val="none" w:sz="0" w:space="0" w:color="auto"/>
      </w:divBdr>
    </w:div>
    <w:div w:id="281620142">
      <w:bodyDiv w:val="1"/>
      <w:marLeft w:val="0"/>
      <w:marRight w:val="0"/>
      <w:marTop w:val="0"/>
      <w:marBottom w:val="0"/>
      <w:divBdr>
        <w:top w:val="none" w:sz="0" w:space="0" w:color="auto"/>
        <w:left w:val="none" w:sz="0" w:space="0" w:color="auto"/>
        <w:bottom w:val="none" w:sz="0" w:space="0" w:color="auto"/>
        <w:right w:val="none" w:sz="0" w:space="0" w:color="auto"/>
      </w:divBdr>
    </w:div>
    <w:div w:id="300501640">
      <w:bodyDiv w:val="1"/>
      <w:marLeft w:val="0"/>
      <w:marRight w:val="0"/>
      <w:marTop w:val="0"/>
      <w:marBottom w:val="0"/>
      <w:divBdr>
        <w:top w:val="none" w:sz="0" w:space="0" w:color="auto"/>
        <w:left w:val="none" w:sz="0" w:space="0" w:color="auto"/>
        <w:bottom w:val="none" w:sz="0" w:space="0" w:color="auto"/>
        <w:right w:val="none" w:sz="0" w:space="0" w:color="auto"/>
      </w:divBdr>
      <w:divsChild>
        <w:div w:id="1953660714">
          <w:marLeft w:val="0"/>
          <w:marRight w:val="0"/>
          <w:marTop w:val="0"/>
          <w:marBottom w:val="0"/>
          <w:divBdr>
            <w:top w:val="none" w:sz="0" w:space="0" w:color="auto"/>
            <w:left w:val="none" w:sz="0" w:space="0" w:color="auto"/>
            <w:bottom w:val="none" w:sz="0" w:space="0" w:color="auto"/>
            <w:right w:val="none" w:sz="0" w:space="0" w:color="auto"/>
          </w:divBdr>
          <w:divsChild>
            <w:div w:id="749893250">
              <w:marLeft w:val="0"/>
              <w:marRight w:val="0"/>
              <w:marTop w:val="0"/>
              <w:marBottom w:val="0"/>
              <w:divBdr>
                <w:top w:val="none" w:sz="0" w:space="0" w:color="auto"/>
                <w:left w:val="none" w:sz="0" w:space="0" w:color="auto"/>
                <w:bottom w:val="none" w:sz="0" w:space="0" w:color="auto"/>
                <w:right w:val="none" w:sz="0" w:space="0" w:color="auto"/>
              </w:divBdr>
              <w:divsChild>
                <w:div w:id="1990743551">
                  <w:marLeft w:val="0"/>
                  <w:marRight w:val="0"/>
                  <w:marTop w:val="0"/>
                  <w:marBottom w:val="0"/>
                  <w:divBdr>
                    <w:top w:val="none" w:sz="0" w:space="0" w:color="auto"/>
                    <w:left w:val="none" w:sz="0" w:space="0" w:color="auto"/>
                    <w:bottom w:val="none" w:sz="0" w:space="0" w:color="auto"/>
                    <w:right w:val="none" w:sz="0" w:space="0" w:color="auto"/>
                  </w:divBdr>
                  <w:divsChild>
                    <w:div w:id="1398744426">
                      <w:marLeft w:val="0"/>
                      <w:marRight w:val="0"/>
                      <w:marTop w:val="0"/>
                      <w:marBottom w:val="173"/>
                      <w:divBdr>
                        <w:top w:val="none" w:sz="0" w:space="0" w:color="auto"/>
                        <w:left w:val="none" w:sz="0" w:space="0" w:color="auto"/>
                        <w:bottom w:val="single" w:sz="12" w:space="0" w:color="auto"/>
                        <w:right w:val="none" w:sz="0" w:space="0" w:color="auto"/>
                      </w:divBdr>
                      <w:divsChild>
                        <w:div w:id="151719399">
                          <w:marLeft w:val="0"/>
                          <w:marRight w:val="0"/>
                          <w:marTop w:val="0"/>
                          <w:marBottom w:val="0"/>
                          <w:divBdr>
                            <w:top w:val="none" w:sz="0" w:space="0" w:color="auto"/>
                            <w:left w:val="none" w:sz="0" w:space="0" w:color="auto"/>
                            <w:bottom w:val="none" w:sz="0" w:space="0" w:color="auto"/>
                            <w:right w:val="none" w:sz="0" w:space="0" w:color="auto"/>
                          </w:divBdr>
                          <w:divsChild>
                            <w:div w:id="846868594">
                              <w:marLeft w:val="0"/>
                              <w:marRight w:val="0"/>
                              <w:marTop w:val="0"/>
                              <w:marBottom w:val="0"/>
                              <w:divBdr>
                                <w:top w:val="none" w:sz="0" w:space="0" w:color="auto"/>
                                <w:left w:val="none" w:sz="0" w:space="0" w:color="auto"/>
                                <w:bottom w:val="none" w:sz="0" w:space="0" w:color="auto"/>
                                <w:right w:val="none" w:sz="0" w:space="0" w:color="auto"/>
                              </w:divBdr>
                              <w:divsChild>
                                <w:div w:id="64375558">
                                  <w:marLeft w:val="0"/>
                                  <w:marRight w:val="0"/>
                                  <w:marTop w:val="0"/>
                                  <w:marBottom w:val="0"/>
                                  <w:divBdr>
                                    <w:top w:val="none" w:sz="0" w:space="0" w:color="auto"/>
                                    <w:left w:val="none" w:sz="0" w:space="0" w:color="auto"/>
                                    <w:bottom w:val="none" w:sz="0" w:space="0" w:color="auto"/>
                                    <w:right w:val="none" w:sz="0" w:space="0" w:color="auto"/>
                                  </w:divBdr>
                                  <w:divsChild>
                                    <w:div w:id="1638073701">
                                      <w:marLeft w:val="0"/>
                                      <w:marRight w:val="0"/>
                                      <w:marTop w:val="0"/>
                                      <w:marBottom w:val="0"/>
                                      <w:divBdr>
                                        <w:top w:val="none" w:sz="0" w:space="0" w:color="auto"/>
                                        <w:left w:val="none" w:sz="0" w:space="0" w:color="auto"/>
                                        <w:bottom w:val="none" w:sz="0" w:space="0" w:color="auto"/>
                                        <w:right w:val="none" w:sz="0" w:space="0" w:color="auto"/>
                                      </w:divBdr>
                                      <w:divsChild>
                                        <w:div w:id="388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852183">
      <w:bodyDiv w:val="1"/>
      <w:marLeft w:val="0"/>
      <w:marRight w:val="0"/>
      <w:marTop w:val="0"/>
      <w:marBottom w:val="0"/>
      <w:divBdr>
        <w:top w:val="none" w:sz="0" w:space="0" w:color="auto"/>
        <w:left w:val="none" w:sz="0" w:space="0" w:color="auto"/>
        <w:bottom w:val="none" w:sz="0" w:space="0" w:color="auto"/>
        <w:right w:val="none" w:sz="0" w:space="0" w:color="auto"/>
      </w:divBdr>
      <w:divsChild>
        <w:div w:id="1062757597">
          <w:marLeft w:val="0"/>
          <w:marRight w:val="0"/>
          <w:marTop w:val="0"/>
          <w:marBottom w:val="0"/>
          <w:divBdr>
            <w:top w:val="single" w:sz="2" w:space="0" w:color="999999"/>
            <w:left w:val="single" w:sz="4" w:space="0" w:color="999999"/>
            <w:bottom w:val="single" w:sz="2" w:space="0" w:color="999999"/>
            <w:right w:val="single" w:sz="4" w:space="0" w:color="999999"/>
          </w:divBdr>
          <w:divsChild>
            <w:div w:id="659891644">
              <w:marLeft w:val="0"/>
              <w:marRight w:val="0"/>
              <w:marTop w:val="0"/>
              <w:marBottom w:val="0"/>
              <w:divBdr>
                <w:top w:val="none" w:sz="0" w:space="0" w:color="auto"/>
                <w:left w:val="none" w:sz="0" w:space="0" w:color="auto"/>
                <w:bottom w:val="none" w:sz="0" w:space="0" w:color="auto"/>
                <w:right w:val="none" w:sz="0" w:space="0" w:color="auto"/>
              </w:divBdr>
              <w:divsChild>
                <w:div w:id="8284792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412705156">
      <w:bodyDiv w:val="1"/>
      <w:marLeft w:val="0"/>
      <w:marRight w:val="0"/>
      <w:marTop w:val="0"/>
      <w:marBottom w:val="0"/>
      <w:divBdr>
        <w:top w:val="none" w:sz="0" w:space="0" w:color="auto"/>
        <w:left w:val="none" w:sz="0" w:space="0" w:color="auto"/>
        <w:bottom w:val="none" w:sz="0" w:space="0" w:color="auto"/>
        <w:right w:val="none" w:sz="0" w:space="0" w:color="auto"/>
      </w:divBdr>
    </w:div>
    <w:div w:id="708993285">
      <w:bodyDiv w:val="1"/>
      <w:marLeft w:val="0"/>
      <w:marRight w:val="0"/>
      <w:marTop w:val="0"/>
      <w:marBottom w:val="0"/>
      <w:divBdr>
        <w:top w:val="none" w:sz="0" w:space="0" w:color="auto"/>
        <w:left w:val="none" w:sz="0" w:space="0" w:color="auto"/>
        <w:bottom w:val="none" w:sz="0" w:space="0" w:color="auto"/>
        <w:right w:val="none" w:sz="0" w:space="0" w:color="auto"/>
      </w:divBdr>
    </w:div>
    <w:div w:id="764347823">
      <w:bodyDiv w:val="1"/>
      <w:marLeft w:val="0"/>
      <w:marRight w:val="0"/>
      <w:marTop w:val="0"/>
      <w:marBottom w:val="0"/>
      <w:divBdr>
        <w:top w:val="none" w:sz="0" w:space="0" w:color="auto"/>
        <w:left w:val="none" w:sz="0" w:space="0" w:color="auto"/>
        <w:bottom w:val="none" w:sz="0" w:space="0" w:color="auto"/>
        <w:right w:val="none" w:sz="0" w:space="0" w:color="auto"/>
      </w:divBdr>
      <w:divsChild>
        <w:div w:id="1504861412">
          <w:marLeft w:val="0"/>
          <w:marRight w:val="0"/>
          <w:marTop w:val="0"/>
          <w:marBottom w:val="0"/>
          <w:divBdr>
            <w:top w:val="none" w:sz="0" w:space="0" w:color="auto"/>
            <w:left w:val="none" w:sz="0" w:space="0" w:color="auto"/>
            <w:bottom w:val="none" w:sz="0" w:space="0" w:color="auto"/>
            <w:right w:val="none" w:sz="0" w:space="0" w:color="auto"/>
          </w:divBdr>
          <w:divsChild>
            <w:div w:id="101927376">
              <w:marLeft w:val="0"/>
              <w:marRight w:val="0"/>
              <w:marTop w:val="0"/>
              <w:marBottom w:val="0"/>
              <w:divBdr>
                <w:top w:val="none" w:sz="0" w:space="0" w:color="auto"/>
                <w:left w:val="none" w:sz="0" w:space="0" w:color="auto"/>
                <w:bottom w:val="none" w:sz="0" w:space="0" w:color="auto"/>
                <w:right w:val="none" w:sz="0" w:space="0" w:color="auto"/>
              </w:divBdr>
              <w:divsChild>
                <w:div w:id="1142624037">
                  <w:marLeft w:val="0"/>
                  <w:marRight w:val="0"/>
                  <w:marTop w:val="100"/>
                  <w:marBottom w:val="100"/>
                  <w:divBdr>
                    <w:top w:val="none" w:sz="0" w:space="0" w:color="auto"/>
                    <w:left w:val="none" w:sz="0" w:space="0" w:color="auto"/>
                    <w:bottom w:val="none" w:sz="0" w:space="0" w:color="auto"/>
                    <w:right w:val="none" w:sz="0" w:space="0" w:color="auto"/>
                  </w:divBdr>
                  <w:divsChild>
                    <w:div w:id="1542476904">
                      <w:marLeft w:val="0"/>
                      <w:marRight w:val="0"/>
                      <w:marTop w:val="0"/>
                      <w:marBottom w:val="0"/>
                      <w:divBdr>
                        <w:top w:val="none" w:sz="0" w:space="0" w:color="auto"/>
                        <w:left w:val="none" w:sz="0" w:space="0" w:color="auto"/>
                        <w:bottom w:val="none" w:sz="0" w:space="0" w:color="auto"/>
                        <w:right w:val="none" w:sz="0" w:space="0" w:color="auto"/>
                      </w:divBdr>
                      <w:divsChild>
                        <w:div w:id="1721051084">
                          <w:marLeft w:val="0"/>
                          <w:marRight w:val="0"/>
                          <w:marTop w:val="0"/>
                          <w:marBottom w:val="0"/>
                          <w:divBdr>
                            <w:top w:val="none" w:sz="0" w:space="0" w:color="auto"/>
                            <w:left w:val="none" w:sz="0" w:space="0" w:color="auto"/>
                            <w:bottom w:val="none" w:sz="0" w:space="0" w:color="auto"/>
                            <w:right w:val="none" w:sz="0" w:space="0" w:color="auto"/>
                          </w:divBdr>
                          <w:divsChild>
                            <w:div w:id="658457871">
                              <w:marLeft w:val="0"/>
                              <w:marRight w:val="0"/>
                              <w:marTop w:val="0"/>
                              <w:marBottom w:val="0"/>
                              <w:divBdr>
                                <w:top w:val="none" w:sz="0" w:space="0" w:color="auto"/>
                                <w:left w:val="none" w:sz="0" w:space="0" w:color="auto"/>
                                <w:bottom w:val="none" w:sz="0" w:space="0" w:color="auto"/>
                                <w:right w:val="none" w:sz="0" w:space="0" w:color="auto"/>
                              </w:divBdr>
                              <w:divsChild>
                                <w:div w:id="1379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18695">
      <w:bodyDiv w:val="1"/>
      <w:marLeft w:val="0"/>
      <w:marRight w:val="0"/>
      <w:marTop w:val="0"/>
      <w:marBottom w:val="0"/>
      <w:divBdr>
        <w:top w:val="none" w:sz="0" w:space="0" w:color="auto"/>
        <w:left w:val="none" w:sz="0" w:space="0" w:color="auto"/>
        <w:bottom w:val="none" w:sz="0" w:space="0" w:color="auto"/>
        <w:right w:val="none" w:sz="0" w:space="0" w:color="auto"/>
      </w:divBdr>
    </w:div>
    <w:div w:id="815923983">
      <w:bodyDiv w:val="1"/>
      <w:marLeft w:val="0"/>
      <w:marRight w:val="0"/>
      <w:marTop w:val="0"/>
      <w:marBottom w:val="0"/>
      <w:divBdr>
        <w:top w:val="none" w:sz="0" w:space="0" w:color="auto"/>
        <w:left w:val="none" w:sz="0" w:space="0" w:color="auto"/>
        <w:bottom w:val="none" w:sz="0" w:space="0" w:color="auto"/>
        <w:right w:val="none" w:sz="0" w:space="0" w:color="auto"/>
      </w:divBdr>
    </w:div>
    <w:div w:id="828593103">
      <w:bodyDiv w:val="1"/>
      <w:marLeft w:val="0"/>
      <w:marRight w:val="0"/>
      <w:marTop w:val="0"/>
      <w:marBottom w:val="0"/>
      <w:divBdr>
        <w:top w:val="none" w:sz="0" w:space="0" w:color="auto"/>
        <w:left w:val="none" w:sz="0" w:space="0" w:color="auto"/>
        <w:bottom w:val="none" w:sz="0" w:space="0" w:color="auto"/>
        <w:right w:val="none" w:sz="0" w:space="0" w:color="auto"/>
      </w:divBdr>
    </w:div>
    <w:div w:id="900407637">
      <w:bodyDiv w:val="1"/>
      <w:marLeft w:val="0"/>
      <w:marRight w:val="0"/>
      <w:marTop w:val="0"/>
      <w:marBottom w:val="0"/>
      <w:divBdr>
        <w:top w:val="none" w:sz="0" w:space="0" w:color="auto"/>
        <w:left w:val="none" w:sz="0" w:space="0" w:color="auto"/>
        <w:bottom w:val="none" w:sz="0" w:space="0" w:color="auto"/>
        <w:right w:val="none" w:sz="0" w:space="0" w:color="auto"/>
      </w:divBdr>
    </w:div>
    <w:div w:id="1107240177">
      <w:bodyDiv w:val="1"/>
      <w:marLeft w:val="0"/>
      <w:marRight w:val="0"/>
      <w:marTop w:val="0"/>
      <w:marBottom w:val="0"/>
      <w:divBdr>
        <w:top w:val="none" w:sz="0" w:space="0" w:color="auto"/>
        <w:left w:val="none" w:sz="0" w:space="0" w:color="auto"/>
        <w:bottom w:val="none" w:sz="0" w:space="0" w:color="auto"/>
        <w:right w:val="none" w:sz="0" w:space="0" w:color="auto"/>
      </w:divBdr>
    </w:div>
    <w:div w:id="1124082810">
      <w:marLeft w:val="0"/>
      <w:marRight w:val="0"/>
      <w:marTop w:val="0"/>
      <w:marBottom w:val="0"/>
      <w:divBdr>
        <w:top w:val="none" w:sz="0" w:space="0" w:color="auto"/>
        <w:left w:val="none" w:sz="0" w:space="0" w:color="auto"/>
        <w:bottom w:val="none" w:sz="0" w:space="0" w:color="auto"/>
        <w:right w:val="none" w:sz="0" w:space="0" w:color="auto"/>
      </w:divBdr>
    </w:div>
    <w:div w:id="1124082811">
      <w:marLeft w:val="0"/>
      <w:marRight w:val="0"/>
      <w:marTop w:val="0"/>
      <w:marBottom w:val="0"/>
      <w:divBdr>
        <w:top w:val="none" w:sz="0" w:space="0" w:color="auto"/>
        <w:left w:val="none" w:sz="0" w:space="0" w:color="auto"/>
        <w:bottom w:val="none" w:sz="0" w:space="0" w:color="auto"/>
        <w:right w:val="none" w:sz="0" w:space="0" w:color="auto"/>
      </w:divBdr>
    </w:div>
    <w:div w:id="11263125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403">
          <w:marLeft w:val="0"/>
          <w:marRight w:val="0"/>
          <w:marTop w:val="0"/>
          <w:marBottom w:val="0"/>
          <w:divBdr>
            <w:top w:val="single" w:sz="2" w:space="0" w:color="999999"/>
            <w:left w:val="single" w:sz="4" w:space="0" w:color="999999"/>
            <w:bottom w:val="single" w:sz="2" w:space="0" w:color="999999"/>
            <w:right w:val="single" w:sz="4" w:space="0" w:color="999999"/>
          </w:divBdr>
          <w:divsChild>
            <w:div w:id="2011176851">
              <w:marLeft w:val="0"/>
              <w:marRight w:val="0"/>
              <w:marTop w:val="0"/>
              <w:marBottom w:val="0"/>
              <w:divBdr>
                <w:top w:val="none" w:sz="0" w:space="0" w:color="auto"/>
                <w:left w:val="none" w:sz="0" w:space="0" w:color="auto"/>
                <w:bottom w:val="none" w:sz="0" w:space="0" w:color="auto"/>
                <w:right w:val="none" w:sz="0" w:space="0" w:color="auto"/>
              </w:divBdr>
              <w:divsChild>
                <w:div w:id="159208419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1168668862">
      <w:bodyDiv w:val="1"/>
      <w:marLeft w:val="0"/>
      <w:marRight w:val="0"/>
      <w:marTop w:val="0"/>
      <w:marBottom w:val="0"/>
      <w:divBdr>
        <w:top w:val="none" w:sz="0" w:space="0" w:color="auto"/>
        <w:left w:val="none" w:sz="0" w:space="0" w:color="auto"/>
        <w:bottom w:val="none" w:sz="0" w:space="0" w:color="auto"/>
        <w:right w:val="none" w:sz="0" w:space="0" w:color="auto"/>
      </w:divBdr>
    </w:div>
    <w:div w:id="1177578316">
      <w:bodyDiv w:val="1"/>
      <w:marLeft w:val="0"/>
      <w:marRight w:val="0"/>
      <w:marTop w:val="0"/>
      <w:marBottom w:val="0"/>
      <w:divBdr>
        <w:top w:val="none" w:sz="0" w:space="0" w:color="auto"/>
        <w:left w:val="none" w:sz="0" w:space="0" w:color="auto"/>
        <w:bottom w:val="none" w:sz="0" w:space="0" w:color="auto"/>
        <w:right w:val="none" w:sz="0" w:space="0" w:color="auto"/>
      </w:divBdr>
    </w:div>
    <w:div w:id="1264221754">
      <w:bodyDiv w:val="1"/>
      <w:marLeft w:val="0"/>
      <w:marRight w:val="0"/>
      <w:marTop w:val="0"/>
      <w:marBottom w:val="0"/>
      <w:divBdr>
        <w:top w:val="none" w:sz="0" w:space="0" w:color="auto"/>
        <w:left w:val="none" w:sz="0" w:space="0" w:color="auto"/>
        <w:bottom w:val="none" w:sz="0" w:space="0" w:color="auto"/>
        <w:right w:val="none" w:sz="0" w:space="0" w:color="auto"/>
      </w:divBdr>
    </w:div>
    <w:div w:id="1266157425">
      <w:bodyDiv w:val="1"/>
      <w:marLeft w:val="0"/>
      <w:marRight w:val="0"/>
      <w:marTop w:val="0"/>
      <w:marBottom w:val="0"/>
      <w:divBdr>
        <w:top w:val="none" w:sz="0" w:space="0" w:color="auto"/>
        <w:left w:val="none" w:sz="0" w:space="0" w:color="auto"/>
        <w:bottom w:val="none" w:sz="0" w:space="0" w:color="auto"/>
        <w:right w:val="none" w:sz="0" w:space="0" w:color="auto"/>
      </w:divBdr>
    </w:div>
    <w:div w:id="1295284791">
      <w:bodyDiv w:val="1"/>
      <w:marLeft w:val="0"/>
      <w:marRight w:val="0"/>
      <w:marTop w:val="0"/>
      <w:marBottom w:val="0"/>
      <w:divBdr>
        <w:top w:val="none" w:sz="0" w:space="0" w:color="auto"/>
        <w:left w:val="none" w:sz="0" w:space="0" w:color="auto"/>
        <w:bottom w:val="none" w:sz="0" w:space="0" w:color="auto"/>
        <w:right w:val="none" w:sz="0" w:space="0" w:color="auto"/>
      </w:divBdr>
    </w:div>
    <w:div w:id="1343555153">
      <w:bodyDiv w:val="1"/>
      <w:marLeft w:val="0"/>
      <w:marRight w:val="0"/>
      <w:marTop w:val="0"/>
      <w:marBottom w:val="0"/>
      <w:divBdr>
        <w:top w:val="none" w:sz="0" w:space="0" w:color="auto"/>
        <w:left w:val="none" w:sz="0" w:space="0" w:color="auto"/>
        <w:bottom w:val="none" w:sz="0" w:space="0" w:color="auto"/>
        <w:right w:val="none" w:sz="0" w:space="0" w:color="auto"/>
      </w:divBdr>
    </w:div>
    <w:div w:id="1393885428">
      <w:bodyDiv w:val="1"/>
      <w:marLeft w:val="0"/>
      <w:marRight w:val="0"/>
      <w:marTop w:val="0"/>
      <w:marBottom w:val="0"/>
      <w:divBdr>
        <w:top w:val="none" w:sz="0" w:space="0" w:color="auto"/>
        <w:left w:val="none" w:sz="0" w:space="0" w:color="auto"/>
        <w:bottom w:val="none" w:sz="0" w:space="0" w:color="auto"/>
        <w:right w:val="none" w:sz="0" w:space="0" w:color="auto"/>
      </w:divBdr>
    </w:div>
    <w:div w:id="1401636624">
      <w:bodyDiv w:val="1"/>
      <w:marLeft w:val="0"/>
      <w:marRight w:val="0"/>
      <w:marTop w:val="0"/>
      <w:marBottom w:val="0"/>
      <w:divBdr>
        <w:top w:val="none" w:sz="0" w:space="0" w:color="auto"/>
        <w:left w:val="none" w:sz="0" w:space="0" w:color="auto"/>
        <w:bottom w:val="none" w:sz="0" w:space="0" w:color="auto"/>
        <w:right w:val="none" w:sz="0" w:space="0" w:color="auto"/>
      </w:divBdr>
    </w:div>
    <w:div w:id="1443845593">
      <w:bodyDiv w:val="1"/>
      <w:marLeft w:val="0"/>
      <w:marRight w:val="0"/>
      <w:marTop w:val="0"/>
      <w:marBottom w:val="0"/>
      <w:divBdr>
        <w:top w:val="none" w:sz="0" w:space="0" w:color="auto"/>
        <w:left w:val="none" w:sz="0" w:space="0" w:color="auto"/>
        <w:bottom w:val="none" w:sz="0" w:space="0" w:color="auto"/>
        <w:right w:val="none" w:sz="0" w:space="0" w:color="auto"/>
      </w:divBdr>
    </w:div>
    <w:div w:id="1468546323">
      <w:bodyDiv w:val="1"/>
      <w:marLeft w:val="0"/>
      <w:marRight w:val="0"/>
      <w:marTop w:val="0"/>
      <w:marBottom w:val="0"/>
      <w:divBdr>
        <w:top w:val="none" w:sz="0" w:space="0" w:color="auto"/>
        <w:left w:val="none" w:sz="0" w:space="0" w:color="auto"/>
        <w:bottom w:val="none" w:sz="0" w:space="0" w:color="auto"/>
        <w:right w:val="none" w:sz="0" w:space="0" w:color="auto"/>
      </w:divBdr>
    </w:div>
    <w:div w:id="1537545818">
      <w:bodyDiv w:val="1"/>
      <w:marLeft w:val="0"/>
      <w:marRight w:val="0"/>
      <w:marTop w:val="0"/>
      <w:marBottom w:val="0"/>
      <w:divBdr>
        <w:top w:val="none" w:sz="0" w:space="0" w:color="auto"/>
        <w:left w:val="none" w:sz="0" w:space="0" w:color="auto"/>
        <w:bottom w:val="none" w:sz="0" w:space="0" w:color="auto"/>
        <w:right w:val="none" w:sz="0" w:space="0" w:color="auto"/>
      </w:divBdr>
    </w:div>
    <w:div w:id="1604262358">
      <w:bodyDiv w:val="1"/>
      <w:marLeft w:val="0"/>
      <w:marRight w:val="0"/>
      <w:marTop w:val="0"/>
      <w:marBottom w:val="0"/>
      <w:divBdr>
        <w:top w:val="none" w:sz="0" w:space="0" w:color="auto"/>
        <w:left w:val="none" w:sz="0" w:space="0" w:color="auto"/>
        <w:bottom w:val="none" w:sz="0" w:space="0" w:color="auto"/>
        <w:right w:val="none" w:sz="0" w:space="0" w:color="auto"/>
      </w:divBdr>
    </w:div>
    <w:div w:id="1634410312">
      <w:bodyDiv w:val="1"/>
      <w:marLeft w:val="0"/>
      <w:marRight w:val="0"/>
      <w:marTop w:val="0"/>
      <w:marBottom w:val="0"/>
      <w:divBdr>
        <w:top w:val="none" w:sz="0" w:space="0" w:color="auto"/>
        <w:left w:val="none" w:sz="0" w:space="0" w:color="auto"/>
        <w:bottom w:val="none" w:sz="0" w:space="0" w:color="auto"/>
        <w:right w:val="none" w:sz="0" w:space="0" w:color="auto"/>
      </w:divBdr>
      <w:divsChild>
        <w:div w:id="44764707">
          <w:marLeft w:val="0"/>
          <w:marRight w:val="0"/>
          <w:marTop w:val="0"/>
          <w:marBottom w:val="0"/>
          <w:divBdr>
            <w:top w:val="none" w:sz="0" w:space="0" w:color="auto"/>
            <w:left w:val="none" w:sz="0" w:space="0" w:color="auto"/>
            <w:bottom w:val="none" w:sz="0" w:space="0" w:color="auto"/>
            <w:right w:val="none" w:sz="0" w:space="0" w:color="auto"/>
          </w:divBdr>
        </w:div>
        <w:div w:id="1933010898">
          <w:marLeft w:val="0"/>
          <w:marRight w:val="0"/>
          <w:marTop w:val="0"/>
          <w:marBottom w:val="0"/>
          <w:divBdr>
            <w:top w:val="none" w:sz="0" w:space="0" w:color="auto"/>
            <w:left w:val="none" w:sz="0" w:space="0" w:color="auto"/>
            <w:bottom w:val="none" w:sz="0" w:space="0" w:color="auto"/>
            <w:right w:val="none" w:sz="0" w:space="0" w:color="auto"/>
          </w:divBdr>
        </w:div>
        <w:div w:id="161356897">
          <w:marLeft w:val="0"/>
          <w:marRight w:val="0"/>
          <w:marTop w:val="0"/>
          <w:marBottom w:val="0"/>
          <w:divBdr>
            <w:top w:val="none" w:sz="0" w:space="0" w:color="auto"/>
            <w:left w:val="none" w:sz="0" w:space="0" w:color="auto"/>
            <w:bottom w:val="none" w:sz="0" w:space="0" w:color="auto"/>
            <w:right w:val="none" w:sz="0" w:space="0" w:color="auto"/>
          </w:divBdr>
        </w:div>
        <w:div w:id="1020546311">
          <w:marLeft w:val="0"/>
          <w:marRight w:val="0"/>
          <w:marTop w:val="0"/>
          <w:marBottom w:val="0"/>
          <w:divBdr>
            <w:top w:val="none" w:sz="0" w:space="0" w:color="auto"/>
            <w:left w:val="none" w:sz="0" w:space="0" w:color="auto"/>
            <w:bottom w:val="none" w:sz="0" w:space="0" w:color="auto"/>
            <w:right w:val="none" w:sz="0" w:space="0" w:color="auto"/>
          </w:divBdr>
        </w:div>
        <w:div w:id="732509541">
          <w:marLeft w:val="0"/>
          <w:marRight w:val="0"/>
          <w:marTop w:val="0"/>
          <w:marBottom w:val="0"/>
          <w:divBdr>
            <w:top w:val="none" w:sz="0" w:space="0" w:color="auto"/>
            <w:left w:val="none" w:sz="0" w:space="0" w:color="auto"/>
            <w:bottom w:val="none" w:sz="0" w:space="0" w:color="auto"/>
            <w:right w:val="none" w:sz="0" w:space="0" w:color="auto"/>
          </w:divBdr>
        </w:div>
        <w:div w:id="24448622">
          <w:marLeft w:val="0"/>
          <w:marRight w:val="0"/>
          <w:marTop w:val="0"/>
          <w:marBottom w:val="0"/>
          <w:divBdr>
            <w:top w:val="none" w:sz="0" w:space="0" w:color="auto"/>
            <w:left w:val="none" w:sz="0" w:space="0" w:color="auto"/>
            <w:bottom w:val="none" w:sz="0" w:space="0" w:color="auto"/>
            <w:right w:val="none" w:sz="0" w:space="0" w:color="auto"/>
          </w:divBdr>
        </w:div>
        <w:div w:id="222256918">
          <w:marLeft w:val="0"/>
          <w:marRight w:val="0"/>
          <w:marTop w:val="0"/>
          <w:marBottom w:val="0"/>
          <w:divBdr>
            <w:top w:val="none" w:sz="0" w:space="0" w:color="auto"/>
            <w:left w:val="none" w:sz="0" w:space="0" w:color="auto"/>
            <w:bottom w:val="none" w:sz="0" w:space="0" w:color="auto"/>
            <w:right w:val="none" w:sz="0" w:space="0" w:color="auto"/>
          </w:divBdr>
        </w:div>
      </w:divsChild>
    </w:div>
    <w:div w:id="1683775583">
      <w:bodyDiv w:val="1"/>
      <w:marLeft w:val="0"/>
      <w:marRight w:val="0"/>
      <w:marTop w:val="0"/>
      <w:marBottom w:val="0"/>
      <w:divBdr>
        <w:top w:val="none" w:sz="0" w:space="0" w:color="auto"/>
        <w:left w:val="none" w:sz="0" w:space="0" w:color="auto"/>
        <w:bottom w:val="none" w:sz="0" w:space="0" w:color="auto"/>
        <w:right w:val="none" w:sz="0" w:space="0" w:color="auto"/>
      </w:divBdr>
    </w:div>
    <w:div w:id="1691907395">
      <w:bodyDiv w:val="1"/>
      <w:marLeft w:val="0"/>
      <w:marRight w:val="0"/>
      <w:marTop w:val="0"/>
      <w:marBottom w:val="0"/>
      <w:divBdr>
        <w:top w:val="none" w:sz="0" w:space="0" w:color="auto"/>
        <w:left w:val="none" w:sz="0" w:space="0" w:color="auto"/>
        <w:bottom w:val="none" w:sz="0" w:space="0" w:color="auto"/>
        <w:right w:val="none" w:sz="0" w:space="0" w:color="auto"/>
      </w:divBdr>
    </w:div>
    <w:div w:id="1754155689">
      <w:bodyDiv w:val="1"/>
      <w:marLeft w:val="0"/>
      <w:marRight w:val="0"/>
      <w:marTop w:val="0"/>
      <w:marBottom w:val="0"/>
      <w:divBdr>
        <w:top w:val="none" w:sz="0" w:space="0" w:color="auto"/>
        <w:left w:val="none" w:sz="0" w:space="0" w:color="auto"/>
        <w:bottom w:val="none" w:sz="0" w:space="0" w:color="auto"/>
        <w:right w:val="none" w:sz="0" w:space="0" w:color="auto"/>
      </w:divBdr>
    </w:div>
    <w:div w:id="1819109594">
      <w:bodyDiv w:val="1"/>
      <w:marLeft w:val="0"/>
      <w:marRight w:val="0"/>
      <w:marTop w:val="0"/>
      <w:marBottom w:val="0"/>
      <w:divBdr>
        <w:top w:val="none" w:sz="0" w:space="0" w:color="auto"/>
        <w:left w:val="none" w:sz="0" w:space="0" w:color="auto"/>
        <w:bottom w:val="none" w:sz="0" w:space="0" w:color="auto"/>
        <w:right w:val="none" w:sz="0" w:space="0" w:color="auto"/>
      </w:divBdr>
    </w:div>
    <w:div w:id="1939948211">
      <w:bodyDiv w:val="1"/>
      <w:marLeft w:val="0"/>
      <w:marRight w:val="0"/>
      <w:marTop w:val="0"/>
      <w:marBottom w:val="0"/>
      <w:divBdr>
        <w:top w:val="none" w:sz="0" w:space="0" w:color="auto"/>
        <w:left w:val="none" w:sz="0" w:space="0" w:color="auto"/>
        <w:bottom w:val="none" w:sz="0" w:space="0" w:color="auto"/>
        <w:right w:val="none" w:sz="0" w:space="0" w:color="auto"/>
      </w:divBdr>
    </w:div>
    <w:div w:id="19439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E609-7FA6-48BD-B27C-F8F204D0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2016-02-05T04:23:00Z</dcterms:created>
  <dcterms:modified xsi:type="dcterms:W3CDTF">2016-02-05T04:24:00Z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