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660"/>
        <w:gridCol w:w="6379"/>
      </w:tblGrid>
      <w:tr w:rsidR="00D735FF" w:rsidRPr="00CA6C07" w:rsidTr="000156D1">
        <w:trPr>
          <w:trHeight w:val="756"/>
        </w:trPr>
        <w:tc>
          <w:tcPr>
            <w:tcW w:w="2660" w:type="dxa"/>
            <w:vAlign w:val="center"/>
          </w:tcPr>
          <w:p w:rsidR="00D735FF" w:rsidRPr="00CA6C07" w:rsidRDefault="00D735FF" w:rsidP="001D06D8">
            <w:pPr>
              <w:pStyle w:val="Header"/>
              <w:jc w:val="both"/>
              <w:rPr>
                <w:rFonts w:ascii="Arial" w:hAnsi="Arial" w:cs="Arial"/>
                <w:b/>
                <w:sz w:val="28"/>
                <w:szCs w:val="28"/>
              </w:rPr>
            </w:pPr>
            <w:r w:rsidRPr="00CA6C07">
              <w:rPr>
                <w:rFonts w:ascii="Arial" w:hAnsi="Arial" w:cs="Arial"/>
                <w:b/>
                <w:sz w:val="28"/>
                <w:szCs w:val="28"/>
              </w:rPr>
              <w:t>Submission to:</w:t>
            </w:r>
          </w:p>
        </w:tc>
        <w:tc>
          <w:tcPr>
            <w:tcW w:w="6379" w:type="dxa"/>
            <w:vAlign w:val="center"/>
          </w:tcPr>
          <w:p w:rsidR="00D735FF" w:rsidRPr="00CA6C07" w:rsidRDefault="00693D92" w:rsidP="001D06D8">
            <w:pPr>
              <w:pStyle w:val="Header"/>
              <w:rPr>
                <w:rFonts w:ascii="Arial" w:hAnsi="Arial" w:cs="Arial"/>
                <w:sz w:val="28"/>
                <w:szCs w:val="28"/>
              </w:rPr>
            </w:pPr>
            <w:r w:rsidRPr="00CA6C07">
              <w:rPr>
                <w:rFonts w:ascii="Arial" w:hAnsi="Arial" w:cs="Arial"/>
                <w:sz w:val="28"/>
                <w:szCs w:val="28"/>
              </w:rPr>
              <w:t>N</w:t>
            </w:r>
            <w:r w:rsidR="004011BA" w:rsidRPr="00CA6C07">
              <w:rPr>
                <w:rFonts w:ascii="Arial" w:hAnsi="Arial" w:cs="Arial"/>
                <w:sz w:val="28"/>
                <w:szCs w:val="28"/>
              </w:rPr>
              <w:t xml:space="preserve">ational Transport </w:t>
            </w:r>
            <w:r w:rsidR="0062031D" w:rsidRPr="00CA6C07">
              <w:rPr>
                <w:rFonts w:ascii="Arial" w:hAnsi="Arial" w:cs="Arial"/>
                <w:sz w:val="28"/>
                <w:szCs w:val="28"/>
              </w:rPr>
              <w:t>Commission</w:t>
            </w:r>
          </w:p>
        </w:tc>
      </w:tr>
      <w:tr w:rsidR="00D735FF" w:rsidRPr="00CA6C07" w:rsidTr="000156D1">
        <w:trPr>
          <w:trHeight w:val="756"/>
        </w:trPr>
        <w:tc>
          <w:tcPr>
            <w:tcW w:w="2660" w:type="dxa"/>
            <w:vAlign w:val="center"/>
          </w:tcPr>
          <w:p w:rsidR="00D735FF" w:rsidRPr="00CA6C07" w:rsidRDefault="00D735FF" w:rsidP="001D06D8">
            <w:pPr>
              <w:pStyle w:val="Header"/>
              <w:jc w:val="both"/>
              <w:rPr>
                <w:rFonts w:ascii="Arial" w:hAnsi="Arial" w:cs="Arial"/>
                <w:b/>
                <w:sz w:val="28"/>
                <w:szCs w:val="28"/>
              </w:rPr>
            </w:pPr>
            <w:r w:rsidRPr="00CA6C07">
              <w:rPr>
                <w:rFonts w:ascii="Arial" w:hAnsi="Arial" w:cs="Arial"/>
                <w:b/>
                <w:sz w:val="28"/>
                <w:szCs w:val="28"/>
              </w:rPr>
              <w:t>Title:</w:t>
            </w:r>
          </w:p>
        </w:tc>
        <w:tc>
          <w:tcPr>
            <w:tcW w:w="6379" w:type="dxa"/>
            <w:vAlign w:val="center"/>
          </w:tcPr>
          <w:p w:rsidR="00D735FF" w:rsidRPr="00CA6C07" w:rsidRDefault="0062031D" w:rsidP="001D06D8">
            <w:pPr>
              <w:pStyle w:val="Header"/>
              <w:rPr>
                <w:rFonts w:ascii="Arial" w:hAnsi="Arial" w:cs="Arial"/>
                <w:sz w:val="28"/>
                <w:szCs w:val="28"/>
              </w:rPr>
            </w:pPr>
            <w:r w:rsidRPr="00CA6C07">
              <w:rPr>
                <w:rFonts w:ascii="Arial" w:hAnsi="Arial" w:cs="Arial"/>
                <w:sz w:val="28"/>
                <w:szCs w:val="28"/>
              </w:rPr>
              <w:t xml:space="preserve">Heavy Vehicle </w:t>
            </w:r>
            <w:r w:rsidR="008C5E09">
              <w:rPr>
                <w:rFonts w:ascii="Arial" w:hAnsi="Arial" w:cs="Arial"/>
                <w:sz w:val="28"/>
                <w:szCs w:val="28"/>
              </w:rPr>
              <w:t>Compliance</w:t>
            </w:r>
            <w:r w:rsidR="001475F7">
              <w:rPr>
                <w:rFonts w:ascii="Arial" w:hAnsi="Arial" w:cs="Arial"/>
                <w:sz w:val="28"/>
                <w:szCs w:val="28"/>
              </w:rPr>
              <w:t xml:space="preserve"> Review: </w:t>
            </w:r>
            <w:r w:rsidR="008C5E09">
              <w:rPr>
                <w:rFonts w:ascii="Arial" w:hAnsi="Arial" w:cs="Arial"/>
                <w:sz w:val="28"/>
                <w:szCs w:val="28"/>
              </w:rPr>
              <w:t>Consultation Draft</w:t>
            </w:r>
            <w:r w:rsidR="001475F7">
              <w:rPr>
                <w:rFonts w:ascii="Arial" w:hAnsi="Arial" w:cs="Arial"/>
                <w:sz w:val="28"/>
                <w:szCs w:val="28"/>
              </w:rPr>
              <w:t xml:space="preserve"> Paper</w:t>
            </w:r>
          </w:p>
        </w:tc>
      </w:tr>
      <w:tr w:rsidR="00D735FF" w:rsidRPr="00CA6C07" w:rsidTr="000156D1">
        <w:trPr>
          <w:trHeight w:val="756"/>
        </w:trPr>
        <w:tc>
          <w:tcPr>
            <w:tcW w:w="2660" w:type="dxa"/>
            <w:vAlign w:val="center"/>
          </w:tcPr>
          <w:p w:rsidR="00D735FF" w:rsidRPr="00CA6C07" w:rsidRDefault="00D735FF" w:rsidP="001D06D8">
            <w:pPr>
              <w:pStyle w:val="Header"/>
              <w:jc w:val="both"/>
              <w:rPr>
                <w:rFonts w:ascii="Arial" w:hAnsi="Arial" w:cs="Arial"/>
                <w:b/>
                <w:sz w:val="28"/>
                <w:szCs w:val="28"/>
              </w:rPr>
            </w:pPr>
            <w:r w:rsidRPr="00CA6C07">
              <w:rPr>
                <w:rFonts w:ascii="Arial" w:hAnsi="Arial" w:cs="Arial"/>
                <w:b/>
                <w:sz w:val="28"/>
                <w:szCs w:val="28"/>
              </w:rPr>
              <w:t>Date:</w:t>
            </w:r>
          </w:p>
        </w:tc>
        <w:tc>
          <w:tcPr>
            <w:tcW w:w="6379" w:type="dxa"/>
            <w:vAlign w:val="center"/>
          </w:tcPr>
          <w:p w:rsidR="00D735FF" w:rsidRPr="00CA6C07" w:rsidRDefault="008C5E09" w:rsidP="001D06D8">
            <w:pPr>
              <w:pStyle w:val="Header"/>
              <w:rPr>
                <w:rFonts w:ascii="Arial" w:hAnsi="Arial" w:cs="Arial"/>
                <w:sz w:val="28"/>
                <w:szCs w:val="28"/>
              </w:rPr>
            </w:pPr>
            <w:r w:rsidRPr="008C5E09">
              <w:rPr>
                <w:rFonts w:ascii="Arial" w:hAnsi="Arial" w:cs="Arial"/>
                <w:sz w:val="28"/>
                <w:szCs w:val="28"/>
              </w:rPr>
              <w:t xml:space="preserve">HV Compliance Review </w:t>
            </w:r>
            <w:r w:rsidR="00693D92" w:rsidRPr="00CA6C07">
              <w:rPr>
                <w:rFonts w:ascii="Arial" w:hAnsi="Arial" w:cs="Arial"/>
                <w:sz w:val="28"/>
                <w:szCs w:val="28"/>
              </w:rPr>
              <w:t>2013</w:t>
            </w:r>
            <w:r w:rsidR="00F26CFA" w:rsidRPr="00CA6C07">
              <w:rPr>
                <w:rFonts w:ascii="Arial" w:hAnsi="Arial" w:cs="Arial"/>
                <w:sz w:val="28"/>
                <w:szCs w:val="28"/>
              </w:rPr>
              <w:t xml:space="preserve"> </w:t>
            </w:r>
          </w:p>
        </w:tc>
      </w:tr>
    </w:tbl>
    <w:p w:rsidR="00D735FF" w:rsidRPr="00CA6C07" w:rsidRDefault="00D735FF" w:rsidP="001D06D8">
      <w:pPr>
        <w:pStyle w:val="Header"/>
        <w:jc w:val="both"/>
        <w:rPr>
          <w:rFonts w:ascii="Arial" w:hAnsi="Arial" w:cs="Arial"/>
          <w:sz w:val="20"/>
          <w:szCs w:val="20"/>
        </w:rPr>
      </w:pPr>
    </w:p>
    <w:p w:rsidR="00D735FF" w:rsidRPr="00CA6C07" w:rsidRDefault="00D735FF" w:rsidP="001D06D8">
      <w:pPr>
        <w:pStyle w:val="Header"/>
        <w:jc w:val="both"/>
        <w:rPr>
          <w:rFonts w:ascii="Arial" w:hAnsi="Arial" w:cs="Arial"/>
          <w:sz w:val="20"/>
          <w:szCs w:val="20"/>
        </w:rPr>
      </w:pPr>
    </w:p>
    <w:p w:rsidR="00576ED0" w:rsidRPr="00CA6C07" w:rsidRDefault="00576ED0" w:rsidP="001D06D8">
      <w:pPr>
        <w:pStyle w:val="Header"/>
        <w:jc w:val="both"/>
        <w:rPr>
          <w:rFonts w:ascii="Arial" w:hAnsi="Arial" w:cs="Arial"/>
          <w:sz w:val="20"/>
          <w:szCs w:val="20"/>
        </w:rPr>
      </w:pPr>
    </w:p>
    <w:p w:rsidR="00576ED0" w:rsidRPr="00CA6C07" w:rsidRDefault="00576ED0" w:rsidP="001D06D8">
      <w:pPr>
        <w:jc w:val="both"/>
        <w:rPr>
          <w:rFonts w:ascii="Arial" w:hAnsi="Arial" w:cs="Arial"/>
          <w:sz w:val="20"/>
          <w:szCs w:val="20"/>
          <w:lang w:val="en-GB"/>
        </w:rPr>
        <w:sectPr w:rsidR="00576ED0" w:rsidRPr="00CA6C07" w:rsidSect="005F5ACC">
          <w:footerReference w:type="default" r:id="rId8"/>
          <w:headerReference w:type="first" r:id="rId9"/>
          <w:footerReference w:type="first" r:id="rId10"/>
          <w:pgSz w:w="11906" w:h="16838"/>
          <w:pgMar w:top="5103" w:right="1133" w:bottom="1418" w:left="1134" w:header="851" w:footer="651" w:gutter="0"/>
          <w:cols w:space="708"/>
          <w:docGrid w:linePitch="360"/>
        </w:sectPr>
      </w:pPr>
    </w:p>
    <w:p w:rsidR="00576ED0" w:rsidRPr="00CA6C07" w:rsidRDefault="00576ED0" w:rsidP="001D06D8">
      <w:pPr>
        <w:jc w:val="both"/>
        <w:rPr>
          <w:rFonts w:ascii="Arial" w:hAnsi="Arial" w:cs="Arial"/>
          <w:sz w:val="20"/>
          <w:szCs w:val="20"/>
        </w:rPr>
      </w:pPr>
    </w:p>
    <w:p w:rsidR="0035493A" w:rsidRPr="00CA6C07" w:rsidRDefault="0035493A" w:rsidP="001D06D8">
      <w:pPr>
        <w:jc w:val="both"/>
        <w:rPr>
          <w:rFonts w:ascii="Arial" w:hAnsi="Arial" w:cs="Arial"/>
          <w:sz w:val="20"/>
          <w:szCs w:val="20"/>
        </w:rPr>
      </w:pPr>
    </w:p>
    <w:p w:rsidR="0035493A" w:rsidRPr="00CA6C07" w:rsidRDefault="0035493A" w:rsidP="001D06D8">
      <w:pPr>
        <w:jc w:val="both"/>
        <w:rPr>
          <w:rFonts w:ascii="Arial" w:hAnsi="Arial" w:cs="Arial"/>
          <w:sz w:val="20"/>
          <w:szCs w:val="20"/>
        </w:rPr>
      </w:pPr>
    </w:p>
    <w:p w:rsidR="0035493A" w:rsidRPr="00CA6C07" w:rsidRDefault="0035493A" w:rsidP="001D06D8">
      <w:pPr>
        <w:jc w:val="both"/>
        <w:rPr>
          <w:rFonts w:ascii="Arial" w:hAnsi="Arial" w:cs="Arial"/>
          <w:sz w:val="20"/>
          <w:szCs w:val="20"/>
        </w:rPr>
      </w:pPr>
    </w:p>
    <w:p w:rsidR="0035493A" w:rsidRPr="00CA6C07" w:rsidRDefault="0035493A" w:rsidP="001D06D8">
      <w:pPr>
        <w:jc w:val="both"/>
        <w:rPr>
          <w:rFonts w:ascii="Arial" w:hAnsi="Arial" w:cs="Arial"/>
          <w:sz w:val="20"/>
          <w:szCs w:val="20"/>
        </w:rPr>
      </w:pPr>
    </w:p>
    <w:p w:rsidR="00847534" w:rsidRDefault="00847534" w:rsidP="001D06D8">
      <w:pPr>
        <w:jc w:val="both"/>
        <w:rPr>
          <w:rFonts w:ascii="Arial" w:hAnsi="Arial" w:cs="Arial"/>
          <w:b/>
          <w:color w:val="000064"/>
          <w:sz w:val="28"/>
          <w:szCs w:val="28"/>
        </w:rPr>
      </w:pPr>
    </w:p>
    <w:p w:rsidR="0035493A" w:rsidRPr="00CA6C07" w:rsidRDefault="003B74E4" w:rsidP="001D06D8">
      <w:pPr>
        <w:jc w:val="both"/>
        <w:rPr>
          <w:rFonts w:ascii="Arial" w:hAnsi="Arial" w:cs="Arial"/>
          <w:b/>
          <w:color w:val="000064"/>
          <w:sz w:val="28"/>
          <w:szCs w:val="28"/>
        </w:rPr>
      </w:pPr>
      <w:r w:rsidRPr="00CA6C07">
        <w:rPr>
          <w:rFonts w:ascii="Arial" w:hAnsi="Arial" w:cs="Arial"/>
          <w:b/>
          <w:color w:val="000064"/>
          <w:sz w:val="28"/>
          <w:szCs w:val="28"/>
        </w:rPr>
        <w:t>Contents</w:t>
      </w:r>
    </w:p>
    <w:p w:rsidR="00576ED0" w:rsidRPr="00CA6C07" w:rsidRDefault="00576ED0" w:rsidP="001D06D8">
      <w:pPr>
        <w:jc w:val="both"/>
        <w:rPr>
          <w:rFonts w:ascii="Arial" w:hAnsi="Arial" w:cs="Arial"/>
          <w:sz w:val="20"/>
          <w:szCs w:val="20"/>
        </w:rPr>
      </w:pPr>
    </w:p>
    <w:p w:rsidR="009B0520" w:rsidRPr="00CB7600" w:rsidRDefault="009B0520" w:rsidP="001D06D8">
      <w:pPr>
        <w:jc w:val="both"/>
        <w:rPr>
          <w:rFonts w:ascii="Arial" w:hAnsi="Arial" w:cs="Arial"/>
          <w:b/>
        </w:rPr>
      </w:pPr>
    </w:p>
    <w:p w:rsidR="0082056F" w:rsidRPr="00CB7600" w:rsidRDefault="00DE3ADC" w:rsidP="00511253">
      <w:pPr>
        <w:pStyle w:val="TOC1"/>
        <w:rPr>
          <w:rFonts w:asciiTheme="minorHAnsi" w:eastAsiaTheme="minorEastAsia" w:hAnsiTheme="minorHAnsi" w:cstheme="minorBidi"/>
          <w:color w:val="auto"/>
          <w:sz w:val="22"/>
          <w:szCs w:val="22"/>
          <w:lang w:eastAsia="en-AU"/>
        </w:rPr>
      </w:pPr>
      <w:r w:rsidRPr="00DE3ADC">
        <w:rPr>
          <w:rFonts w:cs="Arial"/>
          <w:sz w:val="22"/>
          <w:szCs w:val="22"/>
        </w:rPr>
        <w:fldChar w:fldCharType="begin"/>
      </w:r>
      <w:r w:rsidR="0035493A" w:rsidRPr="00CB7600">
        <w:rPr>
          <w:rFonts w:cs="Arial"/>
          <w:sz w:val="22"/>
          <w:szCs w:val="22"/>
        </w:rPr>
        <w:instrText xml:space="preserve"> TOC \o "1-2" \t "ATA Heading 2,2" </w:instrText>
      </w:r>
      <w:r w:rsidRPr="00DE3ADC">
        <w:rPr>
          <w:rFonts w:cs="Arial"/>
          <w:sz w:val="22"/>
          <w:szCs w:val="22"/>
        </w:rPr>
        <w:fldChar w:fldCharType="separate"/>
      </w:r>
      <w:r w:rsidR="0082056F" w:rsidRPr="00CB7600">
        <w:rPr>
          <w:sz w:val="22"/>
          <w:szCs w:val="22"/>
        </w:rPr>
        <w:t>1.</w:t>
      </w:r>
      <w:r w:rsidR="0082056F" w:rsidRPr="00CB7600">
        <w:rPr>
          <w:rFonts w:asciiTheme="minorHAnsi" w:eastAsiaTheme="minorEastAsia" w:hAnsiTheme="minorHAnsi" w:cstheme="minorBidi"/>
          <w:color w:val="auto"/>
          <w:sz w:val="22"/>
          <w:szCs w:val="22"/>
          <w:lang w:eastAsia="en-AU"/>
        </w:rPr>
        <w:tab/>
      </w:r>
      <w:r w:rsidR="0082056F" w:rsidRPr="00CB7600">
        <w:rPr>
          <w:sz w:val="22"/>
          <w:szCs w:val="22"/>
        </w:rPr>
        <w:t>Introduction</w:t>
      </w:r>
      <w:r w:rsidR="0082056F" w:rsidRPr="00CB7600">
        <w:rPr>
          <w:sz w:val="22"/>
          <w:szCs w:val="22"/>
        </w:rPr>
        <w:tab/>
      </w:r>
      <w:r w:rsidRPr="00CB7600">
        <w:rPr>
          <w:sz w:val="22"/>
          <w:szCs w:val="22"/>
        </w:rPr>
        <w:fldChar w:fldCharType="begin"/>
      </w:r>
      <w:r w:rsidR="0082056F" w:rsidRPr="00CB7600">
        <w:rPr>
          <w:sz w:val="22"/>
          <w:szCs w:val="22"/>
        </w:rPr>
        <w:instrText xml:space="preserve"> PAGEREF _Toc353434675 \h </w:instrText>
      </w:r>
      <w:r w:rsidRPr="00CB7600">
        <w:rPr>
          <w:sz w:val="22"/>
          <w:szCs w:val="22"/>
        </w:rPr>
      </w:r>
      <w:r w:rsidRPr="00CB7600">
        <w:rPr>
          <w:sz w:val="22"/>
          <w:szCs w:val="22"/>
        </w:rPr>
        <w:fldChar w:fldCharType="separate"/>
      </w:r>
      <w:r w:rsidR="005C069F">
        <w:rPr>
          <w:sz w:val="22"/>
          <w:szCs w:val="22"/>
        </w:rPr>
        <w:t>3</w:t>
      </w:r>
      <w:r w:rsidRPr="00CB7600">
        <w:rPr>
          <w:sz w:val="22"/>
          <w:szCs w:val="22"/>
        </w:rPr>
        <w:fldChar w:fldCharType="end"/>
      </w:r>
    </w:p>
    <w:p w:rsidR="0082056F" w:rsidRPr="00CB7600" w:rsidRDefault="0082056F" w:rsidP="00511253">
      <w:pPr>
        <w:pStyle w:val="TOC1"/>
        <w:rPr>
          <w:rFonts w:asciiTheme="minorHAnsi" w:eastAsiaTheme="minorEastAsia" w:hAnsiTheme="minorHAnsi" w:cstheme="minorBidi"/>
          <w:color w:val="auto"/>
          <w:sz w:val="22"/>
          <w:szCs w:val="22"/>
          <w:lang w:eastAsia="en-AU"/>
        </w:rPr>
      </w:pPr>
      <w:r w:rsidRPr="00CB7600">
        <w:rPr>
          <w:sz w:val="22"/>
          <w:szCs w:val="22"/>
        </w:rPr>
        <w:t>2.</w:t>
      </w:r>
      <w:r w:rsidRPr="00CB7600">
        <w:rPr>
          <w:rFonts w:asciiTheme="minorHAnsi" w:eastAsiaTheme="minorEastAsia" w:hAnsiTheme="minorHAnsi" w:cstheme="minorBidi"/>
          <w:color w:val="auto"/>
          <w:sz w:val="22"/>
          <w:szCs w:val="22"/>
          <w:lang w:eastAsia="en-AU"/>
        </w:rPr>
        <w:tab/>
      </w:r>
      <w:r w:rsidRPr="00CB7600">
        <w:rPr>
          <w:sz w:val="22"/>
          <w:szCs w:val="22"/>
        </w:rPr>
        <w:t>Australian Trucking Association</w:t>
      </w:r>
      <w:r w:rsidRPr="00CB7600">
        <w:rPr>
          <w:sz w:val="22"/>
          <w:szCs w:val="22"/>
        </w:rPr>
        <w:tab/>
      </w:r>
      <w:r w:rsidR="00DE3ADC" w:rsidRPr="00CB7600">
        <w:rPr>
          <w:sz w:val="22"/>
          <w:szCs w:val="22"/>
        </w:rPr>
        <w:fldChar w:fldCharType="begin"/>
      </w:r>
      <w:r w:rsidRPr="00CB7600">
        <w:rPr>
          <w:sz w:val="22"/>
          <w:szCs w:val="22"/>
        </w:rPr>
        <w:instrText xml:space="preserve"> PAGEREF _Toc353434676 \h </w:instrText>
      </w:r>
      <w:r w:rsidR="00DE3ADC" w:rsidRPr="00CB7600">
        <w:rPr>
          <w:sz w:val="22"/>
          <w:szCs w:val="22"/>
        </w:rPr>
      </w:r>
      <w:r w:rsidR="00DE3ADC" w:rsidRPr="00CB7600">
        <w:rPr>
          <w:sz w:val="22"/>
          <w:szCs w:val="22"/>
        </w:rPr>
        <w:fldChar w:fldCharType="separate"/>
      </w:r>
      <w:r w:rsidR="005C069F">
        <w:rPr>
          <w:sz w:val="22"/>
          <w:szCs w:val="22"/>
        </w:rPr>
        <w:t>3</w:t>
      </w:r>
      <w:r w:rsidR="00DE3ADC" w:rsidRPr="00CB7600">
        <w:rPr>
          <w:sz w:val="22"/>
          <w:szCs w:val="22"/>
        </w:rPr>
        <w:fldChar w:fldCharType="end"/>
      </w:r>
    </w:p>
    <w:p w:rsidR="0082056F" w:rsidRPr="00CB7600" w:rsidRDefault="0082056F" w:rsidP="00511253">
      <w:pPr>
        <w:pStyle w:val="TOC1"/>
        <w:rPr>
          <w:rFonts w:asciiTheme="minorHAnsi" w:eastAsiaTheme="minorEastAsia" w:hAnsiTheme="minorHAnsi" w:cstheme="minorBidi"/>
          <w:color w:val="auto"/>
          <w:sz w:val="22"/>
          <w:szCs w:val="22"/>
          <w:lang w:eastAsia="en-AU"/>
        </w:rPr>
      </w:pPr>
      <w:r w:rsidRPr="00CB7600">
        <w:rPr>
          <w:sz w:val="22"/>
          <w:szCs w:val="22"/>
        </w:rPr>
        <w:t>3.</w:t>
      </w:r>
      <w:r w:rsidRPr="00CB7600">
        <w:rPr>
          <w:rFonts w:asciiTheme="minorHAnsi" w:eastAsiaTheme="minorEastAsia" w:hAnsiTheme="minorHAnsi" w:cstheme="minorBidi"/>
          <w:color w:val="auto"/>
          <w:sz w:val="22"/>
          <w:szCs w:val="22"/>
          <w:lang w:eastAsia="en-AU"/>
        </w:rPr>
        <w:tab/>
      </w:r>
      <w:r w:rsidRPr="00CB7600">
        <w:rPr>
          <w:sz w:val="22"/>
          <w:szCs w:val="22"/>
        </w:rPr>
        <w:t>Recommendations</w:t>
      </w:r>
      <w:r w:rsidRPr="00CB7600">
        <w:rPr>
          <w:sz w:val="22"/>
          <w:szCs w:val="22"/>
        </w:rPr>
        <w:tab/>
      </w:r>
      <w:r w:rsidR="00DE3ADC" w:rsidRPr="00CB7600">
        <w:rPr>
          <w:sz w:val="22"/>
          <w:szCs w:val="22"/>
        </w:rPr>
        <w:fldChar w:fldCharType="begin"/>
      </w:r>
      <w:r w:rsidRPr="00CB7600">
        <w:rPr>
          <w:sz w:val="22"/>
          <w:szCs w:val="22"/>
        </w:rPr>
        <w:instrText xml:space="preserve"> PAGEREF _Toc353434677 \h </w:instrText>
      </w:r>
      <w:r w:rsidR="00DE3ADC" w:rsidRPr="00CB7600">
        <w:rPr>
          <w:sz w:val="22"/>
          <w:szCs w:val="22"/>
        </w:rPr>
      </w:r>
      <w:r w:rsidR="00DE3ADC" w:rsidRPr="00CB7600">
        <w:rPr>
          <w:sz w:val="22"/>
          <w:szCs w:val="22"/>
        </w:rPr>
        <w:fldChar w:fldCharType="separate"/>
      </w:r>
      <w:r w:rsidR="005C069F">
        <w:rPr>
          <w:sz w:val="22"/>
          <w:szCs w:val="22"/>
        </w:rPr>
        <w:t>3</w:t>
      </w:r>
      <w:r w:rsidR="00DE3ADC" w:rsidRPr="00CB7600">
        <w:rPr>
          <w:sz w:val="22"/>
          <w:szCs w:val="22"/>
        </w:rPr>
        <w:fldChar w:fldCharType="end"/>
      </w:r>
    </w:p>
    <w:p w:rsidR="0082056F" w:rsidRPr="00CB7600" w:rsidRDefault="0082056F" w:rsidP="00511253">
      <w:pPr>
        <w:pStyle w:val="TOC1"/>
        <w:rPr>
          <w:rFonts w:asciiTheme="minorHAnsi" w:eastAsiaTheme="minorEastAsia" w:hAnsiTheme="minorHAnsi" w:cstheme="minorBidi"/>
          <w:color w:val="auto"/>
          <w:sz w:val="22"/>
          <w:szCs w:val="22"/>
          <w:lang w:eastAsia="en-AU"/>
        </w:rPr>
      </w:pPr>
      <w:r w:rsidRPr="00CB7600">
        <w:rPr>
          <w:sz w:val="22"/>
          <w:szCs w:val="22"/>
        </w:rPr>
        <w:t>4.</w:t>
      </w:r>
      <w:r w:rsidRPr="00CB7600">
        <w:rPr>
          <w:rFonts w:asciiTheme="minorHAnsi" w:eastAsiaTheme="minorEastAsia" w:hAnsiTheme="minorHAnsi" w:cstheme="minorBidi"/>
          <w:color w:val="auto"/>
          <w:sz w:val="22"/>
          <w:szCs w:val="22"/>
          <w:lang w:eastAsia="en-AU"/>
        </w:rPr>
        <w:tab/>
      </w:r>
      <w:r w:rsidR="008C5E09" w:rsidRPr="00CB7600">
        <w:rPr>
          <w:sz w:val="22"/>
          <w:szCs w:val="22"/>
        </w:rPr>
        <w:t>Industry issues</w:t>
      </w:r>
      <w:r w:rsidRPr="00CB7600">
        <w:rPr>
          <w:sz w:val="22"/>
          <w:szCs w:val="22"/>
        </w:rPr>
        <w:tab/>
      </w:r>
      <w:r w:rsidR="00645592" w:rsidRPr="00CB7600">
        <w:rPr>
          <w:sz w:val="22"/>
          <w:szCs w:val="22"/>
        </w:rPr>
        <w:t>4</w:t>
      </w:r>
    </w:p>
    <w:p w:rsidR="0082056F" w:rsidRPr="00CB7600" w:rsidRDefault="00DB2D8C" w:rsidP="00511253">
      <w:pPr>
        <w:pStyle w:val="TOC1"/>
        <w:rPr>
          <w:rFonts w:asciiTheme="minorHAnsi" w:eastAsiaTheme="minorEastAsia" w:hAnsiTheme="minorHAnsi" w:cstheme="minorBidi"/>
          <w:color w:val="auto"/>
          <w:sz w:val="22"/>
          <w:szCs w:val="22"/>
          <w:lang w:eastAsia="en-AU"/>
        </w:rPr>
      </w:pPr>
      <w:r w:rsidRPr="00CB7600">
        <w:rPr>
          <w:sz w:val="22"/>
          <w:szCs w:val="22"/>
        </w:rPr>
        <w:tab/>
      </w:r>
      <w:r w:rsidR="0082056F" w:rsidRPr="00CB7600">
        <w:rPr>
          <w:sz w:val="22"/>
          <w:szCs w:val="22"/>
        </w:rPr>
        <w:t>4.</w:t>
      </w:r>
      <w:r w:rsidR="00645592" w:rsidRPr="00CB7600">
        <w:rPr>
          <w:sz w:val="22"/>
          <w:szCs w:val="22"/>
        </w:rPr>
        <w:t>1</w:t>
      </w:r>
      <w:r w:rsidRPr="00CB7600">
        <w:rPr>
          <w:sz w:val="22"/>
          <w:szCs w:val="22"/>
        </w:rPr>
        <w:t xml:space="preserve"> </w:t>
      </w:r>
      <w:r w:rsidR="00D20F92" w:rsidRPr="00CB7600">
        <w:rPr>
          <w:sz w:val="22"/>
          <w:szCs w:val="22"/>
        </w:rPr>
        <w:t>TruckSafe</w:t>
      </w:r>
      <w:r w:rsidR="002D7B3E" w:rsidRPr="002D7B3E">
        <w:rPr>
          <w:rFonts w:cs="Arial"/>
          <w:sz w:val="18"/>
          <w:szCs w:val="22"/>
          <w:vertAlign w:val="superscript"/>
        </w:rPr>
        <w:t>®</w:t>
      </w:r>
      <w:r w:rsidR="00D20F92" w:rsidRPr="00CB7600">
        <w:rPr>
          <w:sz w:val="22"/>
          <w:szCs w:val="22"/>
        </w:rPr>
        <w:t xml:space="preserve"> </w:t>
      </w:r>
      <w:r w:rsidR="00645592" w:rsidRPr="00CB7600">
        <w:rPr>
          <w:sz w:val="22"/>
          <w:szCs w:val="22"/>
        </w:rPr>
        <w:t>Heavy Vehicle Safety Accreditation Program</w:t>
      </w:r>
      <w:r w:rsidR="0082056F" w:rsidRPr="00CB7600">
        <w:rPr>
          <w:sz w:val="22"/>
          <w:szCs w:val="22"/>
        </w:rPr>
        <w:tab/>
      </w:r>
      <w:r w:rsidR="00645592" w:rsidRPr="00CB7600">
        <w:rPr>
          <w:sz w:val="22"/>
          <w:szCs w:val="22"/>
        </w:rPr>
        <w:t>4</w:t>
      </w:r>
    </w:p>
    <w:p w:rsidR="00645592" w:rsidRPr="00CB7600" w:rsidRDefault="00DB2D8C" w:rsidP="00511253">
      <w:pPr>
        <w:pStyle w:val="TOC1"/>
        <w:rPr>
          <w:sz w:val="22"/>
          <w:szCs w:val="22"/>
        </w:rPr>
      </w:pPr>
      <w:r w:rsidRPr="00CB7600">
        <w:rPr>
          <w:sz w:val="22"/>
          <w:szCs w:val="22"/>
        </w:rPr>
        <w:tab/>
      </w:r>
      <w:r w:rsidR="0082056F" w:rsidRPr="00CB7600">
        <w:rPr>
          <w:sz w:val="22"/>
          <w:szCs w:val="22"/>
        </w:rPr>
        <w:t>4.</w:t>
      </w:r>
      <w:r w:rsidR="00645592" w:rsidRPr="00CB7600">
        <w:rPr>
          <w:sz w:val="22"/>
          <w:szCs w:val="22"/>
        </w:rPr>
        <w:t>2</w:t>
      </w:r>
      <w:r w:rsidRPr="00CB7600">
        <w:rPr>
          <w:sz w:val="22"/>
          <w:szCs w:val="22"/>
        </w:rPr>
        <w:t xml:space="preserve"> </w:t>
      </w:r>
      <w:r w:rsidR="00645592" w:rsidRPr="00CB7600">
        <w:rPr>
          <w:sz w:val="22"/>
          <w:szCs w:val="22"/>
        </w:rPr>
        <w:t xml:space="preserve">A history of </w:t>
      </w:r>
      <w:r w:rsidR="005408E8" w:rsidRPr="00CB7600">
        <w:rPr>
          <w:sz w:val="22"/>
          <w:szCs w:val="22"/>
        </w:rPr>
        <w:t xml:space="preserve">industry </w:t>
      </w:r>
      <w:r w:rsidR="00645592" w:rsidRPr="00CB7600">
        <w:rPr>
          <w:sz w:val="22"/>
          <w:szCs w:val="22"/>
        </w:rPr>
        <w:t>compliance</w:t>
      </w:r>
      <w:r w:rsidR="00645592" w:rsidRPr="00CB7600">
        <w:rPr>
          <w:sz w:val="22"/>
          <w:szCs w:val="22"/>
        </w:rPr>
        <w:tab/>
        <w:t>5</w:t>
      </w:r>
    </w:p>
    <w:p w:rsidR="0082056F" w:rsidRPr="00CB7600" w:rsidRDefault="00DB2D8C" w:rsidP="00511253">
      <w:pPr>
        <w:pStyle w:val="TOC1"/>
        <w:rPr>
          <w:sz w:val="22"/>
          <w:szCs w:val="22"/>
        </w:rPr>
      </w:pPr>
      <w:r w:rsidRPr="00CB7600">
        <w:rPr>
          <w:sz w:val="22"/>
          <w:szCs w:val="22"/>
        </w:rPr>
        <w:tab/>
      </w:r>
      <w:r w:rsidR="0082056F" w:rsidRPr="00CB7600">
        <w:rPr>
          <w:sz w:val="22"/>
          <w:szCs w:val="22"/>
        </w:rPr>
        <w:t>4.</w:t>
      </w:r>
      <w:r w:rsidR="005408E8" w:rsidRPr="00CB7600">
        <w:rPr>
          <w:sz w:val="22"/>
          <w:szCs w:val="22"/>
        </w:rPr>
        <w:t>3</w:t>
      </w:r>
      <w:r w:rsidRPr="00CB7600">
        <w:rPr>
          <w:sz w:val="22"/>
          <w:szCs w:val="22"/>
        </w:rPr>
        <w:t xml:space="preserve"> </w:t>
      </w:r>
      <w:r w:rsidR="00645592" w:rsidRPr="00CB7600">
        <w:rPr>
          <w:sz w:val="22"/>
          <w:szCs w:val="22"/>
        </w:rPr>
        <w:t>Chain of responsibility and a ‘culture of compliance’</w:t>
      </w:r>
      <w:r w:rsidR="00645592" w:rsidRPr="00CB7600">
        <w:rPr>
          <w:sz w:val="22"/>
          <w:szCs w:val="22"/>
        </w:rPr>
        <w:tab/>
      </w:r>
      <w:r w:rsidR="00D57C6A" w:rsidRPr="00CB7600">
        <w:rPr>
          <w:sz w:val="22"/>
          <w:szCs w:val="22"/>
        </w:rPr>
        <w:t>6</w:t>
      </w:r>
    </w:p>
    <w:p w:rsidR="00542DE9" w:rsidRPr="00CB7600" w:rsidRDefault="00DB2D8C" w:rsidP="00511253">
      <w:pPr>
        <w:pStyle w:val="TOC1"/>
        <w:rPr>
          <w:sz w:val="22"/>
          <w:szCs w:val="22"/>
        </w:rPr>
      </w:pPr>
      <w:r w:rsidRPr="00CB7600">
        <w:rPr>
          <w:sz w:val="22"/>
          <w:szCs w:val="22"/>
        </w:rPr>
        <w:tab/>
      </w:r>
      <w:r w:rsidR="00542DE9" w:rsidRPr="00CB7600">
        <w:rPr>
          <w:sz w:val="22"/>
          <w:szCs w:val="22"/>
        </w:rPr>
        <w:t>4.</w:t>
      </w:r>
      <w:r w:rsidR="004809A4">
        <w:rPr>
          <w:sz w:val="22"/>
          <w:szCs w:val="22"/>
        </w:rPr>
        <w:t>4</w:t>
      </w:r>
      <w:r w:rsidRPr="00CB7600">
        <w:rPr>
          <w:sz w:val="22"/>
          <w:szCs w:val="22"/>
        </w:rPr>
        <w:t xml:space="preserve"> </w:t>
      </w:r>
      <w:r w:rsidR="00542DE9" w:rsidRPr="00CB7600">
        <w:rPr>
          <w:sz w:val="22"/>
          <w:szCs w:val="22"/>
        </w:rPr>
        <w:t>Infrastructur</w:t>
      </w:r>
      <w:r w:rsidR="00103F04" w:rsidRPr="00CB7600">
        <w:rPr>
          <w:sz w:val="22"/>
          <w:szCs w:val="22"/>
        </w:rPr>
        <w:t>e a</w:t>
      </w:r>
      <w:r w:rsidR="00B06900" w:rsidRPr="00CB7600">
        <w:rPr>
          <w:sz w:val="22"/>
          <w:szCs w:val="22"/>
        </w:rPr>
        <w:t>nd regulatory compliance</w:t>
      </w:r>
      <w:r w:rsidR="00542DE9" w:rsidRPr="00CB7600">
        <w:rPr>
          <w:sz w:val="22"/>
          <w:szCs w:val="22"/>
        </w:rPr>
        <w:tab/>
      </w:r>
      <w:r w:rsidRPr="00CB7600">
        <w:rPr>
          <w:sz w:val="22"/>
          <w:szCs w:val="22"/>
        </w:rPr>
        <w:t>7</w:t>
      </w:r>
    </w:p>
    <w:p w:rsidR="004D4656" w:rsidRPr="00CB7600" w:rsidRDefault="00E02748" w:rsidP="00511253">
      <w:pPr>
        <w:pStyle w:val="TOC1"/>
        <w:rPr>
          <w:sz w:val="22"/>
          <w:szCs w:val="22"/>
        </w:rPr>
      </w:pPr>
      <w:r w:rsidRPr="00CB7600">
        <w:rPr>
          <w:sz w:val="22"/>
          <w:szCs w:val="22"/>
        </w:rPr>
        <w:t>5. Conclusion</w:t>
      </w:r>
      <w:r w:rsidR="004D4656" w:rsidRPr="00CB7600">
        <w:rPr>
          <w:sz w:val="22"/>
          <w:szCs w:val="22"/>
        </w:rPr>
        <w:tab/>
      </w:r>
      <w:r w:rsidR="00DB2D8C" w:rsidRPr="00CB7600">
        <w:rPr>
          <w:sz w:val="22"/>
          <w:szCs w:val="22"/>
        </w:rPr>
        <w:t>8</w:t>
      </w:r>
    </w:p>
    <w:p w:rsidR="00E02748" w:rsidRPr="00CB7600" w:rsidRDefault="00E02748" w:rsidP="001D06D8">
      <w:pPr>
        <w:rPr>
          <w:rFonts w:ascii="Arial" w:hAnsi="Arial"/>
          <w:noProof/>
          <w:color w:val="000000" w:themeColor="text1"/>
        </w:rPr>
      </w:pPr>
    </w:p>
    <w:p w:rsidR="00576ED0" w:rsidRPr="00CA6C07" w:rsidRDefault="00DE3ADC" w:rsidP="001D06D8">
      <w:pPr>
        <w:tabs>
          <w:tab w:val="right" w:leader="dot" w:pos="9645"/>
        </w:tabs>
        <w:jc w:val="both"/>
        <w:rPr>
          <w:rFonts w:ascii="Arial" w:hAnsi="Arial" w:cs="Arial"/>
          <w:b/>
          <w:sz w:val="20"/>
          <w:szCs w:val="20"/>
        </w:rPr>
      </w:pPr>
      <w:r w:rsidRPr="00CB7600">
        <w:rPr>
          <w:rFonts w:ascii="Arial" w:hAnsi="Arial" w:cs="Arial"/>
          <w:b/>
        </w:rPr>
        <w:fldChar w:fldCharType="end"/>
      </w:r>
      <w:r w:rsidR="00576ED0" w:rsidRPr="00CA6C07">
        <w:rPr>
          <w:rFonts w:ascii="Arial" w:hAnsi="Arial" w:cs="Arial"/>
          <w:b/>
          <w:sz w:val="20"/>
          <w:szCs w:val="20"/>
        </w:rPr>
        <w:br w:type="page"/>
      </w:r>
    </w:p>
    <w:p w:rsidR="00576ED0" w:rsidRPr="00CA6C07" w:rsidRDefault="00576ED0" w:rsidP="001D06D8">
      <w:pPr>
        <w:pStyle w:val="Heading1"/>
        <w:jc w:val="both"/>
      </w:pPr>
      <w:bookmarkStart w:id="0" w:name="_Toc353434675"/>
      <w:r w:rsidRPr="00CA6C07">
        <w:t>Introduction</w:t>
      </w:r>
      <w:bookmarkEnd w:id="0"/>
    </w:p>
    <w:p w:rsidR="00D17563" w:rsidRPr="002C0E70" w:rsidRDefault="00D17563" w:rsidP="001D06D8">
      <w:pPr>
        <w:jc w:val="both"/>
        <w:rPr>
          <w:rFonts w:ascii="Arial" w:hAnsi="Arial" w:cs="Arial"/>
          <w:sz w:val="21"/>
          <w:szCs w:val="21"/>
        </w:rPr>
      </w:pPr>
    </w:p>
    <w:p w:rsidR="005D0EE2" w:rsidRPr="003C1BA1" w:rsidRDefault="000D6071" w:rsidP="001D06D8">
      <w:pPr>
        <w:autoSpaceDE w:val="0"/>
        <w:autoSpaceDN w:val="0"/>
        <w:adjustRightInd w:val="0"/>
        <w:jc w:val="both"/>
        <w:rPr>
          <w:rFonts w:ascii="Arial" w:hAnsi="Arial" w:cs="Arial"/>
          <w:lang w:eastAsia="en-AU"/>
        </w:rPr>
      </w:pPr>
      <w:r w:rsidRPr="003C1BA1">
        <w:rPr>
          <w:rFonts w:ascii="Arial" w:hAnsi="Arial" w:cs="Arial"/>
          <w:highlight w:val="white"/>
          <w:lang w:eastAsia="en-AU"/>
        </w:rPr>
        <w:t>As part of the</w:t>
      </w:r>
      <w:r w:rsidR="006663BD" w:rsidRPr="003C1BA1">
        <w:rPr>
          <w:rFonts w:ascii="Arial" w:hAnsi="Arial" w:cs="Arial"/>
          <w:highlight w:val="white"/>
          <w:lang w:eastAsia="en-AU"/>
        </w:rPr>
        <w:t xml:space="preserve"> National Transport Commission</w:t>
      </w:r>
      <w:r w:rsidR="00087376" w:rsidRPr="003C1BA1">
        <w:rPr>
          <w:rFonts w:ascii="Arial" w:hAnsi="Arial" w:cs="Arial"/>
          <w:highlight w:val="white"/>
          <w:lang w:eastAsia="en-AU"/>
        </w:rPr>
        <w:t>’s</w:t>
      </w:r>
      <w:r w:rsidR="006663BD" w:rsidRPr="003C1BA1">
        <w:rPr>
          <w:rFonts w:ascii="Arial" w:hAnsi="Arial" w:cs="Arial"/>
          <w:highlight w:val="white"/>
          <w:lang w:eastAsia="en-AU"/>
        </w:rPr>
        <w:t xml:space="preserve"> (NTC)</w:t>
      </w:r>
      <w:r w:rsidR="00246781" w:rsidRPr="003C1BA1">
        <w:rPr>
          <w:rFonts w:ascii="Arial" w:hAnsi="Arial" w:cs="Arial"/>
          <w:highlight w:val="white"/>
          <w:lang w:eastAsia="en-AU"/>
        </w:rPr>
        <w:t xml:space="preserve"> </w:t>
      </w:r>
      <w:r w:rsidR="0098674A" w:rsidRPr="003C1BA1">
        <w:rPr>
          <w:rFonts w:ascii="Arial" w:hAnsi="Arial" w:cs="Arial"/>
          <w:i/>
          <w:highlight w:val="white"/>
          <w:lang w:eastAsia="en-AU"/>
        </w:rPr>
        <w:t>R</w:t>
      </w:r>
      <w:r w:rsidR="006663BD" w:rsidRPr="003C1BA1">
        <w:rPr>
          <w:rFonts w:ascii="Arial" w:hAnsi="Arial" w:cs="Arial"/>
          <w:i/>
          <w:highlight w:val="white"/>
          <w:lang w:eastAsia="en-AU"/>
        </w:rPr>
        <w:t xml:space="preserve">eview of </w:t>
      </w:r>
      <w:r w:rsidR="0098674A" w:rsidRPr="003C1BA1">
        <w:rPr>
          <w:rFonts w:ascii="Arial" w:hAnsi="Arial" w:cs="Arial"/>
          <w:i/>
          <w:highlight w:val="white"/>
          <w:lang w:eastAsia="en-AU"/>
        </w:rPr>
        <w:t>H</w:t>
      </w:r>
      <w:r w:rsidR="006663BD" w:rsidRPr="003C1BA1">
        <w:rPr>
          <w:rFonts w:ascii="Arial" w:hAnsi="Arial" w:cs="Arial"/>
          <w:i/>
          <w:highlight w:val="white"/>
          <w:lang w:eastAsia="en-AU"/>
        </w:rPr>
        <w:t xml:space="preserve">eavy </w:t>
      </w:r>
      <w:r w:rsidR="00246781" w:rsidRPr="003C1BA1">
        <w:rPr>
          <w:rFonts w:ascii="Arial" w:hAnsi="Arial" w:cs="Arial"/>
          <w:i/>
          <w:highlight w:val="white"/>
          <w:lang w:eastAsia="en-AU"/>
        </w:rPr>
        <w:t>V</w:t>
      </w:r>
      <w:r w:rsidR="006663BD" w:rsidRPr="003C1BA1">
        <w:rPr>
          <w:rFonts w:ascii="Arial" w:hAnsi="Arial" w:cs="Arial"/>
          <w:i/>
          <w:highlight w:val="white"/>
          <w:lang w:eastAsia="en-AU"/>
        </w:rPr>
        <w:t xml:space="preserve">ehicle </w:t>
      </w:r>
      <w:r w:rsidR="0098674A" w:rsidRPr="003C1BA1">
        <w:rPr>
          <w:rFonts w:ascii="Arial" w:hAnsi="Arial" w:cs="Arial"/>
          <w:i/>
          <w:lang w:eastAsia="en-AU"/>
        </w:rPr>
        <w:t>C</w:t>
      </w:r>
      <w:r w:rsidR="003C7BEC" w:rsidRPr="003C1BA1">
        <w:rPr>
          <w:rFonts w:ascii="Arial" w:hAnsi="Arial" w:cs="Arial"/>
          <w:i/>
          <w:lang w:eastAsia="en-AU"/>
        </w:rPr>
        <w:t>ompliance</w:t>
      </w:r>
      <w:r w:rsidRPr="003C1BA1">
        <w:rPr>
          <w:rFonts w:ascii="Arial" w:hAnsi="Arial" w:cs="Arial"/>
          <w:lang w:eastAsia="en-AU"/>
        </w:rPr>
        <w:t xml:space="preserve">, it </w:t>
      </w:r>
      <w:r w:rsidR="003C7BEC" w:rsidRPr="003C1BA1">
        <w:rPr>
          <w:rFonts w:ascii="Arial" w:hAnsi="Arial" w:cs="Arial"/>
          <w:lang w:eastAsia="en-AU"/>
        </w:rPr>
        <w:t>released a draft</w:t>
      </w:r>
      <w:r w:rsidRPr="003C1BA1">
        <w:rPr>
          <w:rFonts w:ascii="Arial" w:hAnsi="Arial" w:cs="Arial"/>
          <w:lang w:eastAsia="en-AU"/>
        </w:rPr>
        <w:t xml:space="preserve"> </w:t>
      </w:r>
      <w:r w:rsidR="002C1DF4">
        <w:rPr>
          <w:rFonts w:ascii="Arial" w:hAnsi="Arial" w:cs="Arial"/>
          <w:lang w:eastAsia="en-AU"/>
        </w:rPr>
        <w:t xml:space="preserve">consultation </w:t>
      </w:r>
      <w:r w:rsidRPr="003C1BA1">
        <w:rPr>
          <w:rFonts w:ascii="Arial" w:hAnsi="Arial" w:cs="Arial"/>
          <w:lang w:eastAsia="en-AU"/>
        </w:rPr>
        <w:t>paper</w:t>
      </w:r>
      <w:r w:rsidR="003C7BEC" w:rsidRPr="003C1BA1">
        <w:rPr>
          <w:rFonts w:ascii="Arial" w:hAnsi="Arial" w:cs="Arial"/>
          <w:lang w:eastAsia="en-AU"/>
        </w:rPr>
        <w:t xml:space="preserve"> </w:t>
      </w:r>
      <w:r w:rsidR="00DF4865" w:rsidRPr="003C1BA1">
        <w:rPr>
          <w:rFonts w:ascii="Arial" w:hAnsi="Arial" w:cs="Arial"/>
          <w:lang w:eastAsia="en-AU"/>
        </w:rPr>
        <w:t xml:space="preserve">for </w:t>
      </w:r>
      <w:r w:rsidR="003C7BEC" w:rsidRPr="003C1BA1">
        <w:rPr>
          <w:rFonts w:ascii="Arial" w:hAnsi="Arial" w:cs="Arial"/>
          <w:lang w:eastAsia="en-AU"/>
        </w:rPr>
        <w:t xml:space="preserve">public </w:t>
      </w:r>
      <w:r w:rsidR="00DF4865" w:rsidRPr="003C1BA1">
        <w:rPr>
          <w:rFonts w:ascii="Arial" w:hAnsi="Arial" w:cs="Arial"/>
          <w:lang w:eastAsia="en-AU"/>
        </w:rPr>
        <w:t>comment</w:t>
      </w:r>
      <w:r w:rsidR="0098674A" w:rsidRPr="003C1BA1">
        <w:rPr>
          <w:rFonts w:ascii="Arial" w:hAnsi="Arial" w:cs="Arial"/>
          <w:lang w:eastAsia="en-AU"/>
        </w:rPr>
        <w:t xml:space="preserve"> in September 2013</w:t>
      </w:r>
      <w:r w:rsidR="003C7BEC" w:rsidRPr="003C1BA1">
        <w:rPr>
          <w:rFonts w:ascii="Arial" w:hAnsi="Arial" w:cs="Arial"/>
          <w:lang w:eastAsia="en-AU"/>
        </w:rPr>
        <w:t xml:space="preserve">. </w:t>
      </w:r>
      <w:r w:rsidR="00DF4865" w:rsidRPr="003C1BA1">
        <w:rPr>
          <w:rFonts w:ascii="Arial" w:hAnsi="Arial" w:cs="Arial"/>
          <w:lang w:eastAsia="en-AU"/>
        </w:rPr>
        <w:t>T</w:t>
      </w:r>
      <w:r w:rsidR="003C7BEC" w:rsidRPr="003C1BA1">
        <w:rPr>
          <w:rFonts w:ascii="Arial" w:hAnsi="Arial" w:cs="Arial"/>
          <w:lang w:eastAsia="en-AU"/>
        </w:rPr>
        <w:t>his</w:t>
      </w:r>
      <w:r w:rsidR="00572ACE" w:rsidRPr="003C1BA1">
        <w:rPr>
          <w:rFonts w:ascii="Arial" w:hAnsi="Arial" w:cs="Arial"/>
          <w:lang w:eastAsia="en-AU"/>
        </w:rPr>
        <w:t xml:space="preserve"> </w:t>
      </w:r>
      <w:r w:rsidRPr="003C1BA1">
        <w:rPr>
          <w:rFonts w:ascii="Arial" w:hAnsi="Arial" w:cs="Arial"/>
          <w:lang w:eastAsia="en-AU"/>
        </w:rPr>
        <w:t xml:space="preserve">submission </w:t>
      </w:r>
      <w:r w:rsidR="003C7BEC" w:rsidRPr="003C1BA1">
        <w:rPr>
          <w:rFonts w:ascii="Arial" w:hAnsi="Arial" w:cs="Arial"/>
          <w:lang w:eastAsia="en-AU"/>
        </w:rPr>
        <w:t xml:space="preserve">is a </w:t>
      </w:r>
      <w:r w:rsidR="00E31166" w:rsidRPr="003C1BA1">
        <w:rPr>
          <w:rFonts w:ascii="Arial" w:hAnsi="Arial" w:cs="Arial"/>
          <w:lang w:eastAsia="en-AU"/>
        </w:rPr>
        <w:t xml:space="preserve">response </w:t>
      </w:r>
      <w:r w:rsidR="00DF4865" w:rsidRPr="003C1BA1">
        <w:rPr>
          <w:rFonts w:ascii="Arial" w:hAnsi="Arial" w:cs="Arial"/>
          <w:lang w:eastAsia="en-AU"/>
        </w:rPr>
        <w:t>from the Australian</w:t>
      </w:r>
      <w:r w:rsidR="00F35A01">
        <w:rPr>
          <w:rFonts w:ascii="Arial" w:hAnsi="Arial" w:cs="Arial"/>
          <w:lang w:eastAsia="en-AU"/>
        </w:rPr>
        <w:t xml:space="preserve"> </w:t>
      </w:r>
      <w:r w:rsidR="00DF4865" w:rsidRPr="003C1BA1">
        <w:rPr>
          <w:rFonts w:ascii="Arial" w:hAnsi="Arial" w:cs="Arial"/>
          <w:lang w:eastAsia="en-AU"/>
        </w:rPr>
        <w:t xml:space="preserve">Trucking Association </w:t>
      </w:r>
      <w:r w:rsidR="00572ACE" w:rsidRPr="003C1BA1">
        <w:rPr>
          <w:rFonts w:ascii="Arial" w:hAnsi="Arial" w:cs="Arial"/>
          <w:lang w:eastAsia="en-AU"/>
        </w:rPr>
        <w:t xml:space="preserve">(ATA) </w:t>
      </w:r>
      <w:r w:rsidR="003C7BEC" w:rsidRPr="003C1BA1">
        <w:rPr>
          <w:rFonts w:ascii="Arial" w:hAnsi="Arial" w:cs="Arial"/>
          <w:lang w:eastAsia="en-AU"/>
        </w:rPr>
        <w:t>to the NTC</w:t>
      </w:r>
      <w:r w:rsidRPr="003C1BA1">
        <w:rPr>
          <w:rFonts w:ascii="Arial" w:hAnsi="Arial" w:cs="Arial"/>
          <w:lang w:eastAsia="en-AU"/>
        </w:rPr>
        <w:t>’s</w:t>
      </w:r>
      <w:r w:rsidR="003C7BEC" w:rsidRPr="003C1BA1">
        <w:rPr>
          <w:rFonts w:ascii="Arial" w:hAnsi="Arial" w:cs="Arial"/>
          <w:lang w:eastAsia="en-AU"/>
        </w:rPr>
        <w:t xml:space="preserve"> </w:t>
      </w:r>
      <w:r w:rsidR="0098674A" w:rsidRPr="003C1BA1">
        <w:rPr>
          <w:rFonts w:ascii="Arial" w:hAnsi="Arial" w:cs="Arial"/>
          <w:lang w:eastAsia="en-AU"/>
        </w:rPr>
        <w:t>invitation</w:t>
      </w:r>
      <w:r w:rsidR="00DF4865" w:rsidRPr="003C1BA1">
        <w:rPr>
          <w:rFonts w:ascii="Arial" w:hAnsi="Arial" w:cs="Arial"/>
          <w:lang w:eastAsia="en-AU"/>
        </w:rPr>
        <w:t xml:space="preserve"> </w:t>
      </w:r>
      <w:r w:rsidR="003C7BEC" w:rsidRPr="003C1BA1">
        <w:rPr>
          <w:rFonts w:ascii="Arial" w:hAnsi="Arial" w:cs="Arial"/>
          <w:lang w:eastAsia="en-AU"/>
        </w:rPr>
        <w:t xml:space="preserve">for </w:t>
      </w:r>
      <w:r w:rsidR="0098674A" w:rsidRPr="003C1BA1">
        <w:rPr>
          <w:rFonts w:ascii="Arial" w:hAnsi="Arial" w:cs="Arial"/>
          <w:lang w:eastAsia="en-AU"/>
        </w:rPr>
        <w:t xml:space="preserve">industry </w:t>
      </w:r>
      <w:r w:rsidR="00E31166" w:rsidRPr="003C1BA1">
        <w:rPr>
          <w:rFonts w:ascii="Arial" w:hAnsi="Arial" w:cs="Arial"/>
          <w:lang w:eastAsia="en-AU"/>
        </w:rPr>
        <w:t xml:space="preserve">submissions on the draft </w:t>
      </w:r>
      <w:r w:rsidRPr="003C1BA1">
        <w:rPr>
          <w:rFonts w:ascii="Arial" w:hAnsi="Arial" w:cs="Arial"/>
          <w:lang w:eastAsia="en-AU"/>
        </w:rPr>
        <w:t>paper</w:t>
      </w:r>
      <w:r w:rsidR="003C7BEC" w:rsidRPr="003C1BA1">
        <w:rPr>
          <w:rFonts w:ascii="Arial" w:hAnsi="Arial" w:cs="Arial"/>
          <w:lang w:eastAsia="en-AU"/>
        </w:rPr>
        <w:t>.</w:t>
      </w:r>
    </w:p>
    <w:p w:rsidR="00511253" w:rsidRPr="003C1BA1" w:rsidRDefault="00511253" w:rsidP="001D06D8">
      <w:pPr>
        <w:autoSpaceDE w:val="0"/>
        <w:autoSpaceDN w:val="0"/>
        <w:adjustRightInd w:val="0"/>
        <w:jc w:val="both"/>
        <w:rPr>
          <w:rFonts w:ascii="Arial" w:hAnsi="Arial" w:cs="Arial"/>
          <w:lang w:eastAsia="en-AU"/>
        </w:rPr>
      </w:pPr>
    </w:p>
    <w:p w:rsidR="00D20F92" w:rsidRDefault="00D20F92" w:rsidP="001D06D8">
      <w:pPr>
        <w:autoSpaceDE w:val="0"/>
        <w:autoSpaceDN w:val="0"/>
        <w:adjustRightInd w:val="0"/>
        <w:rPr>
          <w:rFonts w:ascii="Arial" w:hAnsi="Arial" w:cs="Arial"/>
          <w:b/>
          <w:lang w:eastAsia="en-AU"/>
        </w:rPr>
      </w:pPr>
      <w:r w:rsidRPr="003C1BA1">
        <w:rPr>
          <w:rFonts w:ascii="Arial" w:hAnsi="Arial" w:cs="Arial"/>
          <w:b/>
          <w:lang w:eastAsia="en-AU"/>
        </w:rPr>
        <w:t>1.</w:t>
      </w:r>
      <w:r w:rsidR="0040200B" w:rsidRPr="003C1BA1">
        <w:rPr>
          <w:rFonts w:ascii="Arial" w:hAnsi="Arial" w:cs="Arial"/>
          <w:b/>
          <w:lang w:eastAsia="en-AU"/>
        </w:rPr>
        <w:t>1</w:t>
      </w:r>
      <w:r w:rsidRPr="003C1BA1">
        <w:rPr>
          <w:rFonts w:ascii="Arial" w:hAnsi="Arial" w:cs="Arial"/>
          <w:b/>
          <w:lang w:eastAsia="en-AU"/>
        </w:rPr>
        <w:t xml:space="preserve"> </w:t>
      </w:r>
      <w:r w:rsidR="0040200B" w:rsidRPr="003C1BA1">
        <w:rPr>
          <w:rFonts w:ascii="Arial" w:hAnsi="Arial" w:cs="Arial"/>
          <w:b/>
          <w:lang w:eastAsia="en-AU"/>
        </w:rPr>
        <w:t xml:space="preserve"> Review </w:t>
      </w:r>
      <w:r w:rsidRPr="003C1BA1">
        <w:rPr>
          <w:rFonts w:ascii="Arial" w:hAnsi="Arial" w:cs="Arial"/>
          <w:b/>
          <w:lang w:eastAsia="en-AU"/>
        </w:rPr>
        <w:t>Objective</w:t>
      </w:r>
    </w:p>
    <w:p w:rsidR="003C1BA1" w:rsidRPr="003C1BA1" w:rsidRDefault="003C1BA1" w:rsidP="001D06D8">
      <w:pPr>
        <w:autoSpaceDE w:val="0"/>
        <w:autoSpaceDN w:val="0"/>
        <w:adjustRightInd w:val="0"/>
        <w:rPr>
          <w:rFonts w:ascii="Arial" w:hAnsi="Arial" w:cs="Arial"/>
          <w:b/>
          <w:lang w:eastAsia="en-AU"/>
        </w:rPr>
      </w:pPr>
    </w:p>
    <w:p w:rsidR="00D20F92" w:rsidRDefault="00D20F92" w:rsidP="001D06D8">
      <w:pPr>
        <w:autoSpaceDE w:val="0"/>
        <w:autoSpaceDN w:val="0"/>
        <w:adjustRightInd w:val="0"/>
        <w:rPr>
          <w:rFonts w:ascii="Arial" w:hAnsi="Arial" w:cs="Arial"/>
          <w:lang w:eastAsia="en-AU"/>
        </w:rPr>
      </w:pPr>
      <w:r w:rsidRPr="003C1BA1">
        <w:rPr>
          <w:rFonts w:ascii="Arial" w:hAnsi="Arial" w:cs="Arial"/>
          <w:lang w:eastAsia="en-AU"/>
        </w:rPr>
        <w:t xml:space="preserve">The </w:t>
      </w:r>
      <w:r w:rsidR="003C1BA1">
        <w:rPr>
          <w:rFonts w:ascii="Arial" w:hAnsi="Arial" w:cs="Arial"/>
          <w:lang w:eastAsia="en-AU"/>
        </w:rPr>
        <w:t xml:space="preserve">stated </w:t>
      </w:r>
      <w:r w:rsidRPr="003C1BA1">
        <w:rPr>
          <w:rFonts w:ascii="Arial" w:hAnsi="Arial" w:cs="Arial"/>
          <w:lang w:eastAsia="en-AU"/>
        </w:rPr>
        <w:t>objectives of the NTC review are:</w:t>
      </w:r>
    </w:p>
    <w:p w:rsidR="009374BF" w:rsidRPr="003C1BA1" w:rsidRDefault="009374BF" w:rsidP="001D06D8">
      <w:pPr>
        <w:autoSpaceDE w:val="0"/>
        <w:autoSpaceDN w:val="0"/>
        <w:adjustRightInd w:val="0"/>
        <w:rPr>
          <w:rFonts w:ascii="Arial" w:hAnsi="Arial" w:cs="Arial"/>
          <w:lang w:eastAsia="en-AU"/>
        </w:rPr>
      </w:pPr>
    </w:p>
    <w:p w:rsidR="00D20F92" w:rsidRPr="003C1BA1" w:rsidRDefault="00D20F92" w:rsidP="001D06D8">
      <w:pPr>
        <w:pStyle w:val="ListParagraph"/>
        <w:numPr>
          <w:ilvl w:val="0"/>
          <w:numId w:val="4"/>
        </w:numPr>
        <w:autoSpaceDE w:val="0"/>
        <w:autoSpaceDN w:val="0"/>
        <w:adjustRightInd w:val="0"/>
        <w:spacing w:after="0" w:line="240" w:lineRule="auto"/>
        <w:rPr>
          <w:rFonts w:ascii="Arial" w:hAnsi="Arial" w:cs="Arial"/>
          <w:lang w:eastAsia="en-AU"/>
        </w:rPr>
      </w:pPr>
      <w:r w:rsidRPr="003C1BA1">
        <w:rPr>
          <w:rFonts w:ascii="Arial" w:hAnsi="Arial" w:cs="Arial"/>
          <w:b/>
          <w:lang w:eastAsia="en-AU"/>
        </w:rPr>
        <w:t>To explore motivations for non-compliance</w:t>
      </w:r>
      <w:r w:rsidRPr="003C1BA1">
        <w:rPr>
          <w:rFonts w:ascii="Arial" w:hAnsi="Arial" w:cs="Arial"/>
          <w:lang w:eastAsia="en-AU"/>
        </w:rPr>
        <w:t xml:space="preserve"> as revealed by structured interviews with drivers, operators, peak bodies and enforcement officers; roadside observation and a review of the relevant literature.</w:t>
      </w:r>
    </w:p>
    <w:p w:rsidR="00D20F92" w:rsidRPr="003C1BA1" w:rsidRDefault="00D20F92" w:rsidP="001D06D8">
      <w:pPr>
        <w:pStyle w:val="ListParagraph"/>
        <w:numPr>
          <w:ilvl w:val="0"/>
          <w:numId w:val="4"/>
        </w:numPr>
        <w:autoSpaceDE w:val="0"/>
        <w:autoSpaceDN w:val="0"/>
        <w:adjustRightInd w:val="0"/>
        <w:spacing w:after="0" w:line="240" w:lineRule="auto"/>
        <w:rPr>
          <w:rFonts w:ascii="Arial" w:hAnsi="Arial" w:cs="Arial"/>
          <w:lang w:eastAsia="en-AU"/>
        </w:rPr>
      </w:pPr>
      <w:r w:rsidRPr="003C1BA1">
        <w:rPr>
          <w:rFonts w:ascii="Arial" w:hAnsi="Arial" w:cs="Arial"/>
          <w:b/>
          <w:lang w:eastAsia="en-AU"/>
        </w:rPr>
        <w:t>To analyse the powers to secure compliance contained within the HVNL</w:t>
      </w:r>
      <w:r w:rsidRPr="003C1BA1">
        <w:rPr>
          <w:rFonts w:ascii="Arial" w:hAnsi="Arial" w:cs="Arial"/>
          <w:lang w:eastAsia="en-AU"/>
        </w:rPr>
        <w:t>; assess where and how they are currently used (and any limitations therein) and the extent to which they ‘capture’ and address the motivations for non compliance.</w:t>
      </w:r>
    </w:p>
    <w:p w:rsidR="00D20F92" w:rsidRPr="003C1BA1" w:rsidRDefault="00D20F92" w:rsidP="001D06D8">
      <w:pPr>
        <w:pStyle w:val="ListParagraph"/>
        <w:numPr>
          <w:ilvl w:val="0"/>
          <w:numId w:val="4"/>
        </w:numPr>
        <w:autoSpaceDE w:val="0"/>
        <w:autoSpaceDN w:val="0"/>
        <w:adjustRightInd w:val="0"/>
        <w:spacing w:after="0" w:line="240" w:lineRule="auto"/>
        <w:rPr>
          <w:rFonts w:ascii="Arial" w:hAnsi="Arial" w:cs="Arial"/>
          <w:lang w:eastAsia="en-AU"/>
        </w:rPr>
      </w:pPr>
      <w:r w:rsidRPr="003C1BA1">
        <w:rPr>
          <w:rFonts w:ascii="Arial" w:hAnsi="Arial" w:cs="Arial"/>
          <w:lang w:eastAsia="en-AU"/>
        </w:rPr>
        <w:t xml:space="preserve">Consider where and </w:t>
      </w:r>
      <w:r w:rsidRPr="00D312C9">
        <w:rPr>
          <w:rFonts w:ascii="Arial" w:hAnsi="Arial" w:cs="Arial"/>
          <w:b/>
          <w:lang w:eastAsia="en-AU"/>
        </w:rPr>
        <w:t>how the application</w:t>
      </w:r>
      <w:r w:rsidRPr="003C1BA1">
        <w:rPr>
          <w:rFonts w:ascii="Arial" w:hAnsi="Arial" w:cs="Arial"/>
          <w:b/>
          <w:lang w:eastAsia="en-AU"/>
        </w:rPr>
        <w:t xml:space="preserve"> of technology and meta-regulation may influence the compliance</w:t>
      </w:r>
      <w:r w:rsidRPr="003C1BA1">
        <w:rPr>
          <w:rFonts w:ascii="Arial" w:hAnsi="Arial" w:cs="Arial"/>
          <w:lang w:eastAsia="en-AU"/>
        </w:rPr>
        <w:t xml:space="preserve"> </w:t>
      </w:r>
      <w:r w:rsidRPr="00D312C9">
        <w:rPr>
          <w:rFonts w:ascii="Arial" w:hAnsi="Arial" w:cs="Arial"/>
          <w:b/>
          <w:lang w:eastAsia="en-AU"/>
        </w:rPr>
        <w:t>landscape</w:t>
      </w:r>
      <w:r w:rsidRPr="003C1BA1">
        <w:rPr>
          <w:rFonts w:ascii="Arial" w:hAnsi="Arial" w:cs="Arial"/>
          <w:lang w:eastAsia="en-AU"/>
        </w:rPr>
        <w:t>.</w:t>
      </w:r>
    </w:p>
    <w:p w:rsidR="00D20F92" w:rsidRPr="003C1BA1" w:rsidRDefault="00D20F92" w:rsidP="001D06D8">
      <w:pPr>
        <w:pStyle w:val="ListParagraph"/>
        <w:numPr>
          <w:ilvl w:val="0"/>
          <w:numId w:val="4"/>
        </w:numPr>
        <w:autoSpaceDE w:val="0"/>
        <w:autoSpaceDN w:val="0"/>
        <w:adjustRightInd w:val="0"/>
        <w:spacing w:after="0" w:line="240" w:lineRule="auto"/>
        <w:rPr>
          <w:rFonts w:ascii="Arial" w:hAnsi="Arial" w:cs="Arial"/>
          <w:lang w:eastAsia="en-AU"/>
        </w:rPr>
      </w:pPr>
      <w:r w:rsidRPr="003C1BA1">
        <w:rPr>
          <w:rFonts w:ascii="Arial" w:hAnsi="Arial" w:cs="Arial"/>
          <w:b/>
          <w:lang w:eastAsia="en-AU"/>
        </w:rPr>
        <w:t>Map out the interdependencies in the various initiatives current within the compliance and enforcement</w:t>
      </w:r>
      <w:r w:rsidRPr="003C1BA1">
        <w:rPr>
          <w:rFonts w:ascii="Arial" w:hAnsi="Arial" w:cs="Arial"/>
          <w:lang w:eastAsia="en-AU"/>
        </w:rPr>
        <w:t xml:space="preserve"> </w:t>
      </w:r>
      <w:r w:rsidRPr="00D058AB">
        <w:rPr>
          <w:rFonts w:ascii="Arial" w:hAnsi="Arial" w:cs="Arial"/>
          <w:b/>
          <w:lang w:eastAsia="en-AU"/>
        </w:rPr>
        <w:t>space</w:t>
      </w:r>
      <w:r w:rsidRPr="003C1BA1">
        <w:rPr>
          <w:rFonts w:ascii="Arial" w:hAnsi="Arial" w:cs="Arial"/>
          <w:lang w:eastAsia="en-AU"/>
        </w:rPr>
        <w:t xml:space="preserve">, including who is doing what. This includes the chain of responsibility (CoR) Review, Penalties Review, electronic work diary pilot, Five Star Trucking pilot and the compliance and enforcement (C&amp;E) work packages being delivered by the NHVR. </w:t>
      </w:r>
    </w:p>
    <w:p w:rsidR="00383000" w:rsidRPr="003C1BA1" w:rsidRDefault="00D20F92" w:rsidP="001D06D8">
      <w:pPr>
        <w:pStyle w:val="ListParagraph"/>
        <w:numPr>
          <w:ilvl w:val="0"/>
          <w:numId w:val="4"/>
        </w:numPr>
        <w:autoSpaceDE w:val="0"/>
        <w:autoSpaceDN w:val="0"/>
        <w:adjustRightInd w:val="0"/>
        <w:spacing w:after="0" w:line="240" w:lineRule="auto"/>
        <w:rPr>
          <w:rFonts w:ascii="Arial" w:hAnsi="Arial" w:cs="Arial"/>
          <w:lang w:eastAsia="en-AU"/>
        </w:rPr>
      </w:pPr>
      <w:r w:rsidRPr="003C1BA1">
        <w:rPr>
          <w:rFonts w:ascii="Arial" w:hAnsi="Arial" w:cs="Arial"/>
          <w:b/>
          <w:lang w:eastAsia="en-AU"/>
        </w:rPr>
        <w:t>Make</w:t>
      </w:r>
      <w:r w:rsidRPr="003C1BA1">
        <w:rPr>
          <w:rFonts w:ascii="Arial" w:hAnsi="Arial" w:cs="Arial"/>
          <w:lang w:eastAsia="en-AU"/>
        </w:rPr>
        <w:t xml:space="preserve"> </w:t>
      </w:r>
      <w:r w:rsidRPr="003C1BA1">
        <w:rPr>
          <w:rFonts w:ascii="Arial" w:hAnsi="Arial" w:cs="Arial"/>
          <w:b/>
          <w:lang w:eastAsia="en-AU"/>
        </w:rPr>
        <w:t>recommendations to promote compliance</w:t>
      </w:r>
      <w:r w:rsidRPr="003C1BA1">
        <w:rPr>
          <w:rFonts w:ascii="Arial" w:hAnsi="Arial" w:cs="Arial"/>
          <w:lang w:eastAsia="en-AU"/>
        </w:rPr>
        <w:t xml:space="preserve">. </w:t>
      </w:r>
    </w:p>
    <w:p w:rsidR="001D06D8" w:rsidRPr="003C1BA1" w:rsidRDefault="001D06D8" w:rsidP="001D06D8">
      <w:pPr>
        <w:autoSpaceDE w:val="0"/>
        <w:autoSpaceDN w:val="0"/>
        <w:adjustRightInd w:val="0"/>
        <w:rPr>
          <w:rFonts w:ascii="Arial" w:hAnsi="Arial" w:cs="Arial"/>
          <w:lang w:eastAsia="en-AU"/>
        </w:rPr>
      </w:pPr>
    </w:p>
    <w:p w:rsidR="003A01F1" w:rsidRPr="003C1BA1" w:rsidRDefault="0031415B" w:rsidP="001D06D8">
      <w:pPr>
        <w:autoSpaceDE w:val="0"/>
        <w:autoSpaceDN w:val="0"/>
        <w:adjustRightInd w:val="0"/>
        <w:rPr>
          <w:rFonts w:ascii="Arial" w:hAnsi="Arial" w:cs="Arial"/>
          <w:lang w:eastAsia="en-AU"/>
        </w:rPr>
      </w:pPr>
      <w:r>
        <w:rPr>
          <w:rFonts w:ascii="Arial" w:hAnsi="Arial" w:cs="Arial"/>
          <w:lang w:eastAsia="en-AU"/>
        </w:rPr>
        <w:t>In summary, the c</w:t>
      </w:r>
      <w:r w:rsidR="003A01F1" w:rsidRPr="003C1BA1">
        <w:rPr>
          <w:rFonts w:ascii="Arial" w:hAnsi="Arial" w:cs="Arial"/>
          <w:lang w:eastAsia="en-AU"/>
        </w:rPr>
        <w:t xml:space="preserve">onsultation </w:t>
      </w:r>
      <w:r>
        <w:rPr>
          <w:rFonts w:ascii="Arial" w:hAnsi="Arial" w:cs="Arial"/>
          <w:lang w:eastAsia="en-AU"/>
        </w:rPr>
        <w:t>d</w:t>
      </w:r>
      <w:r w:rsidR="003A01F1" w:rsidRPr="003C1BA1">
        <w:rPr>
          <w:rFonts w:ascii="Arial" w:hAnsi="Arial" w:cs="Arial"/>
          <w:lang w:eastAsia="en-AU"/>
        </w:rPr>
        <w:t xml:space="preserve">raft for the NTC Heavy Vehicle Compliance Review is welcomed with some </w:t>
      </w:r>
      <w:r w:rsidR="003C1BA1">
        <w:rPr>
          <w:rFonts w:ascii="Arial" w:hAnsi="Arial" w:cs="Arial"/>
          <w:lang w:eastAsia="en-AU"/>
        </w:rPr>
        <w:t xml:space="preserve">important </w:t>
      </w:r>
      <w:r w:rsidR="003A01F1" w:rsidRPr="003C1BA1">
        <w:rPr>
          <w:rFonts w:ascii="Arial" w:hAnsi="Arial" w:cs="Arial"/>
          <w:lang w:eastAsia="en-AU"/>
        </w:rPr>
        <w:t xml:space="preserve">caveats. ATA recommendations are listed in full in </w:t>
      </w:r>
      <w:r w:rsidR="003A01F1" w:rsidRPr="003C1BA1">
        <w:rPr>
          <w:rFonts w:ascii="Arial" w:hAnsi="Arial" w:cs="Arial"/>
          <w:b/>
        </w:rPr>
        <w:t>Part 3</w:t>
      </w:r>
      <w:r w:rsidR="003A01F1" w:rsidRPr="003C1BA1">
        <w:rPr>
          <w:rFonts w:ascii="Arial" w:hAnsi="Arial" w:cs="Arial"/>
          <w:b/>
          <w:color w:val="000064"/>
        </w:rPr>
        <w:t xml:space="preserve"> </w:t>
      </w:r>
      <w:r w:rsidR="003A01F1" w:rsidRPr="003C1BA1">
        <w:rPr>
          <w:rFonts w:ascii="Arial" w:hAnsi="Arial" w:cs="Arial"/>
          <w:lang w:eastAsia="en-AU"/>
        </w:rPr>
        <w:t>below.</w:t>
      </w:r>
    </w:p>
    <w:p w:rsidR="003A01F1" w:rsidRPr="003C1BA1" w:rsidRDefault="003A01F1" w:rsidP="001D06D8">
      <w:pPr>
        <w:autoSpaceDE w:val="0"/>
        <w:autoSpaceDN w:val="0"/>
        <w:adjustRightInd w:val="0"/>
        <w:rPr>
          <w:rFonts w:ascii="Arial" w:hAnsi="Arial" w:cs="Arial"/>
          <w:lang w:eastAsia="en-AU"/>
        </w:rPr>
      </w:pPr>
    </w:p>
    <w:p w:rsidR="009B5BAB" w:rsidRPr="003C1BA1" w:rsidRDefault="003A01F1" w:rsidP="00037274">
      <w:pPr>
        <w:autoSpaceDE w:val="0"/>
        <w:autoSpaceDN w:val="0"/>
        <w:adjustRightInd w:val="0"/>
        <w:rPr>
          <w:rFonts w:ascii="Arial" w:hAnsi="Arial" w:cs="Arial"/>
          <w:lang w:eastAsia="en-AU"/>
        </w:rPr>
      </w:pPr>
      <w:r w:rsidRPr="003C1BA1">
        <w:rPr>
          <w:rFonts w:ascii="Arial" w:hAnsi="Arial" w:cs="Arial"/>
          <w:lang w:eastAsia="en-AU"/>
        </w:rPr>
        <w:t>For the purposes of th</w:t>
      </w:r>
      <w:r w:rsidR="00037274">
        <w:rPr>
          <w:rFonts w:ascii="Arial" w:hAnsi="Arial" w:cs="Arial"/>
          <w:lang w:eastAsia="en-AU"/>
        </w:rPr>
        <w:t>e</w:t>
      </w:r>
      <w:r w:rsidRPr="003C1BA1">
        <w:rPr>
          <w:rFonts w:ascii="Arial" w:hAnsi="Arial" w:cs="Arial"/>
          <w:lang w:eastAsia="en-AU"/>
        </w:rPr>
        <w:t xml:space="preserve"> review, t</w:t>
      </w:r>
      <w:r w:rsidR="00383000" w:rsidRPr="003C1BA1">
        <w:rPr>
          <w:rFonts w:ascii="Arial" w:hAnsi="Arial" w:cs="Arial"/>
          <w:lang w:eastAsia="en-AU"/>
        </w:rPr>
        <w:t xml:space="preserve">he ATA accepts the definition of </w:t>
      </w:r>
      <w:r w:rsidR="0040200B" w:rsidRPr="003C1BA1">
        <w:rPr>
          <w:rFonts w:ascii="Arial" w:hAnsi="Arial" w:cs="Arial"/>
          <w:lang w:eastAsia="en-AU"/>
        </w:rPr>
        <w:t>“</w:t>
      </w:r>
      <w:r w:rsidR="00383000" w:rsidRPr="003C1BA1">
        <w:rPr>
          <w:rFonts w:ascii="Arial" w:hAnsi="Arial" w:cs="Arial"/>
          <w:lang w:eastAsia="en-AU"/>
        </w:rPr>
        <w:t>compliance</w:t>
      </w:r>
      <w:r w:rsidR="0040200B" w:rsidRPr="003C1BA1">
        <w:rPr>
          <w:rFonts w:ascii="Arial" w:hAnsi="Arial" w:cs="Arial"/>
          <w:lang w:eastAsia="en-AU"/>
        </w:rPr>
        <w:t>”</w:t>
      </w:r>
      <w:r w:rsidR="00FF197F">
        <w:rPr>
          <w:rFonts w:ascii="Arial" w:hAnsi="Arial" w:cs="Arial"/>
          <w:lang w:eastAsia="en-AU"/>
        </w:rPr>
        <w:t>, which</w:t>
      </w:r>
      <w:r w:rsidR="00037274">
        <w:rPr>
          <w:rFonts w:ascii="Arial" w:hAnsi="Arial" w:cs="Arial"/>
          <w:lang w:eastAsia="en-AU"/>
        </w:rPr>
        <w:t xml:space="preserve"> </w:t>
      </w:r>
      <w:r w:rsidR="00383000" w:rsidRPr="003C1BA1">
        <w:rPr>
          <w:rFonts w:ascii="Arial" w:hAnsi="Arial" w:cs="Arial"/>
          <w:lang w:eastAsia="en-AU"/>
        </w:rPr>
        <w:t>“</w:t>
      </w:r>
      <w:r w:rsidR="002C1DF4">
        <w:rPr>
          <w:rFonts w:ascii="Arial" w:hAnsi="Arial" w:cs="Arial"/>
          <w:lang w:eastAsia="en-AU"/>
        </w:rPr>
        <w:t xml:space="preserve">is </w:t>
      </w:r>
      <w:r w:rsidR="00383000" w:rsidRPr="003C1BA1">
        <w:rPr>
          <w:rFonts w:ascii="Arial" w:hAnsi="Arial" w:cs="Arial"/>
          <w:i/>
          <w:lang w:eastAsia="en-AU"/>
        </w:rPr>
        <w:t>taken to mean behaviours that are consistent with the provisions of the relevant law”</w:t>
      </w:r>
      <w:r w:rsidR="00361FA0" w:rsidRPr="003C1BA1">
        <w:rPr>
          <w:rFonts w:ascii="Arial" w:hAnsi="Arial" w:cs="Arial"/>
          <w:i/>
          <w:lang w:eastAsia="en-AU"/>
        </w:rPr>
        <w:t xml:space="preserve"> </w:t>
      </w:r>
      <w:r w:rsidR="00361FA0" w:rsidRPr="003C1BA1">
        <w:rPr>
          <w:rFonts w:ascii="Arial" w:hAnsi="Arial" w:cs="Arial"/>
          <w:lang w:eastAsia="en-AU"/>
        </w:rPr>
        <w:t>(p</w:t>
      </w:r>
      <w:r w:rsidR="00AD2AC6">
        <w:rPr>
          <w:rFonts w:ascii="Arial" w:hAnsi="Arial" w:cs="Arial"/>
          <w:lang w:eastAsia="en-AU"/>
        </w:rPr>
        <w:t xml:space="preserve">age </w:t>
      </w:r>
      <w:r w:rsidR="00361FA0" w:rsidRPr="003C1BA1">
        <w:rPr>
          <w:rFonts w:ascii="Arial" w:hAnsi="Arial" w:cs="Arial"/>
          <w:lang w:eastAsia="en-AU"/>
        </w:rPr>
        <w:t xml:space="preserve">5). </w:t>
      </w:r>
    </w:p>
    <w:p w:rsidR="001D06D8" w:rsidRPr="003C1BA1" w:rsidRDefault="001D06D8" w:rsidP="001D06D8">
      <w:pPr>
        <w:autoSpaceDE w:val="0"/>
        <w:autoSpaceDN w:val="0"/>
        <w:adjustRightInd w:val="0"/>
        <w:jc w:val="both"/>
        <w:rPr>
          <w:rFonts w:ascii="Arial" w:hAnsi="Arial" w:cs="Arial"/>
          <w:lang w:eastAsia="en-AU"/>
        </w:rPr>
      </w:pPr>
    </w:p>
    <w:p w:rsidR="006663BD" w:rsidRDefault="00361FA0" w:rsidP="00737FA4">
      <w:pPr>
        <w:autoSpaceDE w:val="0"/>
        <w:autoSpaceDN w:val="0"/>
        <w:adjustRightInd w:val="0"/>
        <w:jc w:val="both"/>
        <w:rPr>
          <w:rFonts w:ascii="Arial" w:hAnsi="Arial" w:cs="Arial"/>
          <w:sz w:val="21"/>
          <w:szCs w:val="21"/>
        </w:rPr>
      </w:pPr>
      <w:r w:rsidRPr="003C1BA1">
        <w:rPr>
          <w:rFonts w:ascii="Arial" w:hAnsi="Arial" w:cs="Arial"/>
          <w:lang w:eastAsia="en-AU"/>
        </w:rPr>
        <w:t xml:space="preserve">The ATA does not </w:t>
      </w:r>
      <w:r w:rsidR="003A01F1" w:rsidRPr="003C1BA1">
        <w:rPr>
          <w:rFonts w:ascii="Arial" w:hAnsi="Arial" w:cs="Arial"/>
          <w:lang w:eastAsia="en-AU"/>
        </w:rPr>
        <w:t xml:space="preserve">accept the </w:t>
      </w:r>
      <w:r w:rsidR="001526F2" w:rsidRPr="003C1BA1">
        <w:rPr>
          <w:rFonts w:ascii="Arial" w:hAnsi="Arial" w:cs="Arial"/>
          <w:lang w:eastAsia="en-AU"/>
        </w:rPr>
        <w:t xml:space="preserve">phrase </w:t>
      </w:r>
      <w:r w:rsidR="00B978A5" w:rsidRPr="003C1BA1">
        <w:rPr>
          <w:rFonts w:ascii="Arial" w:hAnsi="Arial" w:cs="Arial"/>
          <w:lang w:eastAsia="en-AU"/>
        </w:rPr>
        <w:t>“</w:t>
      </w:r>
      <w:r w:rsidR="003A01F1" w:rsidRPr="003C1BA1">
        <w:rPr>
          <w:rFonts w:ascii="Arial" w:hAnsi="Arial" w:cs="Arial"/>
          <w:i/>
          <w:lang w:eastAsia="en-AU"/>
        </w:rPr>
        <w:t>regulatory telematics</w:t>
      </w:r>
      <w:r w:rsidR="00CC523E" w:rsidRPr="003C1BA1">
        <w:rPr>
          <w:rFonts w:ascii="Arial" w:hAnsi="Arial" w:cs="Arial"/>
          <w:lang w:eastAsia="en-AU"/>
        </w:rPr>
        <w:t xml:space="preserve">” </w:t>
      </w:r>
      <w:r w:rsidR="009B5BAB" w:rsidRPr="003C1BA1">
        <w:rPr>
          <w:rFonts w:ascii="Arial" w:hAnsi="Arial" w:cs="Arial"/>
          <w:lang w:eastAsia="en-AU"/>
        </w:rPr>
        <w:t xml:space="preserve">as </w:t>
      </w:r>
      <w:r w:rsidR="00B978A5" w:rsidRPr="003C1BA1">
        <w:rPr>
          <w:rFonts w:ascii="Arial" w:hAnsi="Arial" w:cs="Arial"/>
          <w:lang w:eastAsia="en-AU"/>
        </w:rPr>
        <w:t>meaningful</w:t>
      </w:r>
      <w:r w:rsidRPr="003C1BA1">
        <w:rPr>
          <w:rFonts w:ascii="Arial" w:hAnsi="Arial" w:cs="Arial"/>
          <w:lang w:eastAsia="en-AU"/>
        </w:rPr>
        <w:t xml:space="preserve"> to </w:t>
      </w:r>
      <w:r w:rsidR="00A77752" w:rsidRPr="003C1BA1">
        <w:rPr>
          <w:rFonts w:ascii="Arial" w:hAnsi="Arial" w:cs="Arial"/>
          <w:lang w:eastAsia="en-AU"/>
        </w:rPr>
        <w:t xml:space="preserve">the trucking </w:t>
      </w:r>
      <w:r w:rsidRPr="003C1BA1">
        <w:rPr>
          <w:rFonts w:ascii="Arial" w:hAnsi="Arial" w:cs="Arial"/>
          <w:lang w:eastAsia="en-AU"/>
        </w:rPr>
        <w:t>industry</w:t>
      </w:r>
      <w:r w:rsidR="001526F2" w:rsidRPr="003C1BA1">
        <w:rPr>
          <w:rFonts w:ascii="Arial" w:hAnsi="Arial" w:cs="Arial"/>
          <w:lang w:eastAsia="en-AU"/>
        </w:rPr>
        <w:t xml:space="preserve">. </w:t>
      </w:r>
      <w:r w:rsidR="00B978A5" w:rsidRPr="003C1BA1">
        <w:rPr>
          <w:rFonts w:ascii="Arial" w:hAnsi="Arial" w:cs="Arial"/>
          <w:lang w:eastAsia="en-AU"/>
        </w:rPr>
        <w:t>A</w:t>
      </w:r>
      <w:r w:rsidR="009B5BAB" w:rsidRPr="003C1BA1">
        <w:rPr>
          <w:rFonts w:ascii="Arial" w:hAnsi="Arial" w:cs="Arial"/>
          <w:lang w:eastAsia="en-AU"/>
        </w:rPr>
        <w:t>doption</w:t>
      </w:r>
      <w:r w:rsidR="000A6643" w:rsidRPr="003C1BA1">
        <w:rPr>
          <w:rFonts w:ascii="Arial" w:hAnsi="Arial" w:cs="Arial"/>
          <w:lang w:eastAsia="en-AU"/>
        </w:rPr>
        <w:t xml:space="preserve"> of </w:t>
      </w:r>
      <w:r w:rsidR="00CC523E" w:rsidRPr="003C1BA1">
        <w:rPr>
          <w:rFonts w:ascii="Arial" w:hAnsi="Arial" w:cs="Arial"/>
          <w:lang w:eastAsia="en-AU"/>
        </w:rPr>
        <w:t>telematics</w:t>
      </w:r>
      <w:r w:rsidR="00B978A5" w:rsidRPr="003C1BA1">
        <w:rPr>
          <w:rFonts w:ascii="Arial" w:hAnsi="Arial" w:cs="Arial"/>
          <w:lang w:eastAsia="en-AU"/>
        </w:rPr>
        <w:t xml:space="preserve"> </w:t>
      </w:r>
      <w:r w:rsidR="000A6643" w:rsidRPr="003C1BA1">
        <w:rPr>
          <w:rFonts w:ascii="Arial" w:hAnsi="Arial" w:cs="Arial"/>
          <w:lang w:eastAsia="en-AU"/>
        </w:rPr>
        <w:t xml:space="preserve">to </w:t>
      </w:r>
      <w:r w:rsidR="00103F04" w:rsidRPr="003C1BA1">
        <w:rPr>
          <w:rFonts w:ascii="Arial" w:hAnsi="Arial" w:cs="Arial"/>
          <w:lang w:eastAsia="en-AU"/>
        </w:rPr>
        <w:t>record</w:t>
      </w:r>
      <w:r w:rsidR="0090425B" w:rsidRPr="003C1BA1">
        <w:rPr>
          <w:rFonts w:ascii="Arial" w:hAnsi="Arial" w:cs="Arial"/>
          <w:lang w:eastAsia="en-AU"/>
        </w:rPr>
        <w:t xml:space="preserve"> </w:t>
      </w:r>
      <w:r w:rsidR="000A6643" w:rsidRPr="003C1BA1">
        <w:rPr>
          <w:rFonts w:ascii="Arial" w:hAnsi="Arial" w:cs="Arial"/>
          <w:lang w:eastAsia="en-AU"/>
        </w:rPr>
        <w:t xml:space="preserve">compliance </w:t>
      </w:r>
      <w:r w:rsidR="00103F04" w:rsidRPr="003C1BA1">
        <w:rPr>
          <w:rFonts w:ascii="Arial" w:hAnsi="Arial" w:cs="Arial"/>
          <w:lang w:eastAsia="en-AU"/>
        </w:rPr>
        <w:t xml:space="preserve">is </w:t>
      </w:r>
      <w:r w:rsidR="001D06D8" w:rsidRPr="003C1BA1">
        <w:rPr>
          <w:rFonts w:ascii="Arial" w:hAnsi="Arial" w:cs="Arial"/>
          <w:lang w:eastAsia="en-AU"/>
        </w:rPr>
        <w:t xml:space="preserve">merely </w:t>
      </w:r>
      <w:r w:rsidR="00103F04" w:rsidRPr="003C1BA1">
        <w:rPr>
          <w:rFonts w:ascii="Arial" w:hAnsi="Arial" w:cs="Arial"/>
          <w:lang w:eastAsia="en-AU"/>
        </w:rPr>
        <w:t>the</w:t>
      </w:r>
      <w:r w:rsidR="000A6643" w:rsidRPr="003C1BA1">
        <w:rPr>
          <w:rFonts w:ascii="Arial" w:hAnsi="Arial" w:cs="Arial"/>
          <w:lang w:eastAsia="en-AU"/>
        </w:rPr>
        <w:t xml:space="preserve"> </w:t>
      </w:r>
      <w:r w:rsidR="00103F04" w:rsidRPr="003C1BA1">
        <w:rPr>
          <w:rFonts w:ascii="Arial" w:hAnsi="Arial" w:cs="Arial"/>
          <w:lang w:eastAsia="en-AU"/>
        </w:rPr>
        <w:t>selection</w:t>
      </w:r>
      <w:r w:rsidR="00CC523E" w:rsidRPr="003C1BA1">
        <w:rPr>
          <w:rFonts w:ascii="Arial" w:hAnsi="Arial" w:cs="Arial"/>
          <w:lang w:eastAsia="en-AU"/>
        </w:rPr>
        <w:t xml:space="preserve"> of</w:t>
      </w:r>
      <w:r w:rsidR="009B5BAB" w:rsidRPr="003C1BA1">
        <w:rPr>
          <w:rFonts w:ascii="Arial" w:hAnsi="Arial" w:cs="Arial"/>
          <w:lang w:eastAsia="en-AU"/>
        </w:rPr>
        <w:t xml:space="preserve"> a</w:t>
      </w:r>
      <w:r w:rsidR="00E4288A" w:rsidRPr="003C1BA1">
        <w:rPr>
          <w:rFonts w:ascii="Arial" w:hAnsi="Arial" w:cs="Arial"/>
          <w:lang w:eastAsia="en-AU"/>
        </w:rPr>
        <w:t xml:space="preserve"> </w:t>
      </w:r>
      <w:r w:rsidR="009556F7" w:rsidRPr="003C1BA1">
        <w:rPr>
          <w:rFonts w:ascii="Arial" w:hAnsi="Arial" w:cs="Arial"/>
          <w:lang w:eastAsia="en-AU"/>
        </w:rPr>
        <w:t xml:space="preserve">new </w:t>
      </w:r>
      <w:r w:rsidR="0090425B" w:rsidRPr="003C1BA1">
        <w:rPr>
          <w:rFonts w:ascii="Arial" w:hAnsi="Arial" w:cs="Arial"/>
          <w:lang w:eastAsia="en-AU"/>
        </w:rPr>
        <w:t>(</w:t>
      </w:r>
      <w:r w:rsidR="00E4288A" w:rsidRPr="003C1BA1">
        <w:rPr>
          <w:rFonts w:ascii="Arial" w:hAnsi="Arial" w:cs="Arial"/>
          <w:lang w:eastAsia="en-AU"/>
        </w:rPr>
        <w:t>electronic</w:t>
      </w:r>
      <w:r w:rsidR="0090425B" w:rsidRPr="003C1BA1">
        <w:rPr>
          <w:rFonts w:ascii="Arial" w:hAnsi="Arial" w:cs="Arial"/>
          <w:lang w:eastAsia="en-AU"/>
        </w:rPr>
        <w:t>)</w:t>
      </w:r>
      <w:r w:rsidR="00E4288A" w:rsidRPr="003C1BA1">
        <w:rPr>
          <w:rFonts w:ascii="Arial" w:hAnsi="Arial" w:cs="Arial"/>
          <w:lang w:eastAsia="en-AU"/>
        </w:rPr>
        <w:t xml:space="preserve"> means</w:t>
      </w:r>
      <w:r w:rsidR="000A6643" w:rsidRPr="003C1BA1">
        <w:rPr>
          <w:rFonts w:ascii="Arial" w:hAnsi="Arial" w:cs="Arial"/>
          <w:lang w:eastAsia="en-AU"/>
        </w:rPr>
        <w:t xml:space="preserve"> </w:t>
      </w:r>
      <w:r w:rsidR="009B5BAB" w:rsidRPr="003C1BA1">
        <w:rPr>
          <w:rFonts w:ascii="Arial" w:hAnsi="Arial" w:cs="Arial"/>
          <w:lang w:eastAsia="en-AU"/>
        </w:rPr>
        <w:t xml:space="preserve">of interception </w:t>
      </w:r>
      <w:r w:rsidR="000A6643" w:rsidRPr="003C1BA1">
        <w:rPr>
          <w:rFonts w:ascii="Arial" w:hAnsi="Arial" w:cs="Arial"/>
          <w:lang w:eastAsia="en-AU"/>
        </w:rPr>
        <w:t xml:space="preserve">over </w:t>
      </w:r>
      <w:r w:rsidR="00ED1CCF" w:rsidRPr="003C1BA1">
        <w:rPr>
          <w:rFonts w:ascii="Arial" w:hAnsi="Arial" w:cs="Arial"/>
          <w:lang w:eastAsia="en-AU"/>
        </w:rPr>
        <w:t>traditional</w:t>
      </w:r>
      <w:r w:rsidR="009B5BAB" w:rsidRPr="003C1BA1">
        <w:rPr>
          <w:rFonts w:ascii="Arial" w:hAnsi="Arial" w:cs="Arial"/>
          <w:lang w:eastAsia="en-AU"/>
        </w:rPr>
        <w:t xml:space="preserve"> roadside</w:t>
      </w:r>
      <w:r w:rsidR="000A6643" w:rsidRPr="003C1BA1">
        <w:rPr>
          <w:rFonts w:ascii="Arial" w:hAnsi="Arial" w:cs="Arial"/>
          <w:lang w:eastAsia="en-AU"/>
        </w:rPr>
        <w:t xml:space="preserve"> </w:t>
      </w:r>
      <w:r w:rsidR="009B5BAB" w:rsidRPr="003C1BA1">
        <w:rPr>
          <w:rFonts w:ascii="Arial" w:hAnsi="Arial" w:cs="Arial"/>
          <w:lang w:eastAsia="en-AU"/>
        </w:rPr>
        <w:t xml:space="preserve">and paperwork </w:t>
      </w:r>
      <w:r w:rsidR="00E4288A" w:rsidRPr="003C1BA1">
        <w:rPr>
          <w:rFonts w:ascii="Arial" w:hAnsi="Arial" w:cs="Arial"/>
          <w:lang w:eastAsia="en-AU"/>
        </w:rPr>
        <w:t>methods</w:t>
      </w:r>
      <w:r w:rsidR="00103F04" w:rsidRPr="003C1BA1">
        <w:rPr>
          <w:rFonts w:ascii="Arial" w:hAnsi="Arial" w:cs="Arial"/>
          <w:lang w:eastAsia="en-AU"/>
        </w:rPr>
        <w:t>.</w:t>
      </w:r>
      <w:r w:rsidR="00037274">
        <w:rPr>
          <w:rFonts w:ascii="Arial" w:hAnsi="Arial" w:cs="Arial"/>
          <w:lang w:eastAsia="en-AU"/>
        </w:rPr>
        <w:t xml:space="preserve"> </w:t>
      </w:r>
      <w:r w:rsidR="001D06D8" w:rsidRPr="003C1BA1">
        <w:rPr>
          <w:rFonts w:ascii="Arial" w:hAnsi="Arial" w:cs="Arial"/>
          <w:lang w:eastAsia="en-AU"/>
        </w:rPr>
        <w:t>Although</w:t>
      </w:r>
      <w:r w:rsidR="00B978A5" w:rsidRPr="003C1BA1">
        <w:rPr>
          <w:rFonts w:ascii="Arial" w:hAnsi="Arial" w:cs="Arial"/>
          <w:lang w:eastAsia="en-AU"/>
        </w:rPr>
        <w:t xml:space="preserve"> </w:t>
      </w:r>
      <w:r w:rsidR="00103F04" w:rsidRPr="003C1BA1">
        <w:rPr>
          <w:rFonts w:ascii="Arial" w:hAnsi="Arial" w:cs="Arial"/>
          <w:lang w:eastAsia="en-AU"/>
        </w:rPr>
        <w:t xml:space="preserve">potential </w:t>
      </w:r>
      <w:r w:rsidR="00E10763" w:rsidRPr="003C1BA1">
        <w:rPr>
          <w:rFonts w:ascii="Arial" w:hAnsi="Arial" w:cs="Arial"/>
          <w:lang w:eastAsia="en-AU"/>
        </w:rPr>
        <w:t xml:space="preserve">applications pushed by </w:t>
      </w:r>
      <w:r w:rsidR="001D06D8" w:rsidRPr="003C1BA1">
        <w:rPr>
          <w:rFonts w:ascii="Arial" w:hAnsi="Arial" w:cs="Arial"/>
          <w:lang w:eastAsia="en-AU"/>
        </w:rPr>
        <w:t>such technologies</w:t>
      </w:r>
      <w:r w:rsidR="009556F7" w:rsidRPr="003C1BA1">
        <w:rPr>
          <w:rFonts w:ascii="Arial" w:hAnsi="Arial" w:cs="Arial"/>
          <w:lang w:eastAsia="en-AU"/>
        </w:rPr>
        <w:t xml:space="preserve"> </w:t>
      </w:r>
      <w:r w:rsidR="00E10763" w:rsidRPr="003C1BA1">
        <w:rPr>
          <w:rFonts w:ascii="Arial" w:hAnsi="Arial" w:cs="Arial"/>
          <w:lang w:eastAsia="en-AU"/>
        </w:rPr>
        <w:t>have</w:t>
      </w:r>
      <w:r w:rsidR="009556F7" w:rsidRPr="003C1BA1">
        <w:rPr>
          <w:rFonts w:ascii="Arial" w:hAnsi="Arial" w:cs="Arial"/>
          <w:lang w:eastAsia="en-AU"/>
        </w:rPr>
        <w:t xml:space="preserve"> </w:t>
      </w:r>
      <w:r w:rsidR="0090425B" w:rsidRPr="003C1BA1">
        <w:rPr>
          <w:rFonts w:ascii="Arial" w:hAnsi="Arial" w:cs="Arial"/>
          <w:lang w:eastAsia="en-AU"/>
        </w:rPr>
        <w:t>myriad</w:t>
      </w:r>
      <w:r w:rsidR="009556F7" w:rsidRPr="003C1BA1">
        <w:rPr>
          <w:rFonts w:ascii="Arial" w:hAnsi="Arial" w:cs="Arial"/>
          <w:lang w:eastAsia="en-AU"/>
        </w:rPr>
        <w:t xml:space="preserve"> implications</w:t>
      </w:r>
      <w:r w:rsidR="00C61138" w:rsidRPr="003C1BA1">
        <w:rPr>
          <w:rFonts w:ascii="Arial" w:hAnsi="Arial" w:cs="Arial"/>
          <w:lang w:eastAsia="en-AU"/>
        </w:rPr>
        <w:t xml:space="preserve"> for industry</w:t>
      </w:r>
      <w:r w:rsidR="009556F7" w:rsidRPr="003C1BA1">
        <w:rPr>
          <w:rFonts w:ascii="Arial" w:hAnsi="Arial" w:cs="Arial"/>
          <w:lang w:eastAsia="en-AU"/>
        </w:rPr>
        <w:t>,</w:t>
      </w:r>
      <w:r w:rsidR="000A6643" w:rsidRPr="003C1BA1">
        <w:rPr>
          <w:rFonts w:ascii="Arial" w:hAnsi="Arial" w:cs="Arial"/>
          <w:lang w:eastAsia="en-AU"/>
        </w:rPr>
        <w:t xml:space="preserve"> </w:t>
      </w:r>
      <w:r w:rsidR="00A77752" w:rsidRPr="003C1BA1">
        <w:rPr>
          <w:rFonts w:ascii="Arial" w:hAnsi="Arial" w:cs="Arial"/>
          <w:lang w:eastAsia="en-AU"/>
        </w:rPr>
        <w:t>the use of technology</w:t>
      </w:r>
      <w:r w:rsidR="000A6643" w:rsidRPr="003C1BA1">
        <w:rPr>
          <w:rFonts w:ascii="Arial" w:hAnsi="Arial" w:cs="Arial"/>
          <w:lang w:eastAsia="en-AU"/>
        </w:rPr>
        <w:t xml:space="preserve"> </w:t>
      </w:r>
      <w:r w:rsidR="00C61138" w:rsidRPr="003C1BA1">
        <w:rPr>
          <w:rFonts w:ascii="Arial" w:hAnsi="Arial" w:cs="Arial"/>
          <w:lang w:eastAsia="en-AU"/>
        </w:rPr>
        <w:t>is no</w:t>
      </w:r>
      <w:r w:rsidR="009B5BAB" w:rsidRPr="003C1BA1">
        <w:rPr>
          <w:rFonts w:ascii="Arial" w:hAnsi="Arial" w:cs="Arial"/>
          <w:lang w:eastAsia="en-AU"/>
        </w:rPr>
        <w:t>t a</w:t>
      </w:r>
      <w:r w:rsidR="000A6643" w:rsidRPr="003C1BA1">
        <w:rPr>
          <w:rFonts w:ascii="Arial" w:hAnsi="Arial" w:cs="Arial"/>
          <w:lang w:eastAsia="en-AU"/>
        </w:rPr>
        <w:t xml:space="preserve"> regulatory end in itself.</w:t>
      </w:r>
      <w:r w:rsidR="009B5BAB" w:rsidRPr="003C1BA1">
        <w:rPr>
          <w:rFonts w:ascii="Arial" w:hAnsi="Arial" w:cs="Arial"/>
          <w:lang w:eastAsia="en-AU"/>
        </w:rPr>
        <w:t xml:space="preserve"> </w:t>
      </w:r>
      <w:r w:rsidR="00A77752" w:rsidRPr="003C1BA1">
        <w:rPr>
          <w:rFonts w:ascii="Arial" w:hAnsi="Arial" w:cs="Arial"/>
          <w:lang w:eastAsia="en-AU"/>
        </w:rPr>
        <w:t xml:space="preserve">Much of </w:t>
      </w:r>
      <w:r w:rsidR="001D06D8" w:rsidRPr="003C1BA1">
        <w:rPr>
          <w:rFonts w:ascii="Arial" w:hAnsi="Arial" w:cs="Arial"/>
          <w:lang w:eastAsia="en-AU"/>
        </w:rPr>
        <w:t xml:space="preserve">industry is </w:t>
      </w:r>
      <w:r w:rsidR="00B91FE6" w:rsidRPr="003C1BA1">
        <w:rPr>
          <w:rFonts w:ascii="Arial" w:hAnsi="Arial" w:cs="Arial"/>
          <w:lang w:eastAsia="en-AU"/>
        </w:rPr>
        <w:t xml:space="preserve">already </w:t>
      </w:r>
      <w:r w:rsidR="001D06D8" w:rsidRPr="003C1BA1">
        <w:rPr>
          <w:rFonts w:ascii="Arial" w:hAnsi="Arial" w:cs="Arial"/>
          <w:lang w:eastAsia="en-AU"/>
        </w:rPr>
        <w:t xml:space="preserve">using telematics devices </w:t>
      </w:r>
      <w:r w:rsidR="00A77752" w:rsidRPr="003C1BA1">
        <w:rPr>
          <w:rFonts w:ascii="Arial" w:hAnsi="Arial" w:cs="Arial"/>
          <w:lang w:eastAsia="en-AU"/>
        </w:rPr>
        <w:t xml:space="preserve">because </w:t>
      </w:r>
      <w:r w:rsidR="001D06D8" w:rsidRPr="003C1BA1">
        <w:rPr>
          <w:rFonts w:ascii="Arial" w:hAnsi="Arial" w:cs="Arial"/>
          <w:lang w:eastAsia="en-AU"/>
        </w:rPr>
        <w:t>the</w:t>
      </w:r>
      <w:r w:rsidR="00A22E6A">
        <w:rPr>
          <w:rFonts w:ascii="Arial" w:hAnsi="Arial" w:cs="Arial"/>
          <w:lang w:eastAsia="en-AU"/>
        </w:rPr>
        <w:t>se</w:t>
      </w:r>
      <w:r w:rsidR="001D06D8" w:rsidRPr="003C1BA1">
        <w:rPr>
          <w:rFonts w:ascii="Arial" w:hAnsi="Arial" w:cs="Arial"/>
          <w:lang w:eastAsia="en-AU"/>
        </w:rPr>
        <w:t xml:space="preserve"> are</w:t>
      </w:r>
      <w:r w:rsidR="00A77752" w:rsidRPr="003C1BA1">
        <w:rPr>
          <w:rFonts w:ascii="Arial" w:hAnsi="Arial" w:cs="Arial"/>
          <w:lang w:eastAsia="en-AU"/>
        </w:rPr>
        <w:t xml:space="preserve"> good for business and </w:t>
      </w:r>
      <w:r w:rsidR="00A22E6A">
        <w:rPr>
          <w:rFonts w:ascii="Arial" w:hAnsi="Arial" w:cs="Arial"/>
          <w:lang w:eastAsia="en-AU"/>
        </w:rPr>
        <w:t xml:space="preserve">they </w:t>
      </w:r>
      <w:r w:rsidR="001D06D8" w:rsidRPr="003C1BA1">
        <w:rPr>
          <w:rFonts w:ascii="Arial" w:hAnsi="Arial" w:cs="Arial"/>
          <w:lang w:eastAsia="en-AU"/>
        </w:rPr>
        <w:t>help with</w:t>
      </w:r>
      <w:r w:rsidR="00A77752" w:rsidRPr="003C1BA1">
        <w:rPr>
          <w:rFonts w:ascii="Arial" w:hAnsi="Arial" w:cs="Arial"/>
          <w:lang w:eastAsia="en-AU"/>
        </w:rPr>
        <w:t xml:space="preserve"> compliance. If the </w:t>
      </w:r>
      <w:r w:rsidR="001D06D8" w:rsidRPr="003C1BA1">
        <w:rPr>
          <w:rFonts w:ascii="Arial" w:hAnsi="Arial" w:cs="Arial"/>
          <w:lang w:eastAsia="en-AU"/>
        </w:rPr>
        <w:t xml:space="preserve">policy </w:t>
      </w:r>
      <w:r w:rsidR="00A77752" w:rsidRPr="003C1BA1">
        <w:rPr>
          <w:rFonts w:ascii="Arial" w:hAnsi="Arial" w:cs="Arial"/>
          <w:lang w:eastAsia="en-AU"/>
        </w:rPr>
        <w:t xml:space="preserve">aim is compliance and </w:t>
      </w:r>
      <w:r w:rsidR="00B81D6A" w:rsidRPr="003C1BA1">
        <w:rPr>
          <w:rFonts w:ascii="Arial" w:hAnsi="Arial" w:cs="Arial"/>
          <w:lang w:eastAsia="en-AU"/>
        </w:rPr>
        <w:t>telematics</w:t>
      </w:r>
      <w:r w:rsidR="00A77752" w:rsidRPr="003C1BA1">
        <w:rPr>
          <w:rFonts w:ascii="Arial" w:hAnsi="Arial" w:cs="Arial"/>
          <w:lang w:eastAsia="en-AU"/>
        </w:rPr>
        <w:t xml:space="preserve"> </w:t>
      </w:r>
      <w:r w:rsidR="00B81D6A" w:rsidRPr="003C1BA1">
        <w:rPr>
          <w:rFonts w:ascii="Arial" w:hAnsi="Arial" w:cs="Arial"/>
          <w:lang w:eastAsia="en-AU"/>
        </w:rPr>
        <w:t>aids</w:t>
      </w:r>
      <w:r w:rsidR="00A77752" w:rsidRPr="003C1BA1">
        <w:rPr>
          <w:rFonts w:ascii="Arial" w:hAnsi="Arial" w:cs="Arial"/>
          <w:lang w:eastAsia="en-AU"/>
        </w:rPr>
        <w:t xml:space="preserve"> drivers and operators to </w:t>
      </w:r>
      <w:r w:rsidR="00B81D6A" w:rsidRPr="003C1BA1">
        <w:rPr>
          <w:rFonts w:ascii="Arial" w:hAnsi="Arial" w:cs="Arial"/>
          <w:lang w:eastAsia="en-AU"/>
        </w:rPr>
        <w:t xml:space="preserve">achieve </w:t>
      </w:r>
      <w:r w:rsidR="001D06D8" w:rsidRPr="003C1BA1">
        <w:rPr>
          <w:rFonts w:ascii="Arial" w:hAnsi="Arial" w:cs="Arial"/>
          <w:lang w:eastAsia="en-AU"/>
        </w:rPr>
        <w:t>it</w:t>
      </w:r>
      <w:r w:rsidR="00B81D6A" w:rsidRPr="003C1BA1">
        <w:rPr>
          <w:rFonts w:ascii="Arial" w:hAnsi="Arial" w:cs="Arial"/>
          <w:lang w:eastAsia="en-AU"/>
        </w:rPr>
        <w:t>, then enforcement becomes a second order issue of priority by exception.</w:t>
      </w:r>
      <w:r w:rsidR="00A97530" w:rsidRPr="003C1BA1">
        <w:rPr>
          <w:rFonts w:ascii="Arial" w:hAnsi="Arial" w:cs="Arial"/>
          <w:lang w:eastAsia="en-AU"/>
        </w:rPr>
        <w:t xml:space="preserve"> </w:t>
      </w:r>
      <w:r w:rsidR="009B5BAB" w:rsidRPr="003C1BA1">
        <w:rPr>
          <w:rFonts w:ascii="Arial" w:hAnsi="Arial" w:cs="Arial"/>
          <w:lang w:eastAsia="en-AU"/>
        </w:rPr>
        <w:t>Further</w:t>
      </w:r>
      <w:r w:rsidR="00A77752" w:rsidRPr="003C1BA1">
        <w:rPr>
          <w:rFonts w:ascii="Arial" w:hAnsi="Arial" w:cs="Arial"/>
          <w:lang w:eastAsia="en-AU"/>
        </w:rPr>
        <w:t>more</w:t>
      </w:r>
      <w:r w:rsidR="009B5BAB" w:rsidRPr="003C1BA1">
        <w:rPr>
          <w:rFonts w:ascii="Arial" w:hAnsi="Arial" w:cs="Arial"/>
          <w:lang w:eastAsia="en-AU"/>
        </w:rPr>
        <w:t xml:space="preserve">, </w:t>
      </w:r>
      <w:r w:rsidR="00A77752" w:rsidRPr="003C1BA1">
        <w:rPr>
          <w:rFonts w:ascii="Arial" w:hAnsi="Arial" w:cs="Arial"/>
          <w:lang w:eastAsia="en-AU"/>
        </w:rPr>
        <w:t>“</w:t>
      </w:r>
      <w:r w:rsidR="009B5BAB" w:rsidRPr="003C1BA1">
        <w:rPr>
          <w:rFonts w:ascii="Arial" w:hAnsi="Arial" w:cs="Arial"/>
          <w:i/>
          <w:lang w:eastAsia="en-AU"/>
        </w:rPr>
        <w:t>complian</w:t>
      </w:r>
      <w:r w:rsidR="00A77752" w:rsidRPr="003C1BA1">
        <w:rPr>
          <w:rFonts w:ascii="Arial" w:hAnsi="Arial" w:cs="Arial"/>
          <w:i/>
          <w:lang w:eastAsia="en-AU"/>
        </w:rPr>
        <w:t>t</w:t>
      </w:r>
      <w:r w:rsidR="00A77752" w:rsidRPr="003C1BA1">
        <w:rPr>
          <w:rFonts w:ascii="Arial" w:hAnsi="Arial" w:cs="Arial"/>
          <w:lang w:eastAsia="en-AU"/>
        </w:rPr>
        <w:t>”</w:t>
      </w:r>
      <w:r w:rsidR="009B5BAB" w:rsidRPr="003C1BA1">
        <w:rPr>
          <w:rFonts w:ascii="Arial" w:hAnsi="Arial" w:cs="Arial"/>
          <w:lang w:eastAsia="en-AU"/>
        </w:rPr>
        <w:t xml:space="preserve"> </w:t>
      </w:r>
      <w:r w:rsidR="00E10763" w:rsidRPr="003C1BA1">
        <w:rPr>
          <w:rFonts w:ascii="Arial" w:hAnsi="Arial" w:cs="Arial"/>
          <w:lang w:eastAsia="en-AU"/>
        </w:rPr>
        <w:t>does</w:t>
      </w:r>
      <w:r w:rsidR="009B5BAB" w:rsidRPr="003C1BA1">
        <w:rPr>
          <w:rFonts w:ascii="Arial" w:hAnsi="Arial" w:cs="Arial"/>
          <w:lang w:eastAsia="en-AU"/>
        </w:rPr>
        <w:t xml:space="preserve"> not </w:t>
      </w:r>
      <w:r w:rsidR="00E10763" w:rsidRPr="003C1BA1">
        <w:rPr>
          <w:rFonts w:ascii="Arial" w:hAnsi="Arial" w:cs="Arial"/>
          <w:lang w:eastAsia="en-AU"/>
        </w:rPr>
        <w:t>mean</w:t>
      </w:r>
      <w:r w:rsidR="00A77752" w:rsidRPr="003C1BA1">
        <w:rPr>
          <w:rFonts w:ascii="Arial" w:hAnsi="Arial" w:cs="Arial"/>
          <w:lang w:eastAsia="en-AU"/>
        </w:rPr>
        <w:t xml:space="preserve"> “</w:t>
      </w:r>
      <w:r w:rsidR="009B5BAB" w:rsidRPr="003C1BA1">
        <w:rPr>
          <w:rFonts w:ascii="Arial" w:hAnsi="Arial" w:cs="Arial"/>
          <w:i/>
          <w:lang w:eastAsia="en-AU"/>
        </w:rPr>
        <w:t>safe</w:t>
      </w:r>
      <w:r w:rsidR="00A77752" w:rsidRPr="003C1BA1">
        <w:rPr>
          <w:rFonts w:ascii="Arial" w:hAnsi="Arial" w:cs="Arial"/>
          <w:lang w:eastAsia="en-AU"/>
        </w:rPr>
        <w:t>”</w:t>
      </w:r>
      <w:r w:rsidR="000E4E19">
        <w:rPr>
          <w:rFonts w:ascii="Arial" w:hAnsi="Arial" w:cs="Arial"/>
          <w:lang w:eastAsia="en-AU"/>
        </w:rPr>
        <w:t>,</w:t>
      </w:r>
      <w:r w:rsidR="009B5BAB" w:rsidRPr="003C1BA1">
        <w:rPr>
          <w:rFonts w:ascii="Arial" w:hAnsi="Arial" w:cs="Arial"/>
          <w:lang w:eastAsia="en-AU"/>
        </w:rPr>
        <w:t xml:space="preserve"> </w:t>
      </w:r>
      <w:r w:rsidR="00A77752" w:rsidRPr="003C1BA1">
        <w:rPr>
          <w:rFonts w:ascii="Arial" w:hAnsi="Arial" w:cs="Arial"/>
          <w:lang w:eastAsia="en-AU"/>
        </w:rPr>
        <w:t>so</w:t>
      </w:r>
      <w:r w:rsidR="009B5BAB" w:rsidRPr="003C1BA1">
        <w:rPr>
          <w:rFonts w:ascii="Arial" w:hAnsi="Arial" w:cs="Arial"/>
          <w:lang w:eastAsia="en-AU"/>
        </w:rPr>
        <w:t xml:space="preserve"> it </w:t>
      </w:r>
      <w:r w:rsidR="00251223">
        <w:rPr>
          <w:rFonts w:ascii="Arial" w:hAnsi="Arial" w:cs="Arial"/>
          <w:lang w:eastAsia="en-AU"/>
        </w:rPr>
        <w:t>remains</w:t>
      </w:r>
      <w:r w:rsidR="009B5BAB" w:rsidRPr="003C1BA1">
        <w:rPr>
          <w:rFonts w:ascii="Arial" w:hAnsi="Arial" w:cs="Arial"/>
          <w:lang w:eastAsia="en-AU"/>
        </w:rPr>
        <w:t xml:space="preserve"> </w:t>
      </w:r>
      <w:r w:rsidR="00A77752" w:rsidRPr="003C1BA1">
        <w:rPr>
          <w:rFonts w:ascii="Arial" w:hAnsi="Arial" w:cs="Arial"/>
          <w:lang w:eastAsia="en-AU"/>
        </w:rPr>
        <w:t xml:space="preserve">primarily </w:t>
      </w:r>
      <w:r w:rsidR="009B5BAB" w:rsidRPr="003C1BA1">
        <w:rPr>
          <w:rFonts w:ascii="Arial" w:hAnsi="Arial" w:cs="Arial"/>
          <w:lang w:eastAsia="en-AU"/>
        </w:rPr>
        <w:t xml:space="preserve">the </w:t>
      </w:r>
      <w:r w:rsidR="001D06D8" w:rsidRPr="003C1BA1">
        <w:rPr>
          <w:rFonts w:ascii="Arial" w:hAnsi="Arial" w:cs="Arial"/>
          <w:lang w:eastAsia="en-AU"/>
        </w:rPr>
        <w:t>type</w:t>
      </w:r>
      <w:r w:rsidR="009B5BAB" w:rsidRPr="003C1BA1">
        <w:rPr>
          <w:rFonts w:ascii="Arial" w:hAnsi="Arial" w:cs="Arial"/>
          <w:lang w:eastAsia="en-AU"/>
        </w:rPr>
        <w:t xml:space="preserve"> of compliance </w:t>
      </w:r>
      <w:r w:rsidR="0090425B" w:rsidRPr="003C1BA1">
        <w:rPr>
          <w:rFonts w:ascii="Arial" w:hAnsi="Arial" w:cs="Arial"/>
          <w:lang w:eastAsia="en-AU"/>
        </w:rPr>
        <w:t xml:space="preserve">being </w:t>
      </w:r>
      <w:r w:rsidR="009B5BAB" w:rsidRPr="003C1BA1">
        <w:rPr>
          <w:rFonts w:ascii="Arial" w:hAnsi="Arial" w:cs="Arial"/>
          <w:lang w:eastAsia="en-AU"/>
        </w:rPr>
        <w:t xml:space="preserve">demanded </w:t>
      </w:r>
      <w:r w:rsidR="00A97530" w:rsidRPr="003C1BA1">
        <w:rPr>
          <w:rFonts w:ascii="Arial" w:hAnsi="Arial" w:cs="Arial"/>
          <w:lang w:eastAsia="en-AU"/>
        </w:rPr>
        <w:t xml:space="preserve">by the regulator </w:t>
      </w:r>
      <w:r w:rsidR="009B5BAB" w:rsidRPr="003C1BA1">
        <w:rPr>
          <w:rFonts w:ascii="Arial" w:hAnsi="Arial" w:cs="Arial"/>
          <w:lang w:eastAsia="en-AU"/>
        </w:rPr>
        <w:t xml:space="preserve">rather than the </w:t>
      </w:r>
      <w:r w:rsidR="00A97530" w:rsidRPr="003C1BA1">
        <w:rPr>
          <w:rFonts w:ascii="Arial" w:hAnsi="Arial" w:cs="Arial"/>
          <w:lang w:eastAsia="en-AU"/>
        </w:rPr>
        <w:t>specific</w:t>
      </w:r>
      <w:r w:rsidR="00A77752" w:rsidRPr="003C1BA1">
        <w:rPr>
          <w:rFonts w:ascii="Arial" w:hAnsi="Arial" w:cs="Arial"/>
          <w:lang w:eastAsia="en-AU"/>
        </w:rPr>
        <w:t xml:space="preserve"> </w:t>
      </w:r>
      <w:r w:rsidR="009B5BAB" w:rsidRPr="003C1BA1">
        <w:rPr>
          <w:rFonts w:ascii="Arial" w:hAnsi="Arial" w:cs="Arial"/>
          <w:lang w:eastAsia="en-AU"/>
        </w:rPr>
        <w:t xml:space="preserve">tool </w:t>
      </w:r>
      <w:r w:rsidR="00A97530" w:rsidRPr="003C1BA1">
        <w:rPr>
          <w:rFonts w:ascii="Arial" w:hAnsi="Arial" w:cs="Arial"/>
          <w:lang w:eastAsia="en-AU"/>
        </w:rPr>
        <w:t>it uses</w:t>
      </w:r>
      <w:r w:rsidR="0090425B" w:rsidRPr="003C1BA1">
        <w:rPr>
          <w:rFonts w:ascii="Arial" w:hAnsi="Arial" w:cs="Arial"/>
          <w:lang w:eastAsia="en-AU"/>
        </w:rPr>
        <w:t xml:space="preserve"> </w:t>
      </w:r>
      <w:r w:rsidR="009B5BAB" w:rsidRPr="003C1BA1">
        <w:rPr>
          <w:rFonts w:ascii="Arial" w:hAnsi="Arial" w:cs="Arial"/>
          <w:lang w:eastAsia="en-AU"/>
        </w:rPr>
        <w:t xml:space="preserve">which is at issue in this </w:t>
      </w:r>
      <w:r w:rsidR="0031415B">
        <w:rPr>
          <w:rFonts w:ascii="Arial" w:hAnsi="Arial" w:cs="Arial"/>
          <w:lang w:eastAsia="en-AU"/>
        </w:rPr>
        <w:t>r</w:t>
      </w:r>
      <w:r w:rsidR="009B5BAB" w:rsidRPr="003C1BA1">
        <w:rPr>
          <w:rFonts w:ascii="Arial" w:hAnsi="Arial" w:cs="Arial"/>
          <w:lang w:eastAsia="en-AU"/>
        </w:rPr>
        <w:t>eview</w:t>
      </w:r>
      <w:r w:rsidR="000E4E19">
        <w:rPr>
          <w:rFonts w:ascii="Arial" w:hAnsi="Arial" w:cs="Arial"/>
          <w:lang w:eastAsia="en-AU"/>
        </w:rPr>
        <w:t xml:space="preserve"> of heavy vehicle compliance</w:t>
      </w:r>
      <w:r w:rsidR="009B5BAB" w:rsidRPr="003C1BA1">
        <w:rPr>
          <w:rFonts w:ascii="Arial" w:hAnsi="Arial" w:cs="Arial"/>
          <w:lang w:eastAsia="en-AU"/>
        </w:rPr>
        <w:t>.</w:t>
      </w:r>
      <w:r w:rsidR="00251223">
        <w:rPr>
          <w:rFonts w:ascii="Arial" w:hAnsi="Arial" w:cs="Arial"/>
          <w:lang w:eastAsia="en-AU"/>
        </w:rPr>
        <w:t xml:space="preserve"> </w:t>
      </w:r>
      <w:r w:rsidR="00133357">
        <w:rPr>
          <w:rFonts w:ascii="Arial" w:hAnsi="Arial" w:cs="Arial"/>
          <w:lang w:eastAsia="en-AU"/>
        </w:rPr>
        <w:t xml:space="preserve">The baseline </w:t>
      </w:r>
      <w:r w:rsidR="00AC47C6">
        <w:rPr>
          <w:rFonts w:ascii="Arial" w:hAnsi="Arial" w:cs="Arial"/>
          <w:lang w:eastAsia="en-AU"/>
        </w:rPr>
        <w:t xml:space="preserve">position </w:t>
      </w:r>
      <w:r w:rsidR="00133357">
        <w:rPr>
          <w:rFonts w:ascii="Arial" w:hAnsi="Arial" w:cs="Arial"/>
          <w:lang w:eastAsia="en-AU"/>
        </w:rPr>
        <w:t xml:space="preserve">remains that </w:t>
      </w:r>
      <w:r w:rsidR="00E95FC2">
        <w:rPr>
          <w:rFonts w:ascii="Arial" w:hAnsi="Arial" w:cs="Arial"/>
          <w:lang w:eastAsia="en-AU"/>
        </w:rPr>
        <w:t>a heavy vehicle</w:t>
      </w:r>
      <w:r w:rsidR="00133357">
        <w:rPr>
          <w:rFonts w:ascii="Arial" w:hAnsi="Arial" w:cs="Arial"/>
          <w:lang w:eastAsia="en-AU"/>
        </w:rPr>
        <w:t xml:space="preserve"> operator </w:t>
      </w:r>
      <w:r w:rsidR="002C7BC1">
        <w:rPr>
          <w:rFonts w:ascii="Arial" w:hAnsi="Arial" w:cs="Arial"/>
          <w:lang w:eastAsia="en-AU"/>
        </w:rPr>
        <w:t>can</w:t>
      </w:r>
      <w:r w:rsidR="00133357">
        <w:rPr>
          <w:rFonts w:ascii="Arial" w:hAnsi="Arial" w:cs="Arial"/>
          <w:lang w:eastAsia="en-AU"/>
        </w:rPr>
        <w:t xml:space="preserve"> be compliant and safe without telematics technology.</w:t>
      </w:r>
    </w:p>
    <w:p w:rsidR="00E72983" w:rsidRPr="00075246" w:rsidRDefault="00E72983" w:rsidP="001D06D8">
      <w:pPr>
        <w:jc w:val="both"/>
        <w:rPr>
          <w:rFonts w:ascii="Arial" w:hAnsi="Arial" w:cs="Arial"/>
          <w:sz w:val="21"/>
          <w:szCs w:val="21"/>
        </w:rPr>
      </w:pPr>
    </w:p>
    <w:p w:rsidR="00576ED0" w:rsidRPr="00CA6C07" w:rsidRDefault="003340FB" w:rsidP="001D06D8">
      <w:pPr>
        <w:pStyle w:val="Heading1"/>
        <w:jc w:val="both"/>
      </w:pPr>
      <w:r w:rsidRPr="00CA6C07">
        <w:t xml:space="preserve"> </w:t>
      </w:r>
      <w:bookmarkStart w:id="1" w:name="_Toc353434676"/>
      <w:r w:rsidRPr="00CA6C07">
        <w:t>Australian Trucking Association</w:t>
      </w:r>
      <w:bookmarkEnd w:id="1"/>
      <w:r w:rsidRPr="00CA6C07">
        <w:t xml:space="preserve">  </w:t>
      </w:r>
    </w:p>
    <w:p w:rsidR="004008C7" w:rsidRPr="00CA6C07" w:rsidRDefault="004008C7" w:rsidP="001D06D8">
      <w:pPr>
        <w:pStyle w:val="BodyText2"/>
        <w:jc w:val="both"/>
        <w:rPr>
          <w:b w:val="0"/>
          <w:sz w:val="20"/>
        </w:rPr>
      </w:pPr>
    </w:p>
    <w:p w:rsidR="00645592" w:rsidRPr="00FC734D" w:rsidRDefault="00CF3600" w:rsidP="001D06D8">
      <w:pPr>
        <w:pStyle w:val="BodyText2"/>
        <w:rPr>
          <w:rFonts w:eastAsia="Calibri"/>
          <w:b w:val="0"/>
          <w:bCs w:val="0"/>
          <w:szCs w:val="22"/>
          <w:lang w:eastAsia="en-AU"/>
        </w:rPr>
      </w:pPr>
      <w:r w:rsidRPr="00FC734D">
        <w:rPr>
          <w:rFonts w:eastAsia="Calibri"/>
          <w:b w:val="0"/>
          <w:bCs w:val="0"/>
          <w:szCs w:val="22"/>
          <w:lang w:eastAsia="en-AU"/>
        </w:rPr>
        <w:t>The Australian Trucking Association (ATA) is the peak body that represents the trucking industry. Its members include state and sector</w:t>
      </w:r>
      <w:r w:rsidR="00383000" w:rsidRPr="00FC734D">
        <w:rPr>
          <w:rFonts w:eastAsia="Calibri"/>
          <w:b w:val="0"/>
          <w:bCs w:val="0"/>
          <w:szCs w:val="22"/>
          <w:lang w:eastAsia="en-AU"/>
        </w:rPr>
        <w:t>-</w:t>
      </w:r>
      <w:r w:rsidRPr="00FC734D">
        <w:rPr>
          <w:rFonts w:eastAsia="Calibri"/>
          <w:b w:val="0"/>
          <w:bCs w:val="0"/>
          <w:szCs w:val="22"/>
          <w:lang w:eastAsia="en-AU"/>
        </w:rPr>
        <w:t xml:space="preserve">based trucking associations, some of the nation’s largest transport companies, and businesses with leading expertise in truck technology. </w:t>
      </w:r>
    </w:p>
    <w:p w:rsidR="00280ADB" w:rsidRPr="00FC734D" w:rsidRDefault="00280ADB" w:rsidP="001D06D8">
      <w:pPr>
        <w:pStyle w:val="BodyText2"/>
        <w:rPr>
          <w:rFonts w:eastAsia="Calibri"/>
          <w:b w:val="0"/>
          <w:bCs w:val="0"/>
          <w:szCs w:val="22"/>
          <w:lang w:eastAsia="en-AU"/>
        </w:rPr>
      </w:pPr>
    </w:p>
    <w:p w:rsidR="00E56364" w:rsidRPr="00CE1174" w:rsidRDefault="00907971" w:rsidP="001D06D8">
      <w:pPr>
        <w:pStyle w:val="Heading1"/>
        <w:jc w:val="both"/>
      </w:pPr>
      <w:bookmarkStart w:id="2" w:name="_Toc353434677"/>
      <w:r w:rsidRPr="00CA6C07">
        <w:t>Recommendations</w:t>
      </w:r>
      <w:bookmarkEnd w:id="2"/>
      <w:r w:rsidR="00C05A4F" w:rsidRPr="008C5E09">
        <w:t xml:space="preserve"> </w:t>
      </w:r>
    </w:p>
    <w:p w:rsidR="003D0217" w:rsidRPr="00F60F5F" w:rsidRDefault="003D0217" w:rsidP="003D0217">
      <w:pPr>
        <w:pStyle w:val="TOC1"/>
        <w:rPr>
          <w:rFonts w:eastAsiaTheme="minorEastAsia" w:cs="Arial"/>
          <w:color w:val="auto"/>
          <w:sz w:val="22"/>
          <w:szCs w:val="22"/>
          <w:lang w:eastAsia="en-AU"/>
        </w:rPr>
      </w:pPr>
      <w:r w:rsidRPr="00F60F5F">
        <w:rPr>
          <w:rFonts w:cs="Arial"/>
          <w:sz w:val="22"/>
          <w:szCs w:val="22"/>
        </w:rPr>
        <w:t>Recommendation 1</w:t>
      </w:r>
    </w:p>
    <w:p w:rsidR="003D0217" w:rsidRDefault="003D0217" w:rsidP="003D0217">
      <w:pPr>
        <w:jc w:val="both"/>
        <w:rPr>
          <w:rFonts w:ascii="Arial" w:hAnsi="Arial" w:cs="Arial"/>
          <w:b/>
        </w:rPr>
      </w:pPr>
    </w:p>
    <w:p w:rsidR="003D0217" w:rsidRPr="00F60F5F" w:rsidRDefault="003D0217" w:rsidP="003D0217">
      <w:pPr>
        <w:jc w:val="both"/>
        <w:rPr>
          <w:rFonts w:ascii="Arial" w:hAnsi="Arial" w:cs="Arial"/>
          <w:b/>
        </w:rPr>
      </w:pPr>
      <w:r w:rsidRPr="00F60F5F">
        <w:rPr>
          <w:rFonts w:ascii="Arial" w:hAnsi="Arial" w:cs="Arial"/>
          <w:b/>
        </w:rPr>
        <w:t xml:space="preserve">That the NTC revise references to the </w:t>
      </w:r>
      <w:r w:rsidRPr="00F60F5F">
        <w:rPr>
          <w:rFonts w:ascii="Arial" w:hAnsi="Arial" w:cs="Arial"/>
          <w:b/>
          <w:i/>
        </w:rPr>
        <w:t>TruckSafe</w:t>
      </w:r>
      <w:r w:rsidRPr="00F60F5F">
        <w:rPr>
          <w:rFonts w:ascii="Arial" w:hAnsi="Arial" w:cs="Arial"/>
          <w:b/>
        </w:rPr>
        <w:t>® safety accreditation program to include an explanation and appraisal of both its methodology for ensuring safety and compliance and its demonstrated outcomes in comparison with other (possible) schemes.</w:t>
      </w:r>
    </w:p>
    <w:p w:rsidR="009378E3" w:rsidRPr="000A0B03" w:rsidRDefault="009378E3" w:rsidP="009378E3">
      <w:pPr>
        <w:pStyle w:val="TOC1"/>
        <w:rPr>
          <w:rFonts w:cs="Arial"/>
        </w:rPr>
      </w:pPr>
      <w:r w:rsidRPr="000A0B03">
        <w:rPr>
          <w:rFonts w:cs="Arial"/>
          <w:sz w:val="22"/>
          <w:szCs w:val="22"/>
        </w:rPr>
        <w:t>Recommendation 2</w:t>
      </w:r>
    </w:p>
    <w:p w:rsidR="009378E3" w:rsidRDefault="009378E3" w:rsidP="009378E3">
      <w:pPr>
        <w:rPr>
          <w:rFonts w:ascii="Arial" w:hAnsi="Arial" w:cs="Arial"/>
          <w:b/>
        </w:rPr>
      </w:pPr>
    </w:p>
    <w:p w:rsidR="009378E3" w:rsidRDefault="009378E3" w:rsidP="009378E3">
      <w:pPr>
        <w:rPr>
          <w:rFonts w:ascii="Arial" w:hAnsi="Arial" w:cs="Arial"/>
          <w:b/>
        </w:rPr>
      </w:pPr>
      <w:r w:rsidRPr="000A0B03">
        <w:rPr>
          <w:rFonts w:ascii="Arial" w:hAnsi="Arial" w:cs="Arial"/>
          <w:b/>
        </w:rPr>
        <w:t xml:space="preserve">The ATA recommends that the NTC continue to develop policies that simplify </w:t>
      </w:r>
      <w:r>
        <w:rPr>
          <w:rFonts w:ascii="Arial" w:hAnsi="Arial" w:cs="Arial"/>
          <w:b/>
        </w:rPr>
        <w:t xml:space="preserve">and improve </w:t>
      </w:r>
      <w:r w:rsidRPr="000A0B03">
        <w:rPr>
          <w:rFonts w:ascii="Arial" w:hAnsi="Arial" w:cs="Arial"/>
          <w:b/>
        </w:rPr>
        <w:t xml:space="preserve">the regulatory environment </w:t>
      </w:r>
      <w:r>
        <w:rPr>
          <w:rFonts w:ascii="Arial" w:hAnsi="Arial" w:cs="Arial"/>
          <w:b/>
        </w:rPr>
        <w:t>in order to</w:t>
      </w:r>
      <w:r w:rsidRPr="000A0B03">
        <w:rPr>
          <w:rFonts w:ascii="Arial" w:hAnsi="Arial" w:cs="Arial"/>
          <w:b/>
        </w:rPr>
        <w:t xml:space="preserve"> maximise industry productivity. </w:t>
      </w:r>
    </w:p>
    <w:p w:rsidR="00B45347" w:rsidRPr="0002441F" w:rsidRDefault="00B45347" w:rsidP="00511253">
      <w:pPr>
        <w:pStyle w:val="TOC1"/>
        <w:rPr>
          <w:rFonts w:cs="Arial"/>
          <w:sz w:val="22"/>
          <w:szCs w:val="22"/>
        </w:rPr>
      </w:pPr>
      <w:r w:rsidRPr="0002441F">
        <w:rPr>
          <w:rFonts w:cs="Arial"/>
          <w:sz w:val="22"/>
          <w:szCs w:val="22"/>
        </w:rPr>
        <w:t xml:space="preserve">Recommendation </w:t>
      </w:r>
      <w:r w:rsidR="00CD5A29">
        <w:rPr>
          <w:rFonts w:cs="Arial"/>
          <w:sz w:val="22"/>
          <w:szCs w:val="22"/>
        </w:rPr>
        <w:t>3</w:t>
      </w:r>
    </w:p>
    <w:p w:rsidR="00073B1B" w:rsidRDefault="00073B1B" w:rsidP="00511253">
      <w:pPr>
        <w:pStyle w:val="TOC1"/>
        <w:rPr>
          <w:rFonts w:cs="Arial"/>
          <w:sz w:val="22"/>
          <w:szCs w:val="22"/>
        </w:rPr>
      </w:pPr>
      <w:r w:rsidRPr="0002441F">
        <w:rPr>
          <w:rFonts w:cs="Arial"/>
          <w:sz w:val="22"/>
          <w:szCs w:val="22"/>
        </w:rPr>
        <w:t>The ATA recommends</w:t>
      </w:r>
      <w:r w:rsidR="0077570F" w:rsidRPr="0002441F">
        <w:rPr>
          <w:rFonts w:cs="Arial"/>
          <w:sz w:val="22"/>
          <w:szCs w:val="22"/>
        </w:rPr>
        <w:t>, in consultation with industry, the</w:t>
      </w:r>
      <w:r w:rsidRPr="0002441F">
        <w:rPr>
          <w:rFonts w:cs="Arial"/>
          <w:sz w:val="22"/>
          <w:szCs w:val="22"/>
        </w:rPr>
        <w:t xml:space="preserve"> </w:t>
      </w:r>
      <w:r w:rsidR="008B033B" w:rsidRPr="0002441F">
        <w:rPr>
          <w:rFonts w:cs="Arial"/>
          <w:sz w:val="22"/>
          <w:szCs w:val="22"/>
        </w:rPr>
        <w:t>establishment</w:t>
      </w:r>
      <w:r w:rsidRPr="0002441F">
        <w:rPr>
          <w:rFonts w:cs="Arial"/>
          <w:sz w:val="22"/>
          <w:szCs w:val="22"/>
        </w:rPr>
        <w:t xml:space="preserve"> </w:t>
      </w:r>
      <w:r w:rsidR="0077570F" w:rsidRPr="0002441F">
        <w:rPr>
          <w:rFonts w:cs="Arial"/>
          <w:sz w:val="22"/>
          <w:szCs w:val="22"/>
        </w:rPr>
        <w:t xml:space="preserve">of </w:t>
      </w:r>
      <w:r w:rsidRPr="0002441F">
        <w:rPr>
          <w:rFonts w:cs="Arial"/>
          <w:sz w:val="22"/>
          <w:szCs w:val="22"/>
        </w:rPr>
        <w:t xml:space="preserve">a national ‘no blame’ investigation capacity for fatal truck crashes, similar to the </w:t>
      </w:r>
      <w:r w:rsidR="0077570F" w:rsidRPr="0002441F">
        <w:rPr>
          <w:rFonts w:cs="Arial"/>
          <w:sz w:val="22"/>
          <w:szCs w:val="22"/>
        </w:rPr>
        <w:t xml:space="preserve">current </w:t>
      </w:r>
      <w:r w:rsidRPr="0002441F">
        <w:rPr>
          <w:rFonts w:cs="Arial"/>
          <w:sz w:val="22"/>
          <w:szCs w:val="22"/>
        </w:rPr>
        <w:t>approach taken for aviation, marine and rail incidents.</w:t>
      </w:r>
    </w:p>
    <w:p w:rsidR="005C5505" w:rsidRPr="0002441F" w:rsidRDefault="005C5505" w:rsidP="005C5505">
      <w:pPr>
        <w:pStyle w:val="TOC1"/>
        <w:rPr>
          <w:rFonts w:cs="Arial"/>
          <w:sz w:val="22"/>
          <w:szCs w:val="22"/>
        </w:rPr>
      </w:pPr>
      <w:r w:rsidRPr="0002441F">
        <w:rPr>
          <w:rFonts w:cs="Arial"/>
          <w:sz w:val="22"/>
          <w:szCs w:val="22"/>
        </w:rPr>
        <w:t xml:space="preserve">Recommendation </w:t>
      </w:r>
      <w:r>
        <w:rPr>
          <w:rFonts w:cs="Arial"/>
          <w:sz w:val="22"/>
          <w:szCs w:val="22"/>
        </w:rPr>
        <w:t>4</w:t>
      </w:r>
    </w:p>
    <w:p w:rsidR="005C5505" w:rsidRDefault="005C5505" w:rsidP="005C5505">
      <w:pPr>
        <w:jc w:val="both"/>
        <w:rPr>
          <w:rFonts w:ascii="Arial" w:hAnsi="Arial" w:cs="Arial"/>
          <w:b/>
        </w:rPr>
      </w:pPr>
    </w:p>
    <w:p w:rsidR="005C5505" w:rsidRPr="0002441F" w:rsidRDefault="005C5505" w:rsidP="005C5505">
      <w:pPr>
        <w:jc w:val="both"/>
        <w:rPr>
          <w:rFonts w:ascii="Arial" w:hAnsi="Arial" w:cs="Arial"/>
          <w:b/>
        </w:rPr>
      </w:pPr>
      <w:r w:rsidRPr="0002441F">
        <w:rPr>
          <w:rFonts w:ascii="Arial" w:hAnsi="Arial" w:cs="Arial"/>
          <w:b/>
        </w:rPr>
        <w:t xml:space="preserve">The ATA recommends that governments </w:t>
      </w:r>
      <w:r>
        <w:rPr>
          <w:rFonts w:ascii="Arial" w:hAnsi="Arial" w:cs="Arial"/>
          <w:b/>
        </w:rPr>
        <w:t>develop</w:t>
      </w:r>
      <w:r w:rsidRPr="0002441F">
        <w:rPr>
          <w:rFonts w:ascii="Arial" w:hAnsi="Arial" w:cs="Arial"/>
          <w:b/>
        </w:rPr>
        <w:t xml:space="preserve"> a nation-wide, publicly accessible database of coronial road safety recommendations, including updates </w:t>
      </w:r>
      <w:r>
        <w:rPr>
          <w:rFonts w:ascii="Arial" w:hAnsi="Arial" w:cs="Arial"/>
          <w:b/>
        </w:rPr>
        <w:t>and</w:t>
      </w:r>
      <w:r w:rsidRPr="0002441F">
        <w:rPr>
          <w:rFonts w:ascii="Arial" w:hAnsi="Arial" w:cs="Arial"/>
          <w:b/>
        </w:rPr>
        <w:t xml:space="preserve"> responses to recommendations </w:t>
      </w:r>
      <w:r>
        <w:rPr>
          <w:rFonts w:ascii="Arial" w:hAnsi="Arial" w:cs="Arial"/>
          <w:b/>
        </w:rPr>
        <w:t>and</w:t>
      </w:r>
      <w:r w:rsidRPr="0002441F">
        <w:rPr>
          <w:rFonts w:ascii="Arial" w:hAnsi="Arial" w:cs="Arial"/>
          <w:b/>
        </w:rPr>
        <w:t xml:space="preserve"> updates on recommendations that have not been followed up. </w:t>
      </w:r>
    </w:p>
    <w:p w:rsidR="00A02A7B" w:rsidRDefault="00A02A7B" w:rsidP="001E090C">
      <w:pPr>
        <w:jc w:val="both"/>
        <w:rPr>
          <w:rFonts w:ascii="Arial" w:hAnsi="Arial" w:cs="Arial"/>
          <w:b/>
        </w:rPr>
      </w:pPr>
    </w:p>
    <w:p w:rsidR="00AF7737" w:rsidRPr="0002441F" w:rsidRDefault="00AF7737" w:rsidP="001D06D8">
      <w:pPr>
        <w:autoSpaceDE w:val="0"/>
        <w:autoSpaceDN w:val="0"/>
        <w:adjustRightInd w:val="0"/>
        <w:jc w:val="both"/>
        <w:rPr>
          <w:rFonts w:ascii="Arial" w:hAnsi="Arial" w:cs="Arial"/>
          <w:b/>
        </w:rPr>
      </w:pPr>
      <w:r w:rsidRPr="0002441F">
        <w:rPr>
          <w:rFonts w:ascii="Arial" w:hAnsi="Arial" w:cs="Arial"/>
          <w:b/>
        </w:rPr>
        <w:t xml:space="preserve">Recommendation </w:t>
      </w:r>
      <w:r w:rsidR="00BA557C">
        <w:rPr>
          <w:rFonts w:ascii="Arial" w:hAnsi="Arial" w:cs="Arial"/>
          <w:b/>
        </w:rPr>
        <w:t>5</w:t>
      </w:r>
    </w:p>
    <w:p w:rsidR="001E090C" w:rsidRDefault="001E090C" w:rsidP="001D06D8">
      <w:pPr>
        <w:autoSpaceDE w:val="0"/>
        <w:autoSpaceDN w:val="0"/>
        <w:adjustRightInd w:val="0"/>
        <w:jc w:val="both"/>
        <w:rPr>
          <w:rFonts w:ascii="Arial" w:hAnsi="Arial" w:cs="Arial"/>
          <w:b/>
        </w:rPr>
      </w:pPr>
    </w:p>
    <w:p w:rsidR="00E43D1F" w:rsidRPr="0002441F" w:rsidRDefault="00E43D1F" w:rsidP="001D06D8">
      <w:pPr>
        <w:autoSpaceDE w:val="0"/>
        <w:autoSpaceDN w:val="0"/>
        <w:adjustRightInd w:val="0"/>
        <w:jc w:val="both"/>
        <w:rPr>
          <w:rFonts w:ascii="Arial" w:hAnsi="Arial" w:cs="Arial"/>
          <w:b/>
        </w:rPr>
      </w:pPr>
      <w:r w:rsidRPr="0002441F">
        <w:rPr>
          <w:rFonts w:ascii="Arial" w:hAnsi="Arial" w:cs="Arial"/>
          <w:b/>
        </w:rPr>
        <w:t xml:space="preserve">The ATA recommends the bridge formula factor of </w:t>
      </w:r>
      <w:r w:rsidR="003D0217">
        <w:rPr>
          <w:rFonts w:ascii="Arial" w:hAnsi="Arial" w:cs="Arial"/>
          <w:b/>
        </w:rPr>
        <w:t>two</w:t>
      </w:r>
      <w:r w:rsidRPr="0002441F">
        <w:rPr>
          <w:rFonts w:ascii="Arial" w:hAnsi="Arial" w:cs="Arial"/>
          <w:b/>
        </w:rPr>
        <w:t xml:space="preserve"> be reduced to reflect better compliance.</w:t>
      </w:r>
    </w:p>
    <w:p w:rsidR="00E43D1F" w:rsidRPr="0002441F" w:rsidRDefault="00E43D1F" w:rsidP="001D06D8">
      <w:pPr>
        <w:rPr>
          <w:rFonts w:ascii="Arial" w:hAnsi="Arial" w:cs="Arial"/>
          <w:b/>
        </w:rPr>
      </w:pPr>
    </w:p>
    <w:p w:rsidR="00244543" w:rsidRPr="00DF4865" w:rsidRDefault="00BB4E99" w:rsidP="001D06D8">
      <w:pPr>
        <w:pStyle w:val="Heading1"/>
        <w:jc w:val="both"/>
      </w:pPr>
      <w:bookmarkStart w:id="3" w:name="_Toc353434678"/>
      <w:r w:rsidRPr="00CA6C07">
        <w:t xml:space="preserve">Industry issues </w:t>
      </w:r>
      <w:bookmarkEnd w:id="3"/>
    </w:p>
    <w:p w:rsidR="009C5B73" w:rsidRDefault="009C5B73" w:rsidP="001D06D8">
      <w:pPr>
        <w:pStyle w:val="RecommendationStyle"/>
        <w:numPr>
          <w:ilvl w:val="0"/>
          <w:numId w:val="0"/>
        </w:numPr>
        <w:spacing w:before="0" w:after="0"/>
      </w:pPr>
      <w:bookmarkStart w:id="4" w:name="_Toc350428781"/>
      <w:bookmarkStart w:id="5" w:name="_Toc350430046"/>
      <w:bookmarkStart w:id="6" w:name="_Toc350863674"/>
      <w:bookmarkStart w:id="7" w:name="_Toc350863781"/>
      <w:bookmarkStart w:id="8" w:name="_Toc351015747"/>
      <w:bookmarkStart w:id="9" w:name="_Toc351031262"/>
      <w:bookmarkStart w:id="10" w:name="_Toc351626128"/>
      <w:bookmarkStart w:id="11" w:name="_Toc352059537"/>
      <w:bookmarkStart w:id="12" w:name="_Toc352059645"/>
      <w:bookmarkStart w:id="13" w:name="_Toc352070702"/>
      <w:bookmarkStart w:id="14" w:name="_Toc352071952"/>
      <w:bookmarkStart w:id="15" w:name="_Toc352149563"/>
      <w:bookmarkStart w:id="16" w:name="_Toc352071954"/>
      <w:bookmarkStart w:id="17" w:name="_Toc352149565"/>
      <w:bookmarkStart w:id="18" w:name="_Toc352163822"/>
      <w:bookmarkStart w:id="19" w:name="_Toc352228463"/>
      <w:bookmarkStart w:id="20" w:name="_Toc352231707"/>
      <w:bookmarkStart w:id="21" w:name="_Toc352740549"/>
      <w:bookmarkStart w:id="22" w:name="_Toc353434601"/>
      <w:bookmarkStart w:id="23" w:name="_Toc353435585"/>
      <w:bookmarkStart w:id="24" w:name="_Toc352149567"/>
      <w:bookmarkStart w:id="25" w:name="_Toc352163824"/>
      <w:bookmarkStart w:id="26" w:name="_Toc352228465"/>
      <w:bookmarkStart w:id="27" w:name="_Toc352231709"/>
      <w:bookmarkStart w:id="28" w:name="_Toc352740551"/>
      <w:bookmarkStart w:id="29" w:name="_Toc353434603"/>
      <w:bookmarkStart w:id="30" w:name="_Toc353435587"/>
      <w:bookmarkStart w:id="31" w:name="_Toc352149569"/>
      <w:bookmarkStart w:id="32" w:name="_Toc352163826"/>
      <w:bookmarkStart w:id="33" w:name="_Toc352228467"/>
      <w:bookmarkStart w:id="34" w:name="_Toc352231711"/>
      <w:bookmarkStart w:id="35" w:name="_Toc352740553"/>
      <w:bookmarkStart w:id="36" w:name="_Toc353434605"/>
      <w:bookmarkStart w:id="37" w:name="_Toc353435589"/>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B352C5" w:rsidRPr="00B352C5" w:rsidRDefault="00B352C5" w:rsidP="001D06D8">
      <w:pPr>
        <w:pStyle w:val="Heading1"/>
        <w:numPr>
          <w:ilvl w:val="1"/>
          <w:numId w:val="3"/>
        </w:numPr>
        <w:jc w:val="both"/>
      </w:pPr>
      <w:bookmarkStart w:id="38" w:name="_Toc352163828"/>
      <w:bookmarkStart w:id="39" w:name="_Toc352228469"/>
      <w:bookmarkStart w:id="40" w:name="_Toc352231713"/>
      <w:bookmarkStart w:id="41" w:name="_Toc352740555"/>
      <w:bookmarkStart w:id="42" w:name="_Toc353434607"/>
      <w:bookmarkStart w:id="43" w:name="_Toc353435591"/>
      <w:bookmarkEnd w:id="38"/>
      <w:bookmarkEnd w:id="39"/>
      <w:bookmarkEnd w:id="40"/>
      <w:bookmarkEnd w:id="41"/>
      <w:bookmarkEnd w:id="42"/>
      <w:bookmarkEnd w:id="43"/>
      <w:r>
        <w:t>TruckSafe</w:t>
      </w:r>
      <w:r w:rsidR="002F1E28">
        <w:rPr>
          <w:rFonts w:ascii="Calibri" w:hAnsi="Calibri"/>
        </w:rPr>
        <w:t>®</w:t>
      </w:r>
      <w:r w:rsidR="002F1E28">
        <w:t xml:space="preserve"> Heavy Vehicle </w:t>
      </w:r>
      <w:r w:rsidR="00CE1E8D">
        <w:t xml:space="preserve">Safety </w:t>
      </w:r>
      <w:r w:rsidR="002F1E28">
        <w:t>Accreditation Program</w:t>
      </w:r>
    </w:p>
    <w:p w:rsidR="0026303E" w:rsidRPr="00E76ED8" w:rsidRDefault="0026303E" w:rsidP="001D06D8">
      <w:pPr>
        <w:rPr>
          <w:rFonts w:ascii="Arial" w:hAnsi="Arial" w:cs="Arial"/>
          <w:b/>
        </w:rPr>
      </w:pPr>
    </w:p>
    <w:p w:rsidR="00EE719C" w:rsidRDefault="008879D4" w:rsidP="001D06D8">
      <w:pPr>
        <w:jc w:val="both"/>
        <w:rPr>
          <w:rFonts w:ascii="Arial" w:hAnsi="Arial" w:cs="Arial"/>
        </w:rPr>
      </w:pPr>
      <w:r w:rsidRPr="00F60F5F">
        <w:rPr>
          <w:rFonts w:ascii="Arial" w:hAnsi="Arial" w:cs="Arial"/>
        </w:rPr>
        <w:t xml:space="preserve">Much is </w:t>
      </w:r>
      <w:r w:rsidR="00E62D6D">
        <w:rPr>
          <w:rFonts w:ascii="Arial" w:hAnsi="Arial" w:cs="Arial"/>
        </w:rPr>
        <w:t>made in</w:t>
      </w:r>
      <w:r w:rsidRPr="00F60F5F">
        <w:rPr>
          <w:rFonts w:ascii="Arial" w:hAnsi="Arial" w:cs="Arial"/>
        </w:rPr>
        <w:t xml:space="preserve"> </w:t>
      </w:r>
      <w:r w:rsidR="00503B45" w:rsidRPr="00F60F5F">
        <w:rPr>
          <w:rFonts w:ascii="Arial" w:hAnsi="Arial" w:cs="Arial"/>
          <w:i/>
        </w:rPr>
        <w:t xml:space="preserve">Chapter 14: </w:t>
      </w:r>
      <w:r w:rsidRPr="00F60F5F">
        <w:rPr>
          <w:rFonts w:ascii="Arial" w:hAnsi="Arial" w:cs="Arial"/>
          <w:i/>
        </w:rPr>
        <w:t>Gateway/Preventative Mechanism</w:t>
      </w:r>
      <w:r w:rsidRPr="00F60F5F">
        <w:rPr>
          <w:rFonts w:ascii="Arial" w:hAnsi="Arial" w:cs="Arial"/>
        </w:rPr>
        <w:t xml:space="preserve"> </w:t>
      </w:r>
      <w:r w:rsidR="00E62D6D">
        <w:rPr>
          <w:rFonts w:ascii="Arial" w:hAnsi="Arial" w:cs="Arial"/>
        </w:rPr>
        <w:t>of</w:t>
      </w:r>
      <w:r w:rsidRPr="00F60F5F">
        <w:rPr>
          <w:rFonts w:ascii="Arial" w:hAnsi="Arial" w:cs="Arial"/>
        </w:rPr>
        <w:t xml:space="preserve"> a </w:t>
      </w:r>
      <w:r w:rsidR="001B2166" w:rsidRPr="00F60F5F">
        <w:rPr>
          <w:rFonts w:ascii="Arial" w:hAnsi="Arial" w:cs="Arial"/>
        </w:rPr>
        <w:t>proposed</w:t>
      </w:r>
      <w:r w:rsidR="009F6BC4">
        <w:rPr>
          <w:rFonts w:ascii="Arial" w:hAnsi="Arial" w:cs="Arial"/>
        </w:rPr>
        <w:t xml:space="preserve"> Five Star </w:t>
      </w:r>
      <w:r w:rsidRPr="00F60F5F">
        <w:rPr>
          <w:rFonts w:ascii="Arial" w:hAnsi="Arial" w:cs="Arial"/>
        </w:rPr>
        <w:t>licensing scheme for heavy vehicle operators</w:t>
      </w:r>
      <w:r w:rsidR="00EF6894" w:rsidRPr="00F60F5F">
        <w:rPr>
          <w:rFonts w:ascii="Arial" w:hAnsi="Arial" w:cs="Arial"/>
        </w:rPr>
        <w:t xml:space="preserve"> (aka</w:t>
      </w:r>
      <w:r w:rsidR="0026303E" w:rsidRPr="00F60F5F">
        <w:rPr>
          <w:rFonts w:ascii="Arial" w:hAnsi="Arial" w:cs="Arial"/>
        </w:rPr>
        <w:t>,</w:t>
      </w:r>
      <w:r w:rsidR="00EF6894" w:rsidRPr="00F60F5F">
        <w:rPr>
          <w:rFonts w:ascii="Arial" w:hAnsi="Arial" w:cs="Arial"/>
        </w:rPr>
        <w:t xml:space="preserve"> a ‘safety rating scheme</w:t>
      </w:r>
      <w:r w:rsidR="00C61138" w:rsidRPr="00F60F5F">
        <w:rPr>
          <w:rFonts w:ascii="Arial" w:hAnsi="Arial" w:cs="Arial"/>
        </w:rPr>
        <w:t>’</w:t>
      </w:r>
      <w:r w:rsidR="00EF6894" w:rsidRPr="00F60F5F">
        <w:rPr>
          <w:rFonts w:ascii="Arial" w:hAnsi="Arial" w:cs="Arial"/>
        </w:rPr>
        <w:t>)</w:t>
      </w:r>
      <w:r w:rsidRPr="00F60F5F">
        <w:rPr>
          <w:rFonts w:ascii="Arial" w:hAnsi="Arial" w:cs="Arial"/>
        </w:rPr>
        <w:t xml:space="preserve"> for which there </w:t>
      </w:r>
      <w:r w:rsidR="009F6BC4">
        <w:rPr>
          <w:rFonts w:ascii="Arial" w:hAnsi="Arial" w:cs="Arial"/>
        </w:rPr>
        <w:t>are few</w:t>
      </w:r>
      <w:r w:rsidRPr="00F60F5F">
        <w:rPr>
          <w:rFonts w:ascii="Arial" w:hAnsi="Arial" w:cs="Arial"/>
        </w:rPr>
        <w:t xml:space="preserve"> detail</w:t>
      </w:r>
      <w:r w:rsidR="009F6BC4">
        <w:rPr>
          <w:rFonts w:ascii="Arial" w:hAnsi="Arial" w:cs="Arial"/>
        </w:rPr>
        <w:t>s</w:t>
      </w:r>
      <w:r w:rsidRPr="00F60F5F">
        <w:rPr>
          <w:rFonts w:ascii="Arial" w:hAnsi="Arial" w:cs="Arial"/>
        </w:rPr>
        <w:t xml:space="preserve"> and no known case studies.</w:t>
      </w:r>
      <w:r w:rsidR="002C48B6">
        <w:rPr>
          <w:rFonts w:ascii="Arial" w:hAnsi="Arial" w:cs="Arial"/>
        </w:rPr>
        <w:t xml:space="preserve"> </w:t>
      </w:r>
      <w:r w:rsidR="00C61138" w:rsidRPr="00F60F5F">
        <w:rPr>
          <w:rFonts w:ascii="Arial" w:hAnsi="Arial" w:cs="Arial"/>
        </w:rPr>
        <w:t>On face value, t</w:t>
      </w:r>
      <w:r w:rsidR="00EE719C" w:rsidRPr="00F60F5F">
        <w:rPr>
          <w:rFonts w:ascii="Arial" w:hAnsi="Arial" w:cs="Arial"/>
        </w:rPr>
        <w:t>h</w:t>
      </w:r>
      <w:r w:rsidR="00FE1321">
        <w:rPr>
          <w:rFonts w:ascii="Arial" w:hAnsi="Arial" w:cs="Arial"/>
        </w:rPr>
        <w:t>is</w:t>
      </w:r>
      <w:r w:rsidR="00EE719C" w:rsidRPr="00F60F5F">
        <w:rPr>
          <w:rFonts w:ascii="Arial" w:hAnsi="Arial" w:cs="Arial"/>
        </w:rPr>
        <w:t xml:space="preserve"> concept </w:t>
      </w:r>
      <w:r w:rsidR="00DC012D" w:rsidRPr="00F60F5F">
        <w:rPr>
          <w:rFonts w:ascii="Arial" w:hAnsi="Arial" w:cs="Arial"/>
        </w:rPr>
        <w:t xml:space="preserve">appears to </w:t>
      </w:r>
      <w:r w:rsidR="00EE719C" w:rsidRPr="00F60F5F">
        <w:rPr>
          <w:rFonts w:ascii="Arial" w:hAnsi="Arial" w:cs="Arial"/>
        </w:rPr>
        <w:t>present</w:t>
      </w:r>
      <w:r w:rsidR="00C61138" w:rsidRPr="00F60F5F">
        <w:rPr>
          <w:rFonts w:ascii="Arial" w:hAnsi="Arial" w:cs="Arial"/>
        </w:rPr>
        <w:t xml:space="preserve"> </w:t>
      </w:r>
      <w:r w:rsidR="008F17AC" w:rsidRPr="00F60F5F">
        <w:rPr>
          <w:rFonts w:ascii="Arial" w:hAnsi="Arial" w:cs="Arial"/>
        </w:rPr>
        <w:t>freight</w:t>
      </w:r>
      <w:r w:rsidR="00C61138" w:rsidRPr="00F60F5F">
        <w:rPr>
          <w:rFonts w:ascii="Arial" w:hAnsi="Arial" w:cs="Arial"/>
        </w:rPr>
        <w:t xml:space="preserve"> </w:t>
      </w:r>
      <w:r w:rsidR="00A745B6" w:rsidRPr="00F60F5F">
        <w:rPr>
          <w:rFonts w:ascii="Arial" w:hAnsi="Arial" w:cs="Arial"/>
        </w:rPr>
        <w:t xml:space="preserve">customers with additional material </w:t>
      </w:r>
      <w:r w:rsidR="00EE719C" w:rsidRPr="00F60F5F">
        <w:rPr>
          <w:rFonts w:ascii="Arial" w:hAnsi="Arial" w:cs="Arial"/>
        </w:rPr>
        <w:t>compound</w:t>
      </w:r>
      <w:r w:rsidR="009F6BC4">
        <w:rPr>
          <w:rFonts w:ascii="Arial" w:hAnsi="Arial" w:cs="Arial"/>
        </w:rPr>
        <w:t>ing</w:t>
      </w:r>
      <w:r w:rsidR="00EE719C" w:rsidRPr="00F60F5F">
        <w:rPr>
          <w:rFonts w:ascii="Arial" w:hAnsi="Arial" w:cs="Arial"/>
        </w:rPr>
        <w:t xml:space="preserve"> the complexity of their decisions </w:t>
      </w:r>
      <w:r w:rsidR="005B13C4" w:rsidRPr="00F60F5F">
        <w:rPr>
          <w:rFonts w:ascii="Arial" w:hAnsi="Arial" w:cs="Arial"/>
        </w:rPr>
        <w:t>when</w:t>
      </w:r>
      <w:r w:rsidR="00EE719C" w:rsidRPr="00F60F5F">
        <w:rPr>
          <w:rFonts w:ascii="Arial" w:hAnsi="Arial" w:cs="Arial"/>
        </w:rPr>
        <w:t xml:space="preserve"> </w:t>
      </w:r>
      <w:r w:rsidR="00A745B6" w:rsidRPr="00F60F5F">
        <w:rPr>
          <w:rFonts w:ascii="Arial" w:hAnsi="Arial" w:cs="Arial"/>
        </w:rPr>
        <w:t>selecting</w:t>
      </w:r>
      <w:r w:rsidR="00EE719C" w:rsidRPr="00F60F5F">
        <w:rPr>
          <w:rFonts w:ascii="Arial" w:hAnsi="Arial" w:cs="Arial"/>
        </w:rPr>
        <w:t xml:space="preserve"> operators.  </w:t>
      </w:r>
      <w:r w:rsidR="00A97530" w:rsidRPr="00F60F5F">
        <w:rPr>
          <w:rFonts w:ascii="Arial" w:hAnsi="Arial" w:cs="Arial"/>
        </w:rPr>
        <w:t xml:space="preserve">Further, </w:t>
      </w:r>
      <w:r w:rsidR="002C48B6">
        <w:rPr>
          <w:rFonts w:ascii="Arial" w:hAnsi="Arial" w:cs="Arial"/>
        </w:rPr>
        <w:t>it</w:t>
      </w:r>
      <w:r w:rsidR="00A97530" w:rsidRPr="00F60F5F">
        <w:rPr>
          <w:rFonts w:ascii="Arial" w:hAnsi="Arial" w:cs="Arial"/>
        </w:rPr>
        <w:t xml:space="preserve"> undermines the COR policy as users will be encouraged to divert responsibility.</w:t>
      </w:r>
    </w:p>
    <w:p w:rsidR="00E45E7E" w:rsidRPr="00F60F5F" w:rsidRDefault="00E45E7E" w:rsidP="001D06D8">
      <w:pPr>
        <w:jc w:val="both"/>
        <w:rPr>
          <w:rFonts w:ascii="Arial" w:hAnsi="Arial" w:cs="Arial"/>
        </w:rPr>
      </w:pPr>
    </w:p>
    <w:p w:rsidR="00861A4C" w:rsidRPr="00F60F5F" w:rsidRDefault="00EF6894" w:rsidP="001D06D8">
      <w:pPr>
        <w:jc w:val="both"/>
        <w:rPr>
          <w:rFonts w:ascii="Arial" w:hAnsi="Arial" w:cs="Arial"/>
        </w:rPr>
      </w:pPr>
      <w:r w:rsidRPr="00F60F5F">
        <w:rPr>
          <w:rFonts w:ascii="Arial" w:hAnsi="Arial" w:cs="Arial"/>
        </w:rPr>
        <w:t>A</w:t>
      </w:r>
      <w:r w:rsidR="00114378" w:rsidRPr="00F60F5F">
        <w:rPr>
          <w:rFonts w:ascii="Arial" w:hAnsi="Arial" w:cs="Arial"/>
        </w:rPr>
        <w:t>t the same time</w:t>
      </w:r>
      <w:r w:rsidR="00004BA1" w:rsidRPr="00F60F5F">
        <w:rPr>
          <w:rFonts w:ascii="Arial" w:hAnsi="Arial" w:cs="Arial"/>
        </w:rPr>
        <w:t>,</w:t>
      </w:r>
      <w:r w:rsidR="00B352C5" w:rsidRPr="00F60F5F">
        <w:rPr>
          <w:rFonts w:ascii="Arial" w:hAnsi="Arial" w:cs="Arial"/>
        </w:rPr>
        <w:t xml:space="preserve"> no</w:t>
      </w:r>
      <w:r w:rsidR="001B2166" w:rsidRPr="00F60F5F">
        <w:rPr>
          <w:rFonts w:ascii="Arial" w:hAnsi="Arial" w:cs="Arial"/>
        </w:rPr>
        <w:t xml:space="preserve"> </w:t>
      </w:r>
      <w:r w:rsidR="004B26D5">
        <w:rPr>
          <w:rFonts w:ascii="Arial" w:hAnsi="Arial" w:cs="Arial"/>
        </w:rPr>
        <w:t xml:space="preserve">detailed </w:t>
      </w:r>
      <w:r w:rsidR="00B352C5" w:rsidRPr="00F60F5F">
        <w:rPr>
          <w:rFonts w:ascii="Arial" w:hAnsi="Arial" w:cs="Arial"/>
        </w:rPr>
        <w:t xml:space="preserve">discussion </w:t>
      </w:r>
      <w:r w:rsidR="007F1CDA" w:rsidRPr="00F60F5F">
        <w:rPr>
          <w:rFonts w:ascii="Arial" w:hAnsi="Arial" w:cs="Arial"/>
        </w:rPr>
        <w:t xml:space="preserve">is </w:t>
      </w:r>
      <w:r w:rsidRPr="00F60F5F">
        <w:rPr>
          <w:rFonts w:ascii="Arial" w:hAnsi="Arial" w:cs="Arial"/>
        </w:rPr>
        <w:t>found</w:t>
      </w:r>
      <w:r w:rsidR="00B0474F">
        <w:rPr>
          <w:rFonts w:ascii="Arial" w:hAnsi="Arial" w:cs="Arial"/>
        </w:rPr>
        <w:t xml:space="preserve"> in Chapter 14</w:t>
      </w:r>
      <w:r w:rsidRPr="00F60F5F">
        <w:rPr>
          <w:rFonts w:ascii="Arial" w:hAnsi="Arial" w:cs="Arial"/>
        </w:rPr>
        <w:t xml:space="preserve"> </w:t>
      </w:r>
      <w:r w:rsidR="00B352C5" w:rsidRPr="00F60F5F">
        <w:rPr>
          <w:rFonts w:ascii="Arial" w:hAnsi="Arial" w:cs="Arial"/>
        </w:rPr>
        <w:t xml:space="preserve">of </w:t>
      </w:r>
      <w:r w:rsidR="00B352C5" w:rsidRPr="00F60F5F">
        <w:rPr>
          <w:rFonts w:ascii="Arial" w:hAnsi="Arial" w:cs="Arial"/>
          <w:b/>
          <w:i/>
        </w:rPr>
        <w:t>TruckSafe</w:t>
      </w:r>
      <w:r w:rsidR="002F1E28" w:rsidRPr="007A05B7">
        <w:rPr>
          <w:rFonts w:ascii="Arial" w:hAnsi="Arial" w:cs="Arial"/>
          <w:b/>
          <w:i/>
          <w:sz w:val="20"/>
          <w:szCs w:val="20"/>
          <w:vertAlign w:val="superscript"/>
        </w:rPr>
        <w:t>®</w:t>
      </w:r>
      <w:r w:rsidR="00B352C5" w:rsidRPr="00F60F5F">
        <w:rPr>
          <w:rFonts w:ascii="Arial" w:hAnsi="Arial" w:cs="Arial"/>
        </w:rPr>
        <w:t xml:space="preserve">, </w:t>
      </w:r>
      <w:r w:rsidR="008879D4" w:rsidRPr="00F60F5F">
        <w:rPr>
          <w:rFonts w:ascii="Arial" w:hAnsi="Arial" w:cs="Arial"/>
        </w:rPr>
        <w:t>the</w:t>
      </w:r>
      <w:r w:rsidR="00B352C5" w:rsidRPr="00F60F5F">
        <w:rPr>
          <w:rFonts w:ascii="Arial" w:hAnsi="Arial" w:cs="Arial"/>
        </w:rPr>
        <w:t xml:space="preserve"> </w:t>
      </w:r>
      <w:r w:rsidR="0026303E" w:rsidRPr="00F60F5F">
        <w:rPr>
          <w:rFonts w:ascii="Arial" w:hAnsi="Arial" w:cs="Arial"/>
        </w:rPr>
        <w:t>long-standing</w:t>
      </w:r>
      <w:r w:rsidR="00B352C5" w:rsidRPr="00F60F5F">
        <w:rPr>
          <w:rFonts w:ascii="Arial" w:hAnsi="Arial" w:cs="Arial"/>
        </w:rPr>
        <w:t xml:space="preserve"> </w:t>
      </w:r>
      <w:r w:rsidR="008879D4" w:rsidRPr="00F60F5F">
        <w:rPr>
          <w:rFonts w:ascii="Arial" w:hAnsi="Arial" w:cs="Arial"/>
        </w:rPr>
        <w:t xml:space="preserve">industry </w:t>
      </w:r>
      <w:r w:rsidR="008573F3">
        <w:rPr>
          <w:rFonts w:ascii="Arial" w:hAnsi="Arial" w:cs="Arial"/>
        </w:rPr>
        <w:t xml:space="preserve">safety </w:t>
      </w:r>
      <w:r w:rsidR="00B352C5" w:rsidRPr="00F60F5F">
        <w:rPr>
          <w:rFonts w:ascii="Arial" w:hAnsi="Arial" w:cs="Arial"/>
        </w:rPr>
        <w:t xml:space="preserve">accreditation program and its </w:t>
      </w:r>
      <w:r w:rsidR="005D39B2" w:rsidRPr="00F35A01">
        <w:rPr>
          <w:rFonts w:ascii="Arial" w:hAnsi="Arial" w:cs="Arial"/>
        </w:rPr>
        <w:t>stringent</w:t>
      </w:r>
      <w:r w:rsidR="005D39B2">
        <w:rPr>
          <w:rFonts w:ascii="Arial" w:hAnsi="Arial" w:cs="Arial"/>
        </w:rPr>
        <w:t xml:space="preserve"> </w:t>
      </w:r>
      <w:r w:rsidR="00B352C5" w:rsidRPr="00F60F5F">
        <w:rPr>
          <w:rFonts w:ascii="Arial" w:hAnsi="Arial" w:cs="Arial"/>
        </w:rPr>
        <w:t>requirements</w:t>
      </w:r>
      <w:r w:rsidRPr="00F60F5F">
        <w:rPr>
          <w:rFonts w:ascii="Arial" w:hAnsi="Arial" w:cs="Arial"/>
        </w:rPr>
        <w:t xml:space="preserve"> for </w:t>
      </w:r>
      <w:r w:rsidR="00812355">
        <w:rPr>
          <w:rFonts w:ascii="Arial" w:hAnsi="Arial" w:cs="Arial"/>
        </w:rPr>
        <w:t xml:space="preserve">heavy vehicle </w:t>
      </w:r>
      <w:r w:rsidRPr="00F60F5F">
        <w:rPr>
          <w:rFonts w:ascii="Arial" w:hAnsi="Arial" w:cs="Arial"/>
        </w:rPr>
        <w:t>compliance</w:t>
      </w:r>
      <w:r w:rsidR="00B352C5" w:rsidRPr="00F60F5F">
        <w:rPr>
          <w:rFonts w:ascii="Arial" w:hAnsi="Arial" w:cs="Arial"/>
        </w:rPr>
        <w:t xml:space="preserve">. </w:t>
      </w:r>
      <w:r w:rsidR="00EC78CA" w:rsidRPr="00F60F5F">
        <w:rPr>
          <w:rFonts w:ascii="Arial" w:hAnsi="Arial" w:cs="Arial"/>
        </w:rPr>
        <w:t xml:space="preserve">Such </w:t>
      </w:r>
      <w:r w:rsidR="002C48B6">
        <w:rPr>
          <w:rFonts w:ascii="Arial" w:hAnsi="Arial" w:cs="Arial"/>
        </w:rPr>
        <w:t>information</w:t>
      </w:r>
      <w:r w:rsidR="004E66FE" w:rsidRPr="00F60F5F">
        <w:rPr>
          <w:rFonts w:ascii="Arial" w:hAnsi="Arial" w:cs="Arial"/>
        </w:rPr>
        <w:t xml:space="preserve"> is not </w:t>
      </w:r>
      <w:r w:rsidR="00EC78CA" w:rsidRPr="00F60F5F">
        <w:rPr>
          <w:rFonts w:ascii="Arial" w:hAnsi="Arial" w:cs="Arial"/>
        </w:rPr>
        <w:t>found</w:t>
      </w:r>
      <w:r w:rsidR="00B0474F">
        <w:rPr>
          <w:rFonts w:ascii="Arial" w:hAnsi="Arial" w:cs="Arial"/>
        </w:rPr>
        <w:t>,</w:t>
      </w:r>
      <w:r w:rsidR="00EC78CA" w:rsidRPr="00F60F5F">
        <w:rPr>
          <w:rFonts w:ascii="Arial" w:hAnsi="Arial" w:cs="Arial"/>
        </w:rPr>
        <w:t xml:space="preserve"> for example</w:t>
      </w:r>
      <w:r w:rsidR="002C48B6">
        <w:rPr>
          <w:rFonts w:ascii="Arial" w:hAnsi="Arial" w:cs="Arial"/>
        </w:rPr>
        <w:t>,</w:t>
      </w:r>
      <w:r w:rsidR="004E66FE" w:rsidRPr="00F60F5F">
        <w:rPr>
          <w:rFonts w:ascii="Arial" w:hAnsi="Arial" w:cs="Arial"/>
        </w:rPr>
        <w:t xml:space="preserve"> in s</w:t>
      </w:r>
      <w:r w:rsidR="0091088A">
        <w:rPr>
          <w:rFonts w:ascii="Arial" w:hAnsi="Arial" w:cs="Arial"/>
        </w:rPr>
        <w:t xml:space="preserve">ection </w:t>
      </w:r>
      <w:r w:rsidR="004E66FE" w:rsidRPr="00F60F5F">
        <w:rPr>
          <w:rFonts w:ascii="Arial" w:hAnsi="Arial" w:cs="Arial"/>
        </w:rPr>
        <w:t xml:space="preserve">4.3 – </w:t>
      </w:r>
      <w:r w:rsidR="004E66FE" w:rsidRPr="00F60F5F">
        <w:rPr>
          <w:rFonts w:ascii="Arial" w:hAnsi="Arial" w:cs="Arial"/>
          <w:i/>
        </w:rPr>
        <w:t>Alternative compliance</w:t>
      </w:r>
      <w:r w:rsidR="00B0474F">
        <w:rPr>
          <w:rFonts w:ascii="Arial" w:hAnsi="Arial" w:cs="Arial"/>
          <w:i/>
        </w:rPr>
        <w:t>,</w:t>
      </w:r>
      <w:r w:rsidR="004E66FE" w:rsidRPr="00F60F5F">
        <w:rPr>
          <w:rFonts w:ascii="Arial" w:hAnsi="Arial" w:cs="Arial"/>
          <w:i/>
        </w:rPr>
        <w:t xml:space="preserve"> </w:t>
      </w:r>
      <w:r w:rsidR="004E66FE" w:rsidRPr="00F60F5F">
        <w:rPr>
          <w:rFonts w:ascii="Arial" w:hAnsi="Arial" w:cs="Arial"/>
        </w:rPr>
        <w:t xml:space="preserve">and </w:t>
      </w:r>
      <w:r w:rsidR="00EC78CA" w:rsidRPr="00F60F5F">
        <w:rPr>
          <w:rFonts w:ascii="Arial" w:hAnsi="Arial" w:cs="Arial"/>
        </w:rPr>
        <w:t xml:space="preserve">thus </w:t>
      </w:r>
      <w:r w:rsidR="004E66FE" w:rsidRPr="00F60F5F">
        <w:rPr>
          <w:rFonts w:ascii="Arial" w:hAnsi="Arial" w:cs="Arial"/>
        </w:rPr>
        <w:t>t</w:t>
      </w:r>
      <w:r w:rsidR="00B352C5" w:rsidRPr="00F60F5F">
        <w:rPr>
          <w:rFonts w:ascii="Arial" w:hAnsi="Arial" w:cs="Arial"/>
        </w:rPr>
        <w:t>h</w:t>
      </w:r>
      <w:r w:rsidR="003617DE" w:rsidRPr="00F60F5F">
        <w:rPr>
          <w:rFonts w:ascii="Arial" w:hAnsi="Arial" w:cs="Arial"/>
        </w:rPr>
        <w:t>e</w:t>
      </w:r>
      <w:r w:rsidR="00B352C5" w:rsidRPr="00F60F5F">
        <w:rPr>
          <w:rFonts w:ascii="Arial" w:hAnsi="Arial" w:cs="Arial"/>
        </w:rPr>
        <w:t xml:space="preserve"> </w:t>
      </w:r>
      <w:r w:rsidRPr="00F60F5F">
        <w:rPr>
          <w:rFonts w:ascii="Arial" w:hAnsi="Arial" w:cs="Arial"/>
        </w:rPr>
        <w:t xml:space="preserve">lack of </w:t>
      </w:r>
      <w:r w:rsidR="004E66FE" w:rsidRPr="00F60F5F">
        <w:rPr>
          <w:rFonts w:ascii="Arial" w:hAnsi="Arial" w:cs="Arial"/>
        </w:rPr>
        <w:t xml:space="preserve">detailed </w:t>
      </w:r>
      <w:r w:rsidRPr="00F60F5F">
        <w:rPr>
          <w:rFonts w:ascii="Arial" w:hAnsi="Arial" w:cs="Arial"/>
        </w:rPr>
        <w:t>exploration</w:t>
      </w:r>
      <w:r w:rsidR="00EC78CA" w:rsidRPr="00F60F5F">
        <w:rPr>
          <w:rFonts w:ascii="Arial" w:hAnsi="Arial" w:cs="Arial"/>
        </w:rPr>
        <w:t xml:space="preserve"> is</w:t>
      </w:r>
      <w:r w:rsidR="00B352C5" w:rsidRPr="00F60F5F">
        <w:rPr>
          <w:rFonts w:ascii="Arial" w:hAnsi="Arial" w:cs="Arial"/>
        </w:rPr>
        <w:t xml:space="preserve"> a major short-fall </w:t>
      </w:r>
      <w:r w:rsidR="00114378" w:rsidRPr="00F60F5F">
        <w:rPr>
          <w:rFonts w:ascii="Arial" w:hAnsi="Arial" w:cs="Arial"/>
        </w:rPr>
        <w:t>of</w:t>
      </w:r>
      <w:r w:rsidR="00B352C5" w:rsidRPr="00F60F5F">
        <w:rPr>
          <w:rFonts w:ascii="Arial" w:hAnsi="Arial" w:cs="Arial"/>
        </w:rPr>
        <w:t xml:space="preserve"> the </w:t>
      </w:r>
      <w:r w:rsidR="002F1E28" w:rsidRPr="00F60F5F">
        <w:rPr>
          <w:rFonts w:ascii="Arial" w:hAnsi="Arial" w:cs="Arial"/>
        </w:rPr>
        <w:t>consultation draft</w:t>
      </w:r>
      <w:r w:rsidR="00B352C5" w:rsidRPr="00F60F5F">
        <w:rPr>
          <w:rFonts w:ascii="Arial" w:hAnsi="Arial" w:cs="Arial"/>
        </w:rPr>
        <w:t>.</w:t>
      </w:r>
      <w:r w:rsidR="008879D4" w:rsidRPr="00F60F5F">
        <w:rPr>
          <w:rFonts w:ascii="Arial" w:hAnsi="Arial" w:cs="Arial"/>
        </w:rPr>
        <w:t xml:space="preserve"> </w:t>
      </w:r>
    </w:p>
    <w:p w:rsidR="003617DE" w:rsidRPr="00F60F5F" w:rsidRDefault="003617DE" w:rsidP="001D06D8">
      <w:pPr>
        <w:rPr>
          <w:rFonts w:ascii="Arial" w:hAnsi="Arial" w:cs="Arial"/>
        </w:rPr>
      </w:pPr>
    </w:p>
    <w:p w:rsidR="003617DE" w:rsidRPr="00F60F5F" w:rsidRDefault="00840444" w:rsidP="001D06D8">
      <w:pPr>
        <w:jc w:val="both"/>
        <w:rPr>
          <w:rFonts w:ascii="Arial" w:hAnsi="Arial" w:cs="Arial"/>
        </w:rPr>
      </w:pPr>
      <w:r w:rsidRPr="00F60F5F">
        <w:rPr>
          <w:rFonts w:ascii="Arial" w:hAnsi="Arial" w:cs="Arial"/>
          <w:i/>
        </w:rPr>
        <w:t>TruckSafe</w:t>
      </w:r>
      <w:r w:rsidR="007A05B7" w:rsidRPr="007A05B7">
        <w:rPr>
          <w:rFonts w:ascii="Arial" w:hAnsi="Arial" w:cs="Arial"/>
          <w:b/>
          <w:i/>
          <w:sz w:val="20"/>
          <w:szCs w:val="20"/>
          <w:vertAlign w:val="superscript"/>
        </w:rPr>
        <w:t>®</w:t>
      </w:r>
      <w:r w:rsidRPr="00F60F5F">
        <w:rPr>
          <w:rFonts w:ascii="Arial" w:hAnsi="Arial" w:cs="Arial"/>
        </w:rPr>
        <w:t xml:space="preserve"> </w:t>
      </w:r>
      <w:r w:rsidR="003617DE" w:rsidRPr="00F60F5F">
        <w:rPr>
          <w:rFonts w:ascii="Arial" w:hAnsi="Arial" w:cs="Arial"/>
        </w:rPr>
        <w:t>is the trucking industry’s leading safety accreditation program</w:t>
      </w:r>
      <w:r w:rsidR="00BA0D7B">
        <w:rPr>
          <w:rFonts w:ascii="Arial" w:hAnsi="Arial" w:cs="Arial"/>
        </w:rPr>
        <w:t>.</w:t>
      </w:r>
      <w:r w:rsidR="00874776">
        <w:rPr>
          <w:rFonts w:ascii="Arial" w:hAnsi="Arial" w:cs="Arial"/>
        </w:rPr>
        <w:t xml:space="preserve"> </w:t>
      </w:r>
      <w:r w:rsidR="00BA0D7B">
        <w:rPr>
          <w:rFonts w:ascii="Arial" w:hAnsi="Arial" w:cs="Arial"/>
        </w:rPr>
        <w:t>Its</w:t>
      </w:r>
      <w:r w:rsidR="007A05B7">
        <w:rPr>
          <w:rFonts w:ascii="Arial" w:hAnsi="Arial" w:cs="Arial"/>
          <w:b/>
          <w:i/>
          <w:sz w:val="20"/>
          <w:szCs w:val="20"/>
          <w:vertAlign w:val="superscript"/>
        </w:rPr>
        <w:t xml:space="preserve"> </w:t>
      </w:r>
      <w:r w:rsidR="00D8017E" w:rsidRPr="00F60F5F">
        <w:rPr>
          <w:rFonts w:ascii="Arial" w:hAnsi="Arial" w:cs="Arial"/>
        </w:rPr>
        <w:t>b</w:t>
      </w:r>
      <w:r w:rsidR="003617DE" w:rsidRPr="00F60F5F">
        <w:rPr>
          <w:rFonts w:ascii="Arial" w:hAnsi="Arial" w:cs="Arial"/>
        </w:rPr>
        <w:t>usinesses meet higher safety standards than those required by law and</w:t>
      </w:r>
      <w:r w:rsidR="00BA0D7B">
        <w:rPr>
          <w:rFonts w:ascii="Arial" w:hAnsi="Arial" w:cs="Arial"/>
        </w:rPr>
        <w:t xml:space="preserve"> </w:t>
      </w:r>
      <w:r w:rsidR="0011122B">
        <w:rPr>
          <w:rFonts w:ascii="Arial" w:hAnsi="Arial" w:cs="Arial"/>
        </w:rPr>
        <w:t xml:space="preserve">are also </w:t>
      </w:r>
      <w:r w:rsidR="003617DE" w:rsidRPr="00F60F5F">
        <w:rPr>
          <w:rFonts w:ascii="Arial" w:hAnsi="Arial" w:cs="Arial"/>
        </w:rPr>
        <w:t xml:space="preserve">audited regularly by qualified auditors selected by </w:t>
      </w:r>
      <w:r w:rsidR="003617DE" w:rsidRPr="008573F3">
        <w:rPr>
          <w:rFonts w:ascii="Arial" w:hAnsi="Arial" w:cs="Arial"/>
          <w:i/>
        </w:rPr>
        <w:t>TruckSafe</w:t>
      </w:r>
      <w:r w:rsidR="007A05B7" w:rsidRPr="007A05B7">
        <w:rPr>
          <w:rFonts w:ascii="Arial" w:hAnsi="Arial" w:cs="Arial"/>
          <w:b/>
          <w:i/>
          <w:sz w:val="20"/>
          <w:szCs w:val="20"/>
          <w:vertAlign w:val="superscript"/>
        </w:rPr>
        <w:t>®</w:t>
      </w:r>
      <w:r w:rsidR="003617DE" w:rsidRPr="00F60F5F">
        <w:rPr>
          <w:rFonts w:ascii="Arial" w:hAnsi="Arial" w:cs="Arial"/>
        </w:rPr>
        <w:t xml:space="preserve">. </w:t>
      </w:r>
      <w:r w:rsidR="003617DE" w:rsidRPr="008573F3">
        <w:rPr>
          <w:rFonts w:ascii="Arial" w:hAnsi="Arial" w:cs="Arial"/>
          <w:i/>
        </w:rPr>
        <w:t>TruckSafe</w:t>
      </w:r>
      <w:r w:rsidR="007A05B7" w:rsidRPr="007A05B7">
        <w:rPr>
          <w:rFonts w:ascii="Arial" w:hAnsi="Arial" w:cs="Arial"/>
          <w:b/>
          <w:i/>
          <w:sz w:val="20"/>
          <w:szCs w:val="20"/>
          <w:vertAlign w:val="superscript"/>
        </w:rPr>
        <w:t>®</w:t>
      </w:r>
      <w:r w:rsidR="003617DE" w:rsidRPr="00F60F5F">
        <w:rPr>
          <w:rFonts w:ascii="Arial" w:hAnsi="Arial" w:cs="Arial"/>
        </w:rPr>
        <w:t xml:space="preserve"> is owned by the Australian Trucking Association</w:t>
      </w:r>
      <w:r w:rsidR="00A97530" w:rsidRPr="00F60F5F">
        <w:rPr>
          <w:rFonts w:ascii="Arial" w:hAnsi="Arial" w:cs="Arial"/>
        </w:rPr>
        <w:t xml:space="preserve"> but membership decisions are made by an independent body</w:t>
      </w:r>
      <w:r w:rsidR="003617DE" w:rsidRPr="00F60F5F">
        <w:rPr>
          <w:rFonts w:ascii="Arial" w:hAnsi="Arial" w:cs="Arial"/>
        </w:rPr>
        <w:t>.</w:t>
      </w:r>
      <w:r w:rsidR="004E66FE" w:rsidRPr="00F60F5F">
        <w:rPr>
          <w:rFonts w:ascii="Arial" w:hAnsi="Arial" w:cs="Arial"/>
        </w:rPr>
        <w:t xml:space="preserve"> </w:t>
      </w:r>
    </w:p>
    <w:p w:rsidR="00861A4C" w:rsidRPr="00F60F5F" w:rsidRDefault="00861A4C" w:rsidP="001D06D8">
      <w:pPr>
        <w:jc w:val="both"/>
        <w:rPr>
          <w:rFonts w:ascii="Arial" w:hAnsi="Arial" w:cs="Arial"/>
        </w:rPr>
      </w:pPr>
    </w:p>
    <w:p w:rsidR="00433F16" w:rsidRPr="00F60F5F" w:rsidRDefault="00433F16" w:rsidP="001D06D8">
      <w:pPr>
        <w:jc w:val="both"/>
        <w:rPr>
          <w:rFonts w:ascii="Arial" w:hAnsi="Arial" w:cs="Arial"/>
        </w:rPr>
      </w:pPr>
      <w:r w:rsidRPr="00F60F5F">
        <w:rPr>
          <w:rFonts w:ascii="Arial" w:hAnsi="Arial" w:cs="Arial"/>
        </w:rPr>
        <w:t xml:space="preserve">A brief reference </w:t>
      </w:r>
      <w:r w:rsidR="008573F3" w:rsidRPr="00F60F5F">
        <w:rPr>
          <w:rFonts w:ascii="Arial" w:hAnsi="Arial" w:cs="Arial"/>
        </w:rPr>
        <w:t>is made on p</w:t>
      </w:r>
      <w:r w:rsidR="008573F3">
        <w:rPr>
          <w:rFonts w:ascii="Arial" w:hAnsi="Arial" w:cs="Arial"/>
        </w:rPr>
        <w:t xml:space="preserve">age </w:t>
      </w:r>
      <w:r w:rsidR="008573F3" w:rsidRPr="00F60F5F">
        <w:rPr>
          <w:rFonts w:ascii="Arial" w:hAnsi="Arial" w:cs="Arial"/>
        </w:rPr>
        <w:t xml:space="preserve">95 </w:t>
      </w:r>
      <w:r w:rsidR="00BA0D7B" w:rsidRPr="00F60F5F">
        <w:rPr>
          <w:rFonts w:ascii="Arial" w:hAnsi="Arial" w:cs="Arial"/>
        </w:rPr>
        <w:t>to</w:t>
      </w:r>
      <w:r w:rsidR="008C6DD8">
        <w:rPr>
          <w:rFonts w:ascii="Arial" w:hAnsi="Arial" w:cs="Arial"/>
        </w:rPr>
        <w:t xml:space="preserve"> the</w:t>
      </w:r>
      <w:r w:rsidR="00BA0D7B" w:rsidRPr="00F60F5F">
        <w:rPr>
          <w:rFonts w:ascii="Arial" w:hAnsi="Arial" w:cs="Arial"/>
        </w:rPr>
        <w:t xml:space="preserve"> </w:t>
      </w:r>
      <w:r w:rsidR="00BA0D7B" w:rsidRPr="00F60F5F">
        <w:rPr>
          <w:rFonts w:ascii="Arial" w:hAnsi="Arial" w:cs="Arial"/>
          <w:i/>
        </w:rPr>
        <w:t>TruckSafe</w:t>
      </w:r>
      <w:r w:rsidR="00BA0D7B" w:rsidRPr="007A05B7">
        <w:rPr>
          <w:rFonts w:ascii="Arial" w:hAnsi="Arial" w:cs="Arial"/>
          <w:b/>
          <w:i/>
          <w:sz w:val="20"/>
          <w:szCs w:val="20"/>
          <w:vertAlign w:val="superscript"/>
        </w:rPr>
        <w:t>®</w:t>
      </w:r>
      <w:r w:rsidR="00BA0D7B" w:rsidRPr="00F60F5F">
        <w:rPr>
          <w:rFonts w:ascii="Arial" w:hAnsi="Arial" w:cs="Arial"/>
        </w:rPr>
        <w:t xml:space="preserve"> </w:t>
      </w:r>
      <w:r w:rsidR="008C6DD8">
        <w:rPr>
          <w:rFonts w:ascii="Arial" w:hAnsi="Arial" w:cs="Arial"/>
        </w:rPr>
        <w:t xml:space="preserve">program </w:t>
      </w:r>
      <w:r w:rsidRPr="00F60F5F">
        <w:rPr>
          <w:rFonts w:ascii="Arial" w:hAnsi="Arial" w:cs="Arial"/>
        </w:rPr>
        <w:t>as</w:t>
      </w:r>
      <w:r w:rsidR="008C6DD8">
        <w:rPr>
          <w:rFonts w:ascii="Arial" w:hAnsi="Arial" w:cs="Arial"/>
        </w:rPr>
        <w:t xml:space="preserve"> being</w:t>
      </w:r>
      <w:r w:rsidRPr="00F60F5F">
        <w:rPr>
          <w:rFonts w:ascii="Arial" w:hAnsi="Arial" w:cs="Arial"/>
        </w:rPr>
        <w:t xml:space="preserve"> </w:t>
      </w:r>
      <w:r w:rsidR="004F319D" w:rsidRPr="00F60F5F">
        <w:rPr>
          <w:rFonts w:ascii="Arial" w:hAnsi="Arial" w:cs="Arial"/>
        </w:rPr>
        <w:t>‘</w:t>
      </w:r>
      <w:r w:rsidRPr="00F60F5F">
        <w:rPr>
          <w:rFonts w:ascii="Arial" w:hAnsi="Arial" w:cs="Arial"/>
        </w:rPr>
        <w:t>under consideration</w:t>
      </w:r>
      <w:r w:rsidR="004F319D" w:rsidRPr="00F60F5F">
        <w:rPr>
          <w:rFonts w:ascii="Arial" w:hAnsi="Arial" w:cs="Arial"/>
        </w:rPr>
        <w:t>’</w:t>
      </w:r>
      <w:r w:rsidRPr="00F60F5F">
        <w:rPr>
          <w:rFonts w:ascii="Arial" w:hAnsi="Arial" w:cs="Arial"/>
        </w:rPr>
        <w:t xml:space="preserve"> in the NTC forward work program.</w:t>
      </w:r>
      <w:r w:rsidR="008C6DD8">
        <w:rPr>
          <w:rFonts w:ascii="Arial" w:hAnsi="Arial" w:cs="Arial"/>
        </w:rPr>
        <w:t xml:space="preserve"> </w:t>
      </w:r>
      <w:r w:rsidRPr="00F60F5F">
        <w:rPr>
          <w:rFonts w:ascii="Arial" w:hAnsi="Arial" w:cs="Arial"/>
        </w:rPr>
        <w:t xml:space="preserve">This </w:t>
      </w:r>
      <w:r w:rsidR="00BA0D7B">
        <w:rPr>
          <w:rFonts w:ascii="Arial" w:hAnsi="Arial" w:cs="Arial"/>
        </w:rPr>
        <w:t xml:space="preserve">section </w:t>
      </w:r>
      <w:r w:rsidRPr="00F60F5F">
        <w:rPr>
          <w:rFonts w:ascii="Arial" w:hAnsi="Arial" w:cs="Arial"/>
        </w:rPr>
        <w:t xml:space="preserve">should be expanded to include </w:t>
      </w:r>
      <w:r w:rsidR="004F319D" w:rsidRPr="00F60F5F">
        <w:rPr>
          <w:rFonts w:ascii="Arial" w:hAnsi="Arial" w:cs="Arial"/>
        </w:rPr>
        <w:t xml:space="preserve">more </w:t>
      </w:r>
      <w:r w:rsidRPr="00F60F5F">
        <w:rPr>
          <w:rFonts w:ascii="Arial" w:hAnsi="Arial" w:cs="Arial"/>
        </w:rPr>
        <w:t xml:space="preserve">information about </w:t>
      </w:r>
      <w:r w:rsidR="00DE129A">
        <w:rPr>
          <w:rFonts w:ascii="Arial" w:hAnsi="Arial" w:cs="Arial"/>
        </w:rPr>
        <w:t>which</w:t>
      </w:r>
      <w:r w:rsidRPr="00F60F5F">
        <w:rPr>
          <w:rFonts w:ascii="Arial" w:hAnsi="Arial" w:cs="Arial"/>
        </w:rPr>
        <w:t xml:space="preserve"> particular elements will be placed under consideration</w:t>
      </w:r>
      <w:r w:rsidR="0011122B">
        <w:rPr>
          <w:rFonts w:ascii="Arial" w:hAnsi="Arial" w:cs="Arial"/>
        </w:rPr>
        <w:t>,</w:t>
      </w:r>
      <w:r w:rsidRPr="00F60F5F">
        <w:rPr>
          <w:rFonts w:ascii="Arial" w:hAnsi="Arial" w:cs="Arial"/>
        </w:rPr>
        <w:t xml:space="preserve"> and for what practical </w:t>
      </w:r>
      <w:r w:rsidR="00C87017" w:rsidRPr="00F60F5F">
        <w:rPr>
          <w:rFonts w:ascii="Arial" w:hAnsi="Arial" w:cs="Arial"/>
        </w:rPr>
        <w:t>result.</w:t>
      </w:r>
    </w:p>
    <w:p w:rsidR="00B673C6" w:rsidRPr="00F60F5F" w:rsidRDefault="00B673C6" w:rsidP="001D06D8">
      <w:pPr>
        <w:jc w:val="both"/>
        <w:rPr>
          <w:rFonts w:ascii="Arial" w:hAnsi="Arial" w:cs="Arial"/>
        </w:rPr>
      </w:pPr>
    </w:p>
    <w:p w:rsidR="007A05B7" w:rsidRDefault="00E428F6" w:rsidP="007614D3">
      <w:pPr>
        <w:jc w:val="both"/>
        <w:rPr>
          <w:rFonts w:ascii="Arial" w:hAnsi="Arial" w:cs="Arial"/>
          <w:b/>
          <w:noProof/>
          <w:color w:val="000000" w:themeColor="text1"/>
        </w:rPr>
      </w:pPr>
      <w:r>
        <w:rPr>
          <w:rFonts w:ascii="Arial" w:hAnsi="Arial" w:cs="Arial"/>
        </w:rPr>
        <w:t>Finally</w:t>
      </w:r>
      <w:r w:rsidR="00EF6894" w:rsidRPr="00F60F5F">
        <w:rPr>
          <w:rFonts w:ascii="Arial" w:hAnsi="Arial" w:cs="Arial"/>
        </w:rPr>
        <w:t xml:space="preserve">, none of the </w:t>
      </w:r>
      <w:r w:rsidR="00433F16" w:rsidRPr="00F60F5F">
        <w:rPr>
          <w:rFonts w:ascii="Arial" w:hAnsi="Arial" w:cs="Arial"/>
        </w:rPr>
        <w:t xml:space="preserve">foreign </w:t>
      </w:r>
      <w:r w:rsidR="00861A4C" w:rsidRPr="00F60F5F">
        <w:rPr>
          <w:rFonts w:ascii="Arial" w:hAnsi="Arial" w:cs="Arial"/>
        </w:rPr>
        <w:t xml:space="preserve">non-government accreditation </w:t>
      </w:r>
      <w:r w:rsidR="00EF6894" w:rsidRPr="00F60F5F">
        <w:rPr>
          <w:rFonts w:ascii="Arial" w:hAnsi="Arial" w:cs="Arial"/>
        </w:rPr>
        <w:t xml:space="preserve">schemes </w:t>
      </w:r>
      <w:r w:rsidR="00D8017E" w:rsidRPr="00F60F5F">
        <w:rPr>
          <w:rFonts w:ascii="Arial" w:hAnsi="Arial" w:cs="Arial"/>
        </w:rPr>
        <w:t>n</w:t>
      </w:r>
      <w:r w:rsidR="00EF6894" w:rsidRPr="00F60F5F">
        <w:rPr>
          <w:rFonts w:ascii="Arial" w:hAnsi="Arial" w:cs="Arial"/>
        </w:rPr>
        <w:t xml:space="preserve">or </w:t>
      </w:r>
      <w:r w:rsidR="004D6AB5">
        <w:rPr>
          <w:rFonts w:ascii="Arial" w:hAnsi="Arial" w:cs="Arial"/>
        </w:rPr>
        <w:t xml:space="preserve">most </w:t>
      </w:r>
      <w:r w:rsidR="00EF6894" w:rsidRPr="00F60F5F">
        <w:rPr>
          <w:rFonts w:ascii="Arial" w:hAnsi="Arial" w:cs="Arial"/>
        </w:rPr>
        <w:t xml:space="preserve">industry codes </w:t>
      </w:r>
      <w:r w:rsidR="00861A4C" w:rsidRPr="00F60F5F">
        <w:rPr>
          <w:rFonts w:ascii="Arial" w:hAnsi="Arial" w:cs="Arial"/>
        </w:rPr>
        <w:t xml:space="preserve">noted for </w:t>
      </w:r>
      <w:r w:rsidR="00117485" w:rsidRPr="00F60F5F">
        <w:rPr>
          <w:rFonts w:ascii="Arial" w:hAnsi="Arial" w:cs="Arial"/>
        </w:rPr>
        <w:t xml:space="preserve">general </w:t>
      </w:r>
      <w:r w:rsidR="00861A4C" w:rsidRPr="00F60F5F">
        <w:rPr>
          <w:rFonts w:ascii="Arial" w:hAnsi="Arial" w:cs="Arial"/>
        </w:rPr>
        <w:t>comparison</w:t>
      </w:r>
      <w:r w:rsidR="00EF6894" w:rsidRPr="00F60F5F">
        <w:rPr>
          <w:rFonts w:ascii="Arial" w:hAnsi="Arial" w:cs="Arial"/>
        </w:rPr>
        <w:t xml:space="preserve"> </w:t>
      </w:r>
      <w:r w:rsidR="00861A4C" w:rsidRPr="00F60F5F">
        <w:rPr>
          <w:rFonts w:ascii="Arial" w:hAnsi="Arial" w:cs="Arial"/>
        </w:rPr>
        <w:t xml:space="preserve">with </w:t>
      </w:r>
      <w:r w:rsidR="00861A4C" w:rsidRPr="00F60F5F">
        <w:rPr>
          <w:rFonts w:ascii="Arial" w:hAnsi="Arial" w:cs="Arial"/>
          <w:i/>
        </w:rPr>
        <w:t>TruckSafe</w:t>
      </w:r>
      <w:r w:rsidR="007A05B7" w:rsidRPr="007A05B7">
        <w:rPr>
          <w:rFonts w:ascii="Arial" w:hAnsi="Arial" w:cs="Arial"/>
          <w:b/>
          <w:i/>
          <w:sz w:val="20"/>
          <w:szCs w:val="20"/>
          <w:vertAlign w:val="superscript"/>
        </w:rPr>
        <w:t>®</w:t>
      </w:r>
      <w:r w:rsidR="00861A4C" w:rsidRPr="00F60F5F">
        <w:rPr>
          <w:rFonts w:ascii="Arial" w:hAnsi="Arial" w:cs="Arial"/>
        </w:rPr>
        <w:t xml:space="preserve"> </w:t>
      </w:r>
      <w:r w:rsidR="00117485" w:rsidRPr="00F60F5F">
        <w:rPr>
          <w:rFonts w:ascii="Arial" w:hAnsi="Arial" w:cs="Arial"/>
        </w:rPr>
        <w:t>operate</w:t>
      </w:r>
      <w:r w:rsidR="00B673C6" w:rsidRPr="00F60F5F">
        <w:rPr>
          <w:rFonts w:ascii="Arial" w:hAnsi="Arial" w:cs="Arial"/>
        </w:rPr>
        <w:t>s</w:t>
      </w:r>
      <w:r w:rsidR="00117485" w:rsidRPr="00F60F5F">
        <w:rPr>
          <w:rFonts w:ascii="Arial" w:hAnsi="Arial" w:cs="Arial"/>
        </w:rPr>
        <w:t xml:space="preserve"> in</w:t>
      </w:r>
      <w:r w:rsidR="00EF6894" w:rsidRPr="00F60F5F">
        <w:rPr>
          <w:rFonts w:ascii="Arial" w:hAnsi="Arial" w:cs="Arial"/>
        </w:rPr>
        <w:t xml:space="preserve"> an environment of </w:t>
      </w:r>
      <w:r w:rsidR="009A51E7" w:rsidRPr="00F60F5F">
        <w:rPr>
          <w:rFonts w:ascii="Arial" w:hAnsi="Arial" w:cs="Arial"/>
        </w:rPr>
        <w:t>“</w:t>
      </w:r>
      <w:r w:rsidR="00EF6894" w:rsidRPr="00F60F5F">
        <w:rPr>
          <w:rFonts w:ascii="Arial" w:hAnsi="Arial" w:cs="Arial"/>
        </w:rPr>
        <w:t>Chain of Responsibility</w:t>
      </w:r>
      <w:r w:rsidR="009A51E7" w:rsidRPr="00F60F5F">
        <w:rPr>
          <w:rFonts w:ascii="Arial" w:hAnsi="Arial" w:cs="Arial"/>
        </w:rPr>
        <w:t>”</w:t>
      </w:r>
      <w:r w:rsidR="0080265C" w:rsidRPr="00F60F5F">
        <w:rPr>
          <w:rFonts w:ascii="Arial" w:hAnsi="Arial" w:cs="Arial"/>
        </w:rPr>
        <w:t xml:space="preserve">. </w:t>
      </w:r>
      <w:r w:rsidR="00EC6D45">
        <w:rPr>
          <w:rFonts w:ascii="Arial" w:hAnsi="Arial" w:cs="Arial"/>
        </w:rPr>
        <w:t xml:space="preserve">Most </w:t>
      </w:r>
      <w:r w:rsidR="0047613C">
        <w:rPr>
          <w:rFonts w:ascii="Arial" w:hAnsi="Arial" w:cs="Arial"/>
        </w:rPr>
        <w:t xml:space="preserve">of these </w:t>
      </w:r>
      <w:r w:rsidR="00EF6894" w:rsidRPr="00F60F5F">
        <w:rPr>
          <w:rFonts w:ascii="Arial" w:hAnsi="Arial" w:cs="Arial"/>
        </w:rPr>
        <w:t xml:space="preserve">still focus </w:t>
      </w:r>
      <w:r w:rsidR="004809A4" w:rsidRPr="00F35A01">
        <w:rPr>
          <w:rFonts w:ascii="Arial" w:hAnsi="Arial" w:cs="Arial"/>
        </w:rPr>
        <w:t>principally</w:t>
      </w:r>
      <w:r w:rsidR="004809A4">
        <w:rPr>
          <w:rFonts w:ascii="Arial" w:hAnsi="Arial" w:cs="Arial"/>
        </w:rPr>
        <w:t xml:space="preserve"> </w:t>
      </w:r>
      <w:r w:rsidR="004C6864" w:rsidRPr="00F60F5F">
        <w:rPr>
          <w:rFonts w:ascii="Arial" w:hAnsi="Arial" w:cs="Arial"/>
        </w:rPr>
        <w:t xml:space="preserve">on </w:t>
      </w:r>
      <w:r w:rsidR="00EF6894" w:rsidRPr="00F60F5F">
        <w:rPr>
          <w:rFonts w:ascii="Arial" w:hAnsi="Arial" w:cs="Arial"/>
        </w:rPr>
        <w:t xml:space="preserve">operators and drivers </w:t>
      </w:r>
      <w:r w:rsidR="00426BF8" w:rsidRPr="00F60F5F">
        <w:rPr>
          <w:rFonts w:ascii="Arial" w:hAnsi="Arial" w:cs="Arial"/>
        </w:rPr>
        <w:t>for compliance</w:t>
      </w:r>
      <w:r w:rsidR="0080265C" w:rsidRPr="00F60F5F">
        <w:rPr>
          <w:rFonts w:ascii="Arial" w:hAnsi="Arial" w:cs="Arial"/>
        </w:rPr>
        <w:t>,</w:t>
      </w:r>
      <w:r w:rsidR="00117485" w:rsidRPr="00F60F5F">
        <w:rPr>
          <w:rFonts w:ascii="Arial" w:hAnsi="Arial" w:cs="Arial"/>
        </w:rPr>
        <w:t xml:space="preserve"> rather than on</w:t>
      </w:r>
      <w:r w:rsidR="00EF6894" w:rsidRPr="00F60F5F">
        <w:rPr>
          <w:rFonts w:ascii="Arial" w:hAnsi="Arial" w:cs="Arial"/>
        </w:rPr>
        <w:t xml:space="preserve"> </w:t>
      </w:r>
      <w:r w:rsidR="00426BF8" w:rsidRPr="00F60F5F">
        <w:rPr>
          <w:rFonts w:ascii="Arial" w:hAnsi="Arial" w:cs="Arial"/>
        </w:rPr>
        <w:t>other</w:t>
      </w:r>
      <w:r w:rsidR="00B673C6" w:rsidRPr="00F60F5F">
        <w:rPr>
          <w:rFonts w:ascii="Arial" w:hAnsi="Arial" w:cs="Arial"/>
        </w:rPr>
        <w:t xml:space="preserve"> </w:t>
      </w:r>
      <w:r w:rsidR="007C7ED1" w:rsidRPr="00F60F5F">
        <w:rPr>
          <w:rFonts w:ascii="Arial" w:hAnsi="Arial" w:cs="Arial"/>
        </w:rPr>
        <w:t>roles</w:t>
      </w:r>
      <w:r w:rsidR="003F43FE">
        <w:rPr>
          <w:rFonts w:ascii="Arial" w:hAnsi="Arial" w:cs="Arial"/>
        </w:rPr>
        <w:t xml:space="preserve"> and </w:t>
      </w:r>
      <w:r w:rsidR="00B673C6" w:rsidRPr="00F60F5F">
        <w:rPr>
          <w:rFonts w:ascii="Arial" w:hAnsi="Arial" w:cs="Arial"/>
        </w:rPr>
        <w:t xml:space="preserve"> </w:t>
      </w:r>
      <w:r w:rsidR="00117485" w:rsidRPr="00F60F5F">
        <w:rPr>
          <w:rFonts w:ascii="Arial" w:hAnsi="Arial" w:cs="Arial"/>
        </w:rPr>
        <w:t>responsibilit</w:t>
      </w:r>
      <w:r w:rsidR="00433F16" w:rsidRPr="00F60F5F">
        <w:rPr>
          <w:rFonts w:ascii="Arial" w:hAnsi="Arial" w:cs="Arial"/>
        </w:rPr>
        <w:t xml:space="preserve">ies </w:t>
      </w:r>
      <w:r w:rsidR="00426BF8" w:rsidRPr="00F60F5F">
        <w:rPr>
          <w:rFonts w:ascii="Arial" w:hAnsi="Arial" w:cs="Arial"/>
        </w:rPr>
        <w:t>in</w:t>
      </w:r>
      <w:r w:rsidR="00433F16" w:rsidRPr="00F60F5F">
        <w:rPr>
          <w:rFonts w:ascii="Arial" w:hAnsi="Arial" w:cs="Arial"/>
        </w:rPr>
        <w:t xml:space="preserve"> </w:t>
      </w:r>
      <w:r w:rsidR="00EF6894" w:rsidRPr="00F60F5F">
        <w:rPr>
          <w:rFonts w:ascii="Arial" w:hAnsi="Arial" w:cs="Arial"/>
        </w:rPr>
        <w:t>the supply chain.</w:t>
      </w:r>
      <w:r w:rsidR="004D6AB5">
        <w:rPr>
          <w:rFonts w:ascii="Arial" w:hAnsi="Arial" w:cs="Arial"/>
        </w:rPr>
        <w:t xml:space="preserve"> </w:t>
      </w:r>
      <w:r w:rsidR="004D6AB5" w:rsidRPr="00F60F5F">
        <w:rPr>
          <w:rFonts w:ascii="Arial" w:hAnsi="Arial" w:cs="Arial"/>
          <w:i/>
        </w:rPr>
        <w:t>TruckSafe</w:t>
      </w:r>
      <w:r w:rsidR="004D6AB5" w:rsidRPr="007A05B7">
        <w:rPr>
          <w:rFonts w:ascii="Arial" w:hAnsi="Arial" w:cs="Arial"/>
          <w:b/>
          <w:i/>
          <w:sz w:val="20"/>
          <w:szCs w:val="20"/>
          <w:vertAlign w:val="superscript"/>
        </w:rPr>
        <w:t>®</w:t>
      </w:r>
      <w:r w:rsidR="008C6DD8">
        <w:rPr>
          <w:rFonts w:ascii="Arial" w:hAnsi="Arial" w:cs="Arial"/>
        </w:rPr>
        <w:t xml:space="preserve"> </w:t>
      </w:r>
      <w:r w:rsidR="007614D3">
        <w:rPr>
          <w:rFonts w:ascii="Arial" w:hAnsi="Arial" w:cs="Arial"/>
        </w:rPr>
        <w:t xml:space="preserve">and </w:t>
      </w:r>
      <w:r w:rsidR="004D6AB5">
        <w:rPr>
          <w:rFonts w:ascii="Arial" w:hAnsi="Arial" w:cs="Arial"/>
        </w:rPr>
        <w:t xml:space="preserve">the Australian Logistics Council’s </w:t>
      </w:r>
      <w:r w:rsidR="007614D3" w:rsidRPr="00042012">
        <w:rPr>
          <w:rFonts w:ascii="Arial" w:hAnsi="Arial" w:cs="Arial"/>
          <w:i/>
        </w:rPr>
        <w:t>National Logistic Safety Code</w:t>
      </w:r>
      <w:r w:rsidR="007614D3">
        <w:rPr>
          <w:rFonts w:ascii="Arial" w:hAnsi="Arial" w:cs="Arial"/>
        </w:rPr>
        <w:t xml:space="preserve"> </w:t>
      </w:r>
      <w:r w:rsidR="004D6AB5">
        <w:rPr>
          <w:rFonts w:ascii="Arial" w:hAnsi="Arial" w:cs="Arial"/>
        </w:rPr>
        <w:t xml:space="preserve">are </w:t>
      </w:r>
      <w:r w:rsidR="00EC6D45">
        <w:rPr>
          <w:rFonts w:ascii="Arial" w:hAnsi="Arial" w:cs="Arial"/>
        </w:rPr>
        <w:t xml:space="preserve">the </w:t>
      </w:r>
      <w:r w:rsidR="004D6AB5">
        <w:rPr>
          <w:rFonts w:ascii="Arial" w:hAnsi="Arial" w:cs="Arial"/>
        </w:rPr>
        <w:t>notable exceptions that build on COR.</w:t>
      </w:r>
      <w:bookmarkStart w:id="44" w:name="_Toc352149573"/>
      <w:bookmarkStart w:id="45" w:name="_Toc352163830"/>
      <w:bookmarkStart w:id="46" w:name="_Toc352228471"/>
      <w:bookmarkStart w:id="47" w:name="_Toc352231715"/>
      <w:bookmarkStart w:id="48" w:name="_Toc352740557"/>
      <w:bookmarkStart w:id="49" w:name="_Toc353434609"/>
      <w:bookmarkStart w:id="50" w:name="_Toc353435593"/>
      <w:bookmarkStart w:id="51" w:name="_Toc352059649"/>
      <w:bookmarkStart w:id="52" w:name="_Toc352070706"/>
      <w:bookmarkStart w:id="53" w:name="_Toc352071958"/>
      <w:bookmarkStart w:id="54" w:name="_Toc352149575"/>
      <w:bookmarkStart w:id="55" w:name="_Toc352163832"/>
      <w:bookmarkStart w:id="56" w:name="_Toc352228473"/>
      <w:bookmarkStart w:id="57" w:name="_Toc352231717"/>
      <w:bookmarkStart w:id="58" w:name="_Toc352740559"/>
      <w:bookmarkStart w:id="59" w:name="_Toc353434611"/>
      <w:bookmarkStart w:id="60" w:name="_Toc353435595"/>
      <w:bookmarkStart w:id="61" w:name="_Toc352059650"/>
      <w:bookmarkStart w:id="62" w:name="_Toc352070707"/>
      <w:bookmarkStart w:id="63" w:name="_Toc352071959"/>
      <w:bookmarkStart w:id="64" w:name="_Toc35214957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6C5B58" w:rsidRDefault="006C5B58" w:rsidP="00874776">
      <w:pPr>
        <w:pStyle w:val="TOC1"/>
        <w:rPr>
          <w:rFonts w:cs="Arial"/>
          <w:b w:val="0"/>
        </w:rPr>
      </w:pPr>
      <w:r w:rsidRPr="00F60F5F">
        <w:rPr>
          <w:rFonts w:cs="Arial"/>
          <w:sz w:val="22"/>
          <w:szCs w:val="22"/>
        </w:rPr>
        <w:t>Recommendation 1</w:t>
      </w:r>
    </w:p>
    <w:p w:rsidR="00874776" w:rsidRDefault="00874776" w:rsidP="006C5B58">
      <w:pPr>
        <w:jc w:val="both"/>
        <w:rPr>
          <w:rFonts w:ascii="Arial" w:hAnsi="Arial" w:cs="Arial"/>
          <w:b/>
        </w:rPr>
      </w:pPr>
    </w:p>
    <w:p w:rsidR="006C5B58" w:rsidRDefault="006C5B58" w:rsidP="006C5B58">
      <w:pPr>
        <w:jc w:val="both"/>
        <w:rPr>
          <w:rFonts w:ascii="Arial" w:hAnsi="Arial" w:cs="Arial"/>
          <w:b/>
        </w:rPr>
      </w:pPr>
      <w:r w:rsidRPr="00F60F5F">
        <w:rPr>
          <w:rFonts w:ascii="Arial" w:hAnsi="Arial" w:cs="Arial"/>
          <w:b/>
        </w:rPr>
        <w:t xml:space="preserve">That the NTC revise references to the </w:t>
      </w:r>
      <w:r w:rsidRPr="00F60F5F">
        <w:rPr>
          <w:rFonts w:ascii="Arial" w:hAnsi="Arial" w:cs="Arial"/>
          <w:b/>
          <w:i/>
        </w:rPr>
        <w:t>TruckSafe</w:t>
      </w:r>
      <w:r w:rsidR="002C48B6" w:rsidRPr="007A05B7">
        <w:rPr>
          <w:rFonts w:ascii="Arial" w:hAnsi="Arial" w:cs="Arial"/>
          <w:b/>
          <w:i/>
          <w:sz w:val="20"/>
          <w:szCs w:val="20"/>
          <w:vertAlign w:val="superscript"/>
        </w:rPr>
        <w:t>®</w:t>
      </w:r>
      <w:r w:rsidR="002C48B6">
        <w:rPr>
          <w:rFonts w:ascii="Arial" w:hAnsi="Arial" w:cs="Arial"/>
          <w:b/>
          <w:i/>
          <w:sz w:val="20"/>
          <w:szCs w:val="20"/>
          <w:vertAlign w:val="superscript"/>
        </w:rPr>
        <w:t xml:space="preserve"> </w:t>
      </w:r>
      <w:r w:rsidRPr="00F60F5F">
        <w:rPr>
          <w:rFonts w:ascii="Arial" w:hAnsi="Arial" w:cs="Arial"/>
          <w:b/>
        </w:rPr>
        <w:t>safety accreditation program to include an explanation and appraisal of both its methodology for ensuring safety and compliance and its demonstrated outcomes in comparison with other (possible) schemes.</w:t>
      </w:r>
    </w:p>
    <w:p w:rsidR="00874776" w:rsidRPr="00F60F5F" w:rsidRDefault="00874776" w:rsidP="006C5B58">
      <w:pPr>
        <w:jc w:val="both"/>
        <w:rPr>
          <w:rFonts w:ascii="Arial" w:hAnsi="Arial" w:cs="Arial"/>
          <w:b/>
        </w:rPr>
      </w:pPr>
    </w:p>
    <w:p w:rsidR="00781CD3" w:rsidRDefault="00645592" w:rsidP="001D06D8">
      <w:pPr>
        <w:pStyle w:val="Heading1"/>
        <w:numPr>
          <w:ilvl w:val="1"/>
          <w:numId w:val="3"/>
        </w:numPr>
        <w:jc w:val="both"/>
      </w:pPr>
      <w:bookmarkStart w:id="65" w:name="_Toc353434684"/>
      <w:r>
        <w:t xml:space="preserve">A history of </w:t>
      </w:r>
      <w:r w:rsidR="00A3483B">
        <w:t xml:space="preserve">industry </w:t>
      </w:r>
      <w:r>
        <w:t>c</w:t>
      </w:r>
      <w:r w:rsidR="00442D03">
        <w:t xml:space="preserve">ompliance </w:t>
      </w:r>
      <w:bookmarkEnd w:id="65"/>
    </w:p>
    <w:p w:rsidR="0022661D" w:rsidRPr="00E76ED8" w:rsidRDefault="0022661D" w:rsidP="001D06D8">
      <w:pPr>
        <w:pStyle w:val="RecommendationStyle"/>
        <w:numPr>
          <w:ilvl w:val="0"/>
          <w:numId w:val="0"/>
        </w:numPr>
        <w:spacing w:before="0" w:after="0"/>
        <w:jc w:val="both"/>
        <w:rPr>
          <w:rFonts w:ascii="Calibri" w:hAnsi="Calibri" w:cs="Times New Roman"/>
          <w:b w:val="0"/>
          <w:i w:val="0"/>
          <w:sz w:val="21"/>
          <w:szCs w:val="21"/>
        </w:rPr>
      </w:pPr>
    </w:p>
    <w:p w:rsidR="00645592" w:rsidRDefault="00645592" w:rsidP="001D06D8">
      <w:pPr>
        <w:pStyle w:val="RecommendationStyle"/>
        <w:numPr>
          <w:ilvl w:val="0"/>
          <w:numId w:val="0"/>
        </w:numPr>
        <w:spacing w:before="0" w:after="0"/>
        <w:jc w:val="both"/>
        <w:rPr>
          <w:b w:val="0"/>
          <w:i w:val="0"/>
          <w:sz w:val="22"/>
          <w:szCs w:val="22"/>
        </w:rPr>
      </w:pPr>
      <w:r w:rsidRPr="00C831BA">
        <w:rPr>
          <w:b w:val="0"/>
          <w:i w:val="0"/>
          <w:sz w:val="22"/>
          <w:szCs w:val="22"/>
        </w:rPr>
        <w:t xml:space="preserve">The NTC paper finds </w:t>
      </w:r>
      <w:r w:rsidR="00BF5CE1">
        <w:rPr>
          <w:b w:val="0"/>
          <w:i w:val="0"/>
          <w:sz w:val="22"/>
          <w:szCs w:val="22"/>
        </w:rPr>
        <w:t xml:space="preserve">that </w:t>
      </w:r>
      <w:r w:rsidR="00560F36" w:rsidRPr="00560F36">
        <w:rPr>
          <w:b w:val="0"/>
          <w:i w:val="0"/>
          <w:sz w:val="22"/>
          <w:szCs w:val="22"/>
        </w:rPr>
        <w:t xml:space="preserve">compliance </w:t>
      </w:r>
      <w:r w:rsidR="00373A1A">
        <w:rPr>
          <w:b w:val="0"/>
          <w:i w:val="0"/>
          <w:sz w:val="22"/>
          <w:szCs w:val="22"/>
        </w:rPr>
        <w:t>by</w:t>
      </w:r>
      <w:r w:rsidR="00560F36" w:rsidRPr="00560F36">
        <w:rPr>
          <w:b w:val="0"/>
          <w:i w:val="0"/>
          <w:sz w:val="22"/>
          <w:szCs w:val="22"/>
        </w:rPr>
        <w:t xml:space="preserve"> the heavy vehicle industry </w:t>
      </w:r>
      <w:r w:rsidR="00560F36">
        <w:rPr>
          <w:b w:val="0"/>
          <w:i w:val="0"/>
          <w:sz w:val="22"/>
          <w:szCs w:val="22"/>
        </w:rPr>
        <w:t>over</w:t>
      </w:r>
      <w:r w:rsidRPr="00C831BA">
        <w:rPr>
          <w:b w:val="0"/>
          <w:i w:val="0"/>
          <w:sz w:val="22"/>
          <w:szCs w:val="22"/>
        </w:rPr>
        <w:t xml:space="preserve"> the past forty years </w:t>
      </w:r>
      <w:r w:rsidR="0059565B">
        <w:rPr>
          <w:b w:val="0"/>
          <w:i w:val="0"/>
          <w:sz w:val="22"/>
          <w:szCs w:val="22"/>
        </w:rPr>
        <w:t>i</w:t>
      </w:r>
      <w:r w:rsidR="00BF5CE1">
        <w:rPr>
          <w:b w:val="0"/>
          <w:i w:val="0"/>
          <w:sz w:val="22"/>
          <w:szCs w:val="22"/>
        </w:rPr>
        <w:t xml:space="preserve">s </w:t>
      </w:r>
      <w:r w:rsidRPr="00C831BA">
        <w:rPr>
          <w:b w:val="0"/>
          <w:i w:val="0"/>
          <w:sz w:val="22"/>
          <w:szCs w:val="22"/>
        </w:rPr>
        <w:t>a “success story”, noting</w:t>
      </w:r>
      <w:r w:rsidR="00373A1A">
        <w:rPr>
          <w:b w:val="0"/>
          <w:i w:val="0"/>
          <w:sz w:val="22"/>
          <w:szCs w:val="22"/>
        </w:rPr>
        <w:t xml:space="preserve"> </w:t>
      </w:r>
      <w:r w:rsidRPr="00C831BA">
        <w:rPr>
          <w:b w:val="0"/>
          <w:i w:val="0"/>
          <w:sz w:val="22"/>
          <w:szCs w:val="22"/>
        </w:rPr>
        <w:t>“</w:t>
      </w:r>
      <w:r w:rsidRPr="00C831BA">
        <w:rPr>
          <w:b w:val="0"/>
          <w:sz w:val="22"/>
          <w:szCs w:val="22"/>
        </w:rPr>
        <w:t>changing consciousness about safety from the early 1970s when it was a peripheral concern to today where it is core business for many operators. Laws and policies introduced since the 1970s have significantly modified on-road behaviours and community norms. The success of the interventions is reflected in the statistics, which indicate a 36% fall in the number of fatalities involving large, heavy vehicles since 1990</w:t>
      </w:r>
      <w:r w:rsidRPr="00C831BA">
        <w:rPr>
          <w:b w:val="0"/>
          <w:i w:val="0"/>
          <w:sz w:val="22"/>
          <w:szCs w:val="22"/>
        </w:rPr>
        <w:t>.” (p</w:t>
      </w:r>
      <w:r w:rsidR="0059565B">
        <w:rPr>
          <w:b w:val="0"/>
          <w:i w:val="0"/>
          <w:sz w:val="22"/>
          <w:szCs w:val="22"/>
        </w:rPr>
        <w:t xml:space="preserve">age </w:t>
      </w:r>
      <w:r w:rsidRPr="00C831BA">
        <w:rPr>
          <w:b w:val="0"/>
          <w:i w:val="0"/>
          <w:sz w:val="22"/>
          <w:szCs w:val="22"/>
        </w:rPr>
        <w:t>20)</w:t>
      </w:r>
    </w:p>
    <w:p w:rsidR="00373A1A" w:rsidRDefault="00373A1A" w:rsidP="001D06D8">
      <w:pPr>
        <w:pStyle w:val="RecommendationStyle"/>
        <w:numPr>
          <w:ilvl w:val="0"/>
          <w:numId w:val="0"/>
        </w:numPr>
        <w:spacing w:before="0" w:after="0"/>
        <w:jc w:val="both"/>
        <w:rPr>
          <w:b w:val="0"/>
          <w:i w:val="0"/>
          <w:sz w:val="22"/>
          <w:szCs w:val="22"/>
        </w:rPr>
      </w:pPr>
    </w:p>
    <w:p w:rsidR="00373A1A" w:rsidRPr="00C831BA" w:rsidRDefault="00373A1A" w:rsidP="00373A1A">
      <w:pPr>
        <w:pStyle w:val="RecommendationStyle"/>
        <w:numPr>
          <w:ilvl w:val="0"/>
          <w:numId w:val="0"/>
        </w:numPr>
        <w:spacing w:before="0" w:after="0"/>
        <w:jc w:val="both"/>
        <w:rPr>
          <w:b w:val="0"/>
          <w:i w:val="0"/>
          <w:sz w:val="22"/>
          <w:szCs w:val="22"/>
        </w:rPr>
      </w:pPr>
      <w:r w:rsidRPr="00C831BA">
        <w:rPr>
          <w:b w:val="0"/>
          <w:i w:val="0"/>
          <w:sz w:val="22"/>
          <w:szCs w:val="22"/>
        </w:rPr>
        <w:t xml:space="preserve">The ATA welcomes </w:t>
      </w:r>
      <w:r w:rsidR="00625B25">
        <w:rPr>
          <w:b w:val="0"/>
          <w:i w:val="0"/>
          <w:sz w:val="22"/>
          <w:szCs w:val="22"/>
        </w:rPr>
        <w:t>the</w:t>
      </w:r>
      <w:r w:rsidR="0037284D">
        <w:rPr>
          <w:b w:val="0"/>
          <w:i w:val="0"/>
          <w:sz w:val="22"/>
          <w:szCs w:val="22"/>
        </w:rPr>
        <w:t xml:space="preserve"> </w:t>
      </w:r>
      <w:r w:rsidRPr="00C831BA">
        <w:rPr>
          <w:b w:val="0"/>
          <w:i w:val="0"/>
          <w:sz w:val="22"/>
          <w:szCs w:val="22"/>
        </w:rPr>
        <w:t xml:space="preserve">acknowledgement of </w:t>
      </w:r>
      <w:r w:rsidR="00625B25">
        <w:rPr>
          <w:b w:val="0"/>
          <w:i w:val="0"/>
          <w:sz w:val="22"/>
          <w:szCs w:val="22"/>
        </w:rPr>
        <w:t>a</w:t>
      </w:r>
      <w:r w:rsidRPr="00C831BA">
        <w:rPr>
          <w:b w:val="0"/>
          <w:i w:val="0"/>
          <w:sz w:val="22"/>
          <w:szCs w:val="22"/>
        </w:rPr>
        <w:t xml:space="preserve"> four decade trend in adherence to </w:t>
      </w:r>
      <w:r w:rsidR="00625B25">
        <w:rPr>
          <w:b w:val="0"/>
          <w:i w:val="0"/>
          <w:sz w:val="22"/>
          <w:szCs w:val="22"/>
        </w:rPr>
        <w:t>emerging</w:t>
      </w:r>
      <w:r>
        <w:rPr>
          <w:b w:val="0"/>
          <w:i w:val="0"/>
          <w:sz w:val="22"/>
          <w:szCs w:val="22"/>
        </w:rPr>
        <w:t xml:space="preserve"> </w:t>
      </w:r>
      <w:r w:rsidRPr="00C831BA">
        <w:rPr>
          <w:b w:val="0"/>
          <w:i w:val="0"/>
          <w:sz w:val="22"/>
          <w:szCs w:val="22"/>
        </w:rPr>
        <w:t>road rules and safety standards</w:t>
      </w:r>
      <w:r>
        <w:rPr>
          <w:b w:val="0"/>
          <w:i w:val="0"/>
          <w:sz w:val="22"/>
          <w:szCs w:val="22"/>
        </w:rPr>
        <w:t xml:space="preserve">, as well as </w:t>
      </w:r>
      <w:r w:rsidR="0037284D">
        <w:rPr>
          <w:b w:val="0"/>
          <w:i w:val="0"/>
          <w:sz w:val="22"/>
          <w:szCs w:val="22"/>
        </w:rPr>
        <w:t>industry’s</w:t>
      </w:r>
      <w:r w:rsidR="00BF5CE1">
        <w:rPr>
          <w:b w:val="0"/>
          <w:i w:val="0"/>
          <w:sz w:val="22"/>
          <w:szCs w:val="22"/>
        </w:rPr>
        <w:t xml:space="preserve"> </w:t>
      </w:r>
      <w:r w:rsidR="003342F8">
        <w:rPr>
          <w:b w:val="0"/>
          <w:i w:val="0"/>
          <w:sz w:val="22"/>
          <w:szCs w:val="22"/>
        </w:rPr>
        <w:t xml:space="preserve">very </w:t>
      </w:r>
      <w:r>
        <w:rPr>
          <w:b w:val="0"/>
          <w:i w:val="0"/>
          <w:sz w:val="22"/>
          <w:szCs w:val="22"/>
        </w:rPr>
        <w:t>sound real-world safety outcome</w:t>
      </w:r>
      <w:r w:rsidR="00BF5CE1">
        <w:rPr>
          <w:b w:val="0"/>
          <w:i w:val="0"/>
          <w:sz w:val="22"/>
          <w:szCs w:val="22"/>
        </w:rPr>
        <w:t>s</w:t>
      </w:r>
      <w:r w:rsidRPr="00C831BA">
        <w:rPr>
          <w:b w:val="0"/>
          <w:i w:val="0"/>
          <w:sz w:val="22"/>
          <w:szCs w:val="22"/>
        </w:rPr>
        <w:t xml:space="preserve">. </w:t>
      </w:r>
      <w:r w:rsidR="00625B25">
        <w:rPr>
          <w:b w:val="0"/>
          <w:i w:val="0"/>
          <w:sz w:val="22"/>
          <w:szCs w:val="22"/>
        </w:rPr>
        <w:t>A</w:t>
      </w:r>
      <w:r>
        <w:rPr>
          <w:b w:val="0"/>
          <w:i w:val="0"/>
          <w:sz w:val="22"/>
          <w:szCs w:val="22"/>
        </w:rPr>
        <w:t xml:space="preserve"> </w:t>
      </w:r>
      <w:r w:rsidR="00BF5CE1">
        <w:rPr>
          <w:b w:val="0"/>
          <w:i w:val="0"/>
          <w:sz w:val="22"/>
          <w:szCs w:val="22"/>
        </w:rPr>
        <w:t>long-term culture</w:t>
      </w:r>
      <w:r w:rsidRPr="00C831BA">
        <w:rPr>
          <w:b w:val="0"/>
          <w:i w:val="0"/>
          <w:sz w:val="22"/>
          <w:szCs w:val="22"/>
        </w:rPr>
        <w:t xml:space="preserve"> of </w:t>
      </w:r>
      <w:r>
        <w:rPr>
          <w:b w:val="0"/>
          <w:i w:val="0"/>
          <w:sz w:val="22"/>
          <w:szCs w:val="22"/>
        </w:rPr>
        <w:t>complian</w:t>
      </w:r>
      <w:r w:rsidR="00BF5CE1">
        <w:rPr>
          <w:b w:val="0"/>
          <w:i w:val="0"/>
          <w:sz w:val="22"/>
          <w:szCs w:val="22"/>
        </w:rPr>
        <w:t xml:space="preserve">t and safe </w:t>
      </w:r>
      <w:r w:rsidR="00625B25">
        <w:rPr>
          <w:b w:val="0"/>
          <w:i w:val="0"/>
          <w:sz w:val="22"/>
          <w:szCs w:val="22"/>
        </w:rPr>
        <w:t xml:space="preserve">behaviour </w:t>
      </w:r>
      <w:r w:rsidRPr="00C831BA">
        <w:rPr>
          <w:b w:val="0"/>
          <w:i w:val="0"/>
          <w:sz w:val="22"/>
          <w:szCs w:val="22"/>
        </w:rPr>
        <w:t xml:space="preserve">is </w:t>
      </w:r>
      <w:r w:rsidR="00625B25">
        <w:rPr>
          <w:b w:val="0"/>
          <w:i w:val="0"/>
          <w:sz w:val="22"/>
          <w:szCs w:val="22"/>
        </w:rPr>
        <w:t>also evident</w:t>
      </w:r>
      <w:r>
        <w:rPr>
          <w:b w:val="0"/>
          <w:i w:val="0"/>
          <w:sz w:val="22"/>
          <w:szCs w:val="22"/>
        </w:rPr>
        <w:t xml:space="preserve"> in</w:t>
      </w:r>
      <w:r w:rsidR="00A5168E">
        <w:rPr>
          <w:b w:val="0"/>
          <w:i w:val="0"/>
          <w:sz w:val="22"/>
          <w:szCs w:val="22"/>
        </w:rPr>
        <w:t xml:space="preserve"> the</w:t>
      </w:r>
      <w:r>
        <w:rPr>
          <w:b w:val="0"/>
          <w:i w:val="0"/>
          <w:sz w:val="22"/>
          <w:szCs w:val="22"/>
        </w:rPr>
        <w:t xml:space="preserve"> </w:t>
      </w:r>
      <w:r w:rsidR="001A2BE6">
        <w:rPr>
          <w:b w:val="0"/>
          <w:i w:val="0"/>
          <w:sz w:val="22"/>
          <w:szCs w:val="22"/>
        </w:rPr>
        <w:t>statement</w:t>
      </w:r>
      <w:r>
        <w:rPr>
          <w:b w:val="0"/>
          <w:i w:val="0"/>
          <w:sz w:val="22"/>
          <w:szCs w:val="22"/>
        </w:rPr>
        <w:t xml:space="preserve"> that</w:t>
      </w:r>
      <w:r w:rsidRPr="00C831BA">
        <w:rPr>
          <w:b w:val="0"/>
          <w:i w:val="0"/>
          <w:sz w:val="22"/>
          <w:szCs w:val="22"/>
        </w:rPr>
        <w:t xml:space="preserve"> “</w:t>
      </w:r>
      <w:r w:rsidRPr="00C831BA">
        <w:rPr>
          <w:b w:val="0"/>
          <w:sz w:val="22"/>
          <w:szCs w:val="22"/>
        </w:rPr>
        <w:t>Fatalities involving large, heavy vehicles in Australia are trending downwards, and industry members interviewed for this project expressed strong commitment to safety</w:t>
      </w:r>
      <w:r w:rsidRPr="00C831BA">
        <w:rPr>
          <w:b w:val="0"/>
          <w:i w:val="0"/>
          <w:sz w:val="22"/>
          <w:szCs w:val="22"/>
        </w:rPr>
        <w:t>.” (p</w:t>
      </w:r>
      <w:r w:rsidR="0059565B">
        <w:rPr>
          <w:b w:val="0"/>
          <w:i w:val="0"/>
          <w:sz w:val="22"/>
          <w:szCs w:val="22"/>
        </w:rPr>
        <w:t xml:space="preserve">age </w:t>
      </w:r>
      <w:r w:rsidRPr="00C831BA">
        <w:rPr>
          <w:b w:val="0"/>
          <w:i w:val="0"/>
          <w:sz w:val="22"/>
          <w:szCs w:val="22"/>
        </w:rPr>
        <w:t xml:space="preserve">5) </w:t>
      </w:r>
    </w:p>
    <w:p w:rsidR="00373A1A" w:rsidRDefault="00373A1A" w:rsidP="001D06D8">
      <w:pPr>
        <w:pStyle w:val="RecommendationStyle"/>
        <w:numPr>
          <w:ilvl w:val="0"/>
          <w:numId w:val="0"/>
        </w:numPr>
        <w:spacing w:before="0" w:after="0"/>
        <w:jc w:val="both"/>
        <w:rPr>
          <w:b w:val="0"/>
          <w:i w:val="0"/>
          <w:sz w:val="22"/>
          <w:szCs w:val="22"/>
        </w:rPr>
      </w:pPr>
    </w:p>
    <w:p w:rsidR="000F5BB6" w:rsidRPr="00AD5BCE" w:rsidRDefault="000F5BB6" w:rsidP="000F5BB6">
      <w:pPr>
        <w:autoSpaceDE w:val="0"/>
        <w:autoSpaceDN w:val="0"/>
        <w:adjustRightInd w:val="0"/>
        <w:jc w:val="both"/>
        <w:rPr>
          <w:rFonts w:ascii="Arial" w:hAnsi="Arial" w:cs="Arial"/>
          <w:b/>
          <w:i/>
        </w:rPr>
      </w:pPr>
      <w:r w:rsidRPr="00AD5BCE">
        <w:rPr>
          <w:rFonts w:ascii="Arial" w:hAnsi="Arial" w:cs="Arial"/>
          <w:b/>
          <w:i/>
        </w:rPr>
        <w:t>Penalties, infringements and rules</w:t>
      </w:r>
    </w:p>
    <w:p w:rsidR="000F5BB6" w:rsidRPr="00C831BA" w:rsidRDefault="000F5BB6" w:rsidP="000F5BB6">
      <w:pPr>
        <w:autoSpaceDE w:val="0"/>
        <w:autoSpaceDN w:val="0"/>
        <w:adjustRightInd w:val="0"/>
        <w:jc w:val="both"/>
        <w:rPr>
          <w:rFonts w:ascii="Arial" w:hAnsi="Arial" w:cs="Arial"/>
        </w:rPr>
      </w:pPr>
      <w:r w:rsidRPr="00C831BA">
        <w:rPr>
          <w:rFonts w:ascii="Arial" w:hAnsi="Arial" w:cs="Arial"/>
        </w:rPr>
        <w:t>It is well understood by the NTC through its many consultations that industry finds maximum financial penalties imposed by courts under current road transport law</w:t>
      </w:r>
      <w:r w:rsidR="00812AAD">
        <w:rPr>
          <w:rFonts w:ascii="Arial" w:hAnsi="Arial" w:cs="Arial"/>
        </w:rPr>
        <w:t>s</w:t>
      </w:r>
      <w:r w:rsidRPr="00C831BA">
        <w:rPr>
          <w:rFonts w:ascii="Arial" w:hAnsi="Arial" w:cs="Arial"/>
        </w:rPr>
        <w:t xml:space="preserve"> too high in most situations. Further, the ATA agrees with the NTC’s prediction </w:t>
      </w:r>
      <w:r w:rsidRPr="00C831BA">
        <w:rPr>
          <w:rFonts w:ascii="Arial" w:hAnsi="Arial" w:cs="Arial"/>
          <w:i/>
        </w:rPr>
        <w:t>“Any divergence between the police and transport offices may compromise consistency of enforcement and with it, the willingness of regulatees to comply</w:t>
      </w:r>
      <w:r w:rsidR="00F82591">
        <w:rPr>
          <w:rFonts w:ascii="Arial" w:hAnsi="Arial" w:cs="Arial"/>
          <w:i/>
        </w:rPr>
        <w:t>.</w:t>
      </w:r>
      <w:r w:rsidRPr="00C831BA">
        <w:rPr>
          <w:rFonts w:ascii="Arial" w:hAnsi="Arial" w:cs="Arial"/>
          <w:i/>
        </w:rPr>
        <w:t xml:space="preserve">” </w:t>
      </w:r>
      <w:r w:rsidRPr="00C831BA">
        <w:rPr>
          <w:rFonts w:ascii="Arial" w:hAnsi="Arial" w:cs="Arial"/>
        </w:rPr>
        <w:t>(p</w:t>
      </w:r>
      <w:r w:rsidR="001F0D28">
        <w:rPr>
          <w:rFonts w:ascii="Arial" w:hAnsi="Arial" w:cs="Arial"/>
        </w:rPr>
        <w:t xml:space="preserve">age </w:t>
      </w:r>
      <w:r w:rsidRPr="00C831BA">
        <w:rPr>
          <w:rFonts w:ascii="Arial" w:hAnsi="Arial" w:cs="Arial"/>
        </w:rPr>
        <w:t>8)</w:t>
      </w:r>
      <w:r w:rsidR="00F82591">
        <w:rPr>
          <w:rFonts w:ascii="Arial" w:hAnsi="Arial" w:cs="Arial"/>
        </w:rPr>
        <w:t>.</w:t>
      </w:r>
      <w:r w:rsidRPr="00C831BA">
        <w:rPr>
          <w:rFonts w:ascii="Arial" w:hAnsi="Arial" w:cs="Arial"/>
        </w:rPr>
        <w:t xml:space="preserve"> The ATA also notes the inequity of imposing administrative penalties (</w:t>
      </w:r>
      <w:r w:rsidR="00FE2DB8">
        <w:rPr>
          <w:rFonts w:ascii="Arial" w:hAnsi="Arial" w:cs="Arial"/>
        </w:rPr>
        <w:t>demerit</w:t>
      </w:r>
      <w:r w:rsidRPr="00C831BA">
        <w:rPr>
          <w:rFonts w:ascii="Arial" w:hAnsi="Arial" w:cs="Arial"/>
        </w:rPr>
        <w:t xml:space="preserve"> schemes etc.) </w:t>
      </w:r>
      <w:r w:rsidR="002E5869">
        <w:rPr>
          <w:rFonts w:ascii="Arial" w:hAnsi="Arial" w:cs="Arial"/>
        </w:rPr>
        <w:t xml:space="preserve">in situations </w:t>
      </w:r>
      <w:r w:rsidRPr="00C831BA">
        <w:rPr>
          <w:rFonts w:ascii="Arial" w:hAnsi="Arial" w:cs="Arial"/>
        </w:rPr>
        <w:t xml:space="preserve">when a court seeks not to impose any penalty. </w:t>
      </w:r>
    </w:p>
    <w:p w:rsidR="000F5BB6" w:rsidRPr="00C831BA" w:rsidRDefault="000F5BB6" w:rsidP="000F5BB6">
      <w:pPr>
        <w:autoSpaceDE w:val="0"/>
        <w:autoSpaceDN w:val="0"/>
        <w:adjustRightInd w:val="0"/>
        <w:jc w:val="both"/>
        <w:rPr>
          <w:rFonts w:ascii="Arial" w:hAnsi="Arial" w:cs="Arial"/>
        </w:rPr>
      </w:pPr>
    </w:p>
    <w:p w:rsidR="000F5BB6" w:rsidRPr="00C831BA" w:rsidRDefault="000F5BB6" w:rsidP="000F5BB6">
      <w:pPr>
        <w:autoSpaceDE w:val="0"/>
        <w:autoSpaceDN w:val="0"/>
        <w:adjustRightInd w:val="0"/>
        <w:jc w:val="both"/>
        <w:rPr>
          <w:rFonts w:ascii="Arial" w:hAnsi="Arial" w:cs="Arial"/>
        </w:rPr>
      </w:pPr>
      <w:r w:rsidRPr="00C831BA">
        <w:rPr>
          <w:rFonts w:ascii="Arial" w:hAnsi="Arial" w:cs="Arial"/>
        </w:rPr>
        <w:t>A major responsibility of lawmakers and associated regulators is not to make it difficult for citizens to abide by the law but to make it easy for them to be lawful. No “</w:t>
      </w:r>
      <w:r w:rsidRPr="00C831BA">
        <w:rPr>
          <w:rFonts w:ascii="Arial" w:hAnsi="Arial" w:cs="Arial"/>
          <w:i/>
        </w:rPr>
        <w:t>culture of compliance</w:t>
      </w:r>
      <w:r w:rsidRPr="00C831BA">
        <w:rPr>
          <w:rFonts w:ascii="Arial" w:hAnsi="Arial" w:cs="Arial"/>
        </w:rPr>
        <w:t xml:space="preserve">” can possibly develop in industry (or in any individual </w:t>
      </w:r>
      <w:r w:rsidR="0054033D">
        <w:rPr>
          <w:rFonts w:ascii="Arial" w:hAnsi="Arial" w:cs="Arial"/>
        </w:rPr>
        <w:t>enterprise</w:t>
      </w:r>
      <w:r w:rsidRPr="00C831BA">
        <w:rPr>
          <w:rFonts w:ascii="Arial" w:hAnsi="Arial" w:cs="Arial"/>
        </w:rPr>
        <w:t xml:space="preserve"> for that matter) if it is perceived to be governed by ‘bad law’, such as when the rules are perceived to be unrealistic in practice, unduly onerous, expensive or sloppily made. This issue is reflected in only a general sense in section 5.3</w:t>
      </w:r>
      <w:r w:rsidRPr="00C831BA">
        <w:rPr>
          <w:rFonts w:ascii="Arial" w:hAnsi="Arial" w:cs="Arial"/>
          <w:i/>
        </w:rPr>
        <w:t xml:space="preserve"> - Lack of willingness to comply</w:t>
      </w:r>
      <w:r w:rsidRPr="00C831BA">
        <w:rPr>
          <w:rFonts w:ascii="Arial" w:hAnsi="Arial" w:cs="Arial"/>
        </w:rPr>
        <w:t xml:space="preserve">. </w:t>
      </w:r>
      <w:bookmarkStart w:id="66" w:name="_Toc352163838"/>
      <w:bookmarkStart w:id="67" w:name="_Toc352228479"/>
      <w:bookmarkStart w:id="68" w:name="_Toc352231723"/>
      <w:bookmarkStart w:id="69" w:name="_Toc352740565"/>
      <w:bookmarkStart w:id="70" w:name="_Toc353434617"/>
      <w:bookmarkStart w:id="71" w:name="_Toc353435601"/>
      <w:bookmarkStart w:id="72" w:name="_Toc352059657"/>
      <w:bookmarkStart w:id="73" w:name="_Toc352070714"/>
      <w:bookmarkStart w:id="74" w:name="_Toc352071966"/>
      <w:bookmarkStart w:id="75" w:name="_Toc352149583"/>
      <w:bookmarkStart w:id="76" w:name="_Toc352163840"/>
      <w:bookmarkStart w:id="77" w:name="_Toc352228481"/>
      <w:bookmarkStart w:id="78" w:name="_Toc352231725"/>
      <w:bookmarkStart w:id="79" w:name="_Toc352740567"/>
      <w:bookmarkStart w:id="80" w:name="_Toc353434619"/>
      <w:bookmarkStart w:id="81" w:name="_Toc353435603"/>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C831BA">
        <w:rPr>
          <w:rFonts w:ascii="Arial" w:hAnsi="Arial" w:cs="Arial"/>
        </w:rPr>
        <w:t xml:space="preserve"> </w:t>
      </w:r>
    </w:p>
    <w:p w:rsidR="000F5BB6" w:rsidRPr="00C831BA" w:rsidRDefault="000F5BB6" w:rsidP="000F5BB6">
      <w:pPr>
        <w:autoSpaceDE w:val="0"/>
        <w:autoSpaceDN w:val="0"/>
        <w:adjustRightInd w:val="0"/>
        <w:jc w:val="both"/>
        <w:rPr>
          <w:rFonts w:ascii="Arial" w:hAnsi="Arial" w:cs="Arial"/>
        </w:rPr>
      </w:pPr>
    </w:p>
    <w:p w:rsidR="000F5BB6" w:rsidRPr="00C831BA" w:rsidRDefault="000F5BB6" w:rsidP="000F5BB6">
      <w:pPr>
        <w:autoSpaceDE w:val="0"/>
        <w:autoSpaceDN w:val="0"/>
        <w:adjustRightInd w:val="0"/>
        <w:jc w:val="both"/>
        <w:rPr>
          <w:rFonts w:ascii="Arial" w:hAnsi="Arial" w:cs="Arial"/>
        </w:rPr>
      </w:pPr>
      <w:bookmarkStart w:id="82" w:name="_Toc352059651"/>
      <w:bookmarkStart w:id="83" w:name="_Toc352070708"/>
      <w:bookmarkStart w:id="84" w:name="_Toc352071960"/>
      <w:bookmarkStart w:id="85" w:name="_Toc352149577"/>
      <w:bookmarkStart w:id="86" w:name="_Toc352163834"/>
      <w:bookmarkStart w:id="87" w:name="_Toc352228475"/>
      <w:bookmarkStart w:id="88" w:name="_Toc352231719"/>
      <w:bookmarkStart w:id="89" w:name="_Toc352740561"/>
      <w:bookmarkStart w:id="90" w:name="_Toc353434613"/>
      <w:bookmarkStart w:id="91" w:name="_Toc353435597"/>
      <w:bookmarkStart w:id="92" w:name="_Toc352059653"/>
      <w:bookmarkStart w:id="93" w:name="_Toc352070710"/>
      <w:bookmarkStart w:id="94" w:name="_Toc352071962"/>
      <w:bookmarkStart w:id="95" w:name="_Toc352149579"/>
      <w:bookmarkStart w:id="96" w:name="_Toc352163836"/>
      <w:bookmarkStart w:id="97" w:name="_Toc352228477"/>
      <w:bookmarkStart w:id="98" w:name="_Toc352231721"/>
      <w:bookmarkStart w:id="99" w:name="_Toc352740563"/>
      <w:bookmarkStart w:id="100" w:name="_Toc353434615"/>
      <w:bookmarkStart w:id="101" w:name="_Toc353435599"/>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C831BA">
        <w:rPr>
          <w:rFonts w:ascii="Arial" w:hAnsi="Arial" w:cs="Arial"/>
        </w:rPr>
        <w:t xml:space="preserve">More broadly, the HVNL is lengthy, complex and exhibits failings in certain areas. For example, </w:t>
      </w:r>
      <w:r w:rsidR="00CC45B5">
        <w:rPr>
          <w:rFonts w:ascii="Arial" w:hAnsi="Arial" w:cs="Arial"/>
        </w:rPr>
        <w:t xml:space="preserve">the </w:t>
      </w:r>
      <w:r w:rsidR="00CC45B5" w:rsidRPr="00C831BA">
        <w:rPr>
          <w:rFonts w:ascii="Arial" w:hAnsi="Arial" w:cs="Arial"/>
        </w:rPr>
        <w:t xml:space="preserve">soon to be in force </w:t>
      </w:r>
      <w:r w:rsidRPr="00C831BA">
        <w:rPr>
          <w:rFonts w:ascii="Arial" w:hAnsi="Arial" w:cs="Arial"/>
        </w:rPr>
        <w:t>national law contains a new requirement for drivers to furnish their employer’s asset-related safety accreditation program documentation</w:t>
      </w:r>
      <w:r w:rsidR="00CC45B5">
        <w:rPr>
          <w:rFonts w:ascii="Arial" w:hAnsi="Arial" w:cs="Arial"/>
        </w:rPr>
        <w:t xml:space="preserve"> </w:t>
      </w:r>
      <w:r w:rsidRPr="00C831BA">
        <w:rPr>
          <w:rFonts w:ascii="Arial" w:hAnsi="Arial" w:cs="Arial"/>
        </w:rPr>
        <w:t>-</w:t>
      </w:r>
      <w:r w:rsidR="00CC45B5">
        <w:rPr>
          <w:rFonts w:ascii="Arial" w:hAnsi="Arial" w:cs="Arial"/>
        </w:rPr>
        <w:t xml:space="preserve"> </w:t>
      </w:r>
      <w:r w:rsidRPr="00C831BA">
        <w:rPr>
          <w:rFonts w:ascii="Arial" w:hAnsi="Arial" w:cs="Arial"/>
        </w:rPr>
        <w:t xml:space="preserve">a set of information for which they are neither responsible nor able to vouch for its veracity. Further, fatigue laws penalise non-compliance with mandated rest hours </w:t>
      </w:r>
      <w:r w:rsidR="00001B71">
        <w:rPr>
          <w:rFonts w:ascii="Arial" w:hAnsi="Arial" w:cs="Arial"/>
        </w:rPr>
        <w:t>and</w:t>
      </w:r>
      <w:r w:rsidRPr="00C831BA">
        <w:rPr>
          <w:rFonts w:ascii="Arial" w:hAnsi="Arial" w:cs="Arial"/>
        </w:rPr>
        <w:t xml:space="preserve"> this may be feasible on paper</w:t>
      </w:r>
      <w:r w:rsidR="00001B71">
        <w:rPr>
          <w:rFonts w:ascii="Arial" w:hAnsi="Arial" w:cs="Arial"/>
        </w:rPr>
        <w:t>,</w:t>
      </w:r>
      <w:r w:rsidRPr="00C831BA">
        <w:rPr>
          <w:rFonts w:ascii="Arial" w:hAnsi="Arial" w:cs="Arial"/>
        </w:rPr>
        <w:t xml:space="preserve"> yet unrealistic in practice if</w:t>
      </w:r>
      <w:r w:rsidR="00001B71">
        <w:rPr>
          <w:rFonts w:ascii="Arial" w:hAnsi="Arial" w:cs="Arial"/>
        </w:rPr>
        <w:t>,</w:t>
      </w:r>
      <w:r w:rsidRPr="00C831BA">
        <w:rPr>
          <w:rFonts w:ascii="Arial" w:hAnsi="Arial" w:cs="Arial"/>
        </w:rPr>
        <w:t xml:space="preserve"> as is the case</w:t>
      </w:r>
      <w:r w:rsidR="00001B71">
        <w:rPr>
          <w:rFonts w:ascii="Arial" w:hAnsi="Arial" w:cs="Arial"/>
        </w:rPr>
        <w:t xml:space="preserve"> in some locations,</w:t>
      </w:r>
      <w:r w:rsidRPr="00C831BA">
        <w:rPr>
          <w:rFonts w:ascii="Arial" w:hAnsi="Arial" w:cs="Arial"/>
        </w:rPr>
        <w:t xml:space="preserve"> there are not enough rest </w:t>
      </w:r>
      <w:r w:rsidR="00A25569">
        <w:rPr>
          <w:rFonts w:ascii="Arial" w:hAnsi="Arial" w:cs="Arial"/>
        </w:rPr>
        <w:t>areas</w:t>
      </w:r>
      <w:r w:rsidRPr="00C831BA">
        <w:rPr>
          <w:rFonts w:ascii="Arial" w:hAnsi="Arial" w:cs="Arial"/>
        </w:rPr>
        <w:t xml:space="preserve"> for drivers to use to stay compliant. The law still does not adequately recognise this failing.</w:t>
      </w:r>
    </w:p>
    <w:p w:rsidR="000F5BB6" w:rsidRPr="00C831BA" w:rsidRDefault="000F5BB6" w:rsidP="000F5BB6">
      <w:pPr>
        <w:autoSpaceDE w:val="0"/>
        <w:autoSpaceDN w:val="0"/>
        <w:adjustRightInd w:val="0"/>
        <w:jc w:val="both"/>
        <w:rPr>
          <w:rFonts w:ascii="Arial" w:hAnsi="Arial" w:cs="Arial"/>
          <w:b/>
          <w:i/>
        </w:rPr>
      </w:pPr>
    </w:p>
    <w:p w:rsidR="005C069F" w:rsidRDefault="000F5BB6" w:rsidP="000F5BB6">
      <w:pPr>
        <w:pStyle w:val="RecommendationStyle"/>
        <w:numPr>
          <w:ilvl w:val="0"/>
          <w:numId w:val="0"/>
        </w:numPr>
        <w:autoSpaceDE w:val="0"/>
        <w:autoSpaceDN w:val="0"/>
        <w:adjustRightInd w:val="0"/>
        <w:spacing w:before="0" w:after="0"/>
        <w:jc w:val="both"/>
        <w:rPr>
          <w:b w:val="0"/>
          <w:i w:val="0"/>
          <w:sz w:val="22"/>
          <w:szCs w:val="22"/>
        </w:rPr>
      </w:pPr>
      <w:r w:rsidRPr="00C831BA">
        <w:rPr>
          <w:b w:val="0"/>
          <w:i w:val="0"/>
          <w:sz w:val="22"/>
          <w:szCs w:val="22"/>
        </w:rPr>
        <w:t xml:space="preserve">The issue of </w:t>
      </w:r>
      <w:r w:rsidRPr="00C831BA">
        <w:rPr>
          <w:b w:val="0"/>
          <w:sz w:val="22"/>
          <w:szCs w:val="22"/>
        </w:rPr>
        <w:t xml:space="preserve">unfair </w:t>
      </w:r>
      <w:r w:rsidR="005C069F">
        <w:rPr>
          <w:b w:val="0"/>
          <w:sz w:val="22"/>
          <w:szCs w:val="22"/>
        </w:rPr>
        <w:t xml:space="preserve">commercial </w:t>
      </w:r>
      <w:r w:rsidRPr="00C831BA">
        <w:rPr>
          <w:b w:val="0"/>
          <w:sz w:val="22"/>
          <w:szCs w:val="22"/>
        </w:rPr>
        <w:t>benefit</w:t>
      </w:r>
      <w:r w:rsidRPr="00C831BA">
        <w:rPr>
          <w:b w:val="0"/>
          <w:i w:val="0"/>
          <w:sz w:val="22"/>
          <w:szCs w:val="22"/>
        </w:rPr>
        <w:t xml:space="preserve"> (</w:t>
      </w:r>
      <w:r w:rsidR="00304B7E">
        <w:rPr>
          <w:b w:val="0"/>
          <w:i w:val="0"/>
          <w:sz w:val="22"/>
          <w:szCs w:val="22"/>
        </w:rPr>
        <w:t>i.e.</w:t>
      </w:r>
      <w:r w:rsidR="008E33E5">
        <w:rPr>
          <w:b w:val="0"/>
          <w:i w:val="0"/>
          <w:sz w:val="22"/>
          <w:szCs w:val="22"/>
        </w:rPr>
        <w:t xml:space="preserve"> </w:t>
      </w:r>
      <w:r w:rsidRPr="00C831BA">
        <w:rPr>
          <w:b w:val="0"/>
          <w:i w:val="0"/>
          <w:sz w:val="22"/>
          <w:szCs w:val="22"/>
        </w:rPr>
        <w:t>profits made by ‘dodgy</w:t>
      </w:r>
      <w:r w:rsidR="00766966">
        <w:rPr>
          <w:b w:val="0"/>
          <w:i w:val="0"/>
          <w:sz w:val="22"/>
          <w:szCs w:val="22"/>
        </w:rPr>
        <w:t>’</w:t>
      </w:r>
      <w:r w:rsidRPr="00C831BA">
        <w:rPr>
          <w:b w:val="0"/>
          <w:i w:val="0"/>
          <w:sz w:val="22"/>
          <w:szCs w:val="22"/>
        </w:rPr>
        <w:t xml:space="preserve"> operators when cheating the law to cart more freight than their legally compliant competitors) </w:t>
      </w:r>
      <w:r w:rsidR="005C069F">
        <w:rPr>
          <w:b w:val="0"/>
          <w:i w:val="0"/>
          <w:sz w:val="22"/>
          <w:szCs w:val="22"/>
        </w:rPr>
        <w:t xml:space="preserve">discussed in section 9.2, </w:t>
      </w:r>
      <w:r w:rsidRPr="00C831BA">
        <w:rPr>
          <w:b w:val="0"/>
          <w:i w:val="0"/>
          <w:sz w:val="22"/>
          <w:szCs w:val="22"/>
        </w:rPr>
        <w:t xml:space="preserve">can also be addressed in actions brought under trade practices law (or health and safety, environmental protection laws etc.) and rightly so. </w:t>
      </w:r>
    </w:p>
    <w:p w:rsidR="005C069F" w:rsidRDefault="005C069F" w:rsidP="000F5BB6">
      <w:pPr>
        <w:pStyle w:val="RecommendationStyle"/>
        <w:numPr>
          <w:ilvl w:val="0"/>
          <w:numId w:val="0"/>
        </w:numPr>
        <w:autoSpaceDE w:val="0"/>
        <w:autoSpaceDN w:val="0"/>
        <w:adjustRightInd w:val="0"/>
        <w:spacing w:before="0" w:after="0"/>
        <w:jc w:val="both"/>
        <w:rPr>
          <w:b w:val="0"/>
          <w:i w:val="0"/>
          <w:sz w:val="22"/>
          <w:szCs w:val="22"/>
        </w:rPr>
      </w:pPr>
    </w:p>
    <w:p w:rsidR="00CD5A29" w:rsidRPr="00C831BA" w:rsidRDefault="000F5BB6" w:rsidP="000F5BB6">
      <w:pPr>
        <w:pStyle w:val="RecommendationStyle"/>
        <w:numPr>
          <w:ilvl w:val="0"/>
          <w:numId w:val="0"/>
        </w:numPr>
        <w:autoSpaceDE w:val="0"/>
        <w:autoSpaceDN w:val="0"/>
        <w:adjustRightInd w:val="0"/>
        <w:spacing w:before="0" w:after="0"/>
        <w:jc w:val="both"/>
        <w:rPr>
          <w:b w:val="0"/>
          <w:i w:val="0"/>
          <w:sz w:val="22"/>
          <w:szCs w:val="22"/>
        </w:rPr>
      </w:pPr>
      <w:r w:rsidRPr="00C831BA">
        <w:rPr>
          <w:b w:val="0"/>
          <w:i w:val="0"/>
          <w:sz w:val="22"/>
          <w:szCs w:val="22"/>
        </w:rPr>
        <w:t xml:space="preserve">However, </w:t>
      </w:r>
      <w:r w:rsidR="00F82591">
        <w:rPr>
          <w:b w:val="0"/>
          <w:i w:val="0"/>
          <w:sz w:val="22"/>
          <w:szCs w:val="22"/>
        </w:rPr>
        <w:t>the</w:t>
      </w:r>
      <w:r w:rsidRPr="00C831BA">
        <w:rPr>
          <w:b w:val="0"/>
          <w:i w:val="0"/>
          <w:sz w:val="22"/>
          <w:szCs w:val="22"/>
        </w:rPr>
        <w:t xml:space="preserve"> </w:t>
      </w:r>
      <w:r w:rsidRPr="00C831BA">
        <w:rPr>
          <w:b w:val="0"/>
          <w:sz w:val="22"/>
          <w:szCs w:val="22"/>
        </w:rPr>
        <w:t>physical</w:t>
      </w:r>
      <w:r w:rsidRPr="00C831BA">
        <w:rPr>
          <w:b w:val="0"/>
          <w:i w:val="0"/>
          <w:sz w:val="22"/>
          <w:szCs w:val="22"/>
        </w:rPr>
        <w:t xml:space="preserve"> </w:t>
      </w:r>
      <w:r w:rsidRPr="00C831BA">
        <w:rPr>
          <w:b w:val="0"/>
          <w:sz w:val="22"/>
          <w:szCs w:val="22"/>
        </w:rPr>
        <w:t>event</w:t>
      </w:r>
      <w:r w:rsidRPr="00C831BA">
        <w:rPr>
          <w:b w:val="0"/>
          <w:i w:val="0"/>
          <w:sz w:val="22"/>
          <w:szCs w:val="22"/>
        </w:rPr>
        <w:t xml:space="preserve"> of overloading (</w:t>
      </w:r>
      <w:r w:rsidR="00F82591">
        <w:rPr>
          <w:b w:val="0"/>
          <w:i w:val="0"/>
          <w:sz w:val="22"/>
          <w:szCs w:val="22"/>
        </w:rPr>
        <w:t xml:space="preserve">i.e. </w:t>
      </w:r>
      <w:r w:rsidRPr="00C831BA">
        <w:rPr>
          <w:b w:val="0"/>
          <w:i w:val="0"/>
          <w:sz w:val="22"/>
          <w:szCs w:val="22"/>
        </w:rPr>
        <w:t xml:space="preserve">deliberately </w:t>
      </w:r>
      <w:r w:rsidRPr="00C831BA">
        <w:rPr>
          <w:b w:val="0"/>
          <w:sz w:val="22"/>
          <w:szCs w:val="22"/>
        </w:rPr>
        <w:t>or</w:t>
      </w:r>
      <w:r w:rsidRPr="00C831BA">
        <w:rPr>
          <w:b w:val="0"/>
          <w:i w:val="0"/>
          <w:sz w:val="22"/>
          <w:szCs w:val="22"/>
        </w:rPr>
        <w:t xml:space="preserve"> accidentally </w:t>
      </w:r>
      <w:r w:rsidRPr="0098446C">
        <w:rPr>
          <w:b w:val="0"/>
          <w:sz w:val="22"/>
          <w:szCs w:val="22"/>
        </w:rPr>
        <w:t>exceeding legal load mass limits</w:t>
      </w:r>
      <w:r w:rsidRPr="00C831BA">
        <w:rPr>
          <w:b w:val="0"/>
          <w:i w:val="0"/>
          <w:sz w:val="22"/>
          <w:szCs w:val="22"/>
        </w:rPr>
        <w:t xml:space="preserve">) is a ‘pure’ transport matter with real-world consequences </w:t>
      </w:r>
      <w:r w:rsidR="002860E1" w:rsidRPr="00C831BA">
        <w:rPr>
          <w:b w:val="0"/>
          <w:i w:val="0"/>
          <w:sz w:val="22"/>
          <w:szCs w:val="22"/>
        </w:rPr>
        <w:t xml:space="preserve">relating </w:t>
      </w:r>
      <w:r w:rsidRPr="00C831BA">
        <w:rPr>
          <w:b w:val="0"/>
          <w:i w:val="0"/>
          <w:sz w:val="22"/>
          <w:szCs w:val="22"/>
        </w:rPr>
        <w:t xml:space="preserve">to </w:t>
      </w:r>
      <w:r w:rsidR="00304B7E">
        <w:rPr>
          <w:b w:val="0"/>
          <w:i w:val="0"/>
          <w:sz w:val="22"/>
          <w:szCs w:val="22"/>
        </w:rPr>
        <w:t xml:space="preserve">the </w:t>
      </w:r>
      <w:r w:rsidRPr="00C831BA">
        <w:rPr>
          <w:b w:val="0"/>
          <w:i w:val="0"/>
          <w:sz w:val="22"/>
          <w:szCs w:val="22"/>
        </w:rPr>
        <w:t xml:space="preserve">twin policy </w:t>
      </w:r>
      <w:r w:rsidR="002860E1">
        <w:rPr>
          <w:b w:val="0"/>
          <w:i w:val="0"/>
          <w:sz w:val="22"/>
          <w:szCs w:val="22"/>
        </w:rPr>
        <w:t>aims</w:t>
      </w:r>
      <w:r w:rsidRPr="00C831BA">
        <w:rPr>
          <w:b w:val="0"/>
          <w:i w:val="0"/>
          <w:sz w:val="22"/>
          <w:szCs w:val="22"/>
        </w:rPr>
        <w:t xml:space="preserve"> of </w:t>
      </w:r>
      <w:r w:rsidRPr="00C831BA">
        <w:rPr>
          <w:b w:val="0"/>
          <w:sz w:val="22"/>
          <w:szCs w:val="22"/>
        </w:rPr>
        <w:t>protecting human life</w:t>
      </w:r>
      <w:r w:rsidRPr="00C831BA">
        <w:rPr>
          <w:b w:val="0"/>
          <w:i w:val="0"/>
          <w:sz w:val="22"/>
          <w:szCs w:val="22"/>
        </w:rPr>
        <w:t xml:space="preserve"> and </w:t>
      </w:r>
      <w:r w:rsidRPr="00C831BA">
        <w:rPr>
          <w:b w:val="0"/>
          <w:sz w:val="22"/>
          <w:szCs w:val="22"/>
        </w:rPr>
        <w:t>preserving and providing road infrastructure</w:t>
      </w:r>
      <w:r w:rsidRPr="00C831BA">
        <w:rPr>
          <w:b w:val="0"/>
          <w:i w:val="0"/>
          <w:sz w:val="22"/>
          <w:szCs w:val="22"/>
        </w:rPr>
        <w:t xml:space="preserve">. </w:t>
      </w:r>
      <w:r w:rsidR="002860E1">
        <w:rPr>
          <w:b w:val="0"/>
          <w:i w:val="0"/>
          <w:sz w:val="22"/>
          <w:szCs w:val="22"/>
        </w:rPr>
        <w:t>T</w:t>
      </w:r>
      <w:r w:rsidRPr="00C831BA">
        <w:rPr>
          <w:b w:val="0"/>
          <w:i w:val="0"/>
          <w:sz w:val="22"/>
          <w:szCs w:val="22"/>
        </w:rPr>
        <w:t xml:space="preserve">hese two practical </w:t>
      </w:r>
      <w:r w:rsidR="002860E1">
        <w:rPr>
          <w:b w:val="0"/>
          <w:i w:val="0"/>
          <w:sz w:val="22"/>
          <w:szCs w:val="22"/>
        </w:rPr>
        <w:t>objectives</w:t>
      </w:r>
      <w:r w:rsidRPr="00C831BA">
        <w:rPr>
          <w:b w:val="0"/>
          <w:i w:val="0"/>
          <w:sz w:val="22"/>
          <w:szCs w:val="22"/>
        </w:rPr>
        <w:t xml:space="preserve"> should remain central to the NTC’s focus on </w:t>
      </w:r>
      <w:r w:rsidR="00A0022A">
        <w:rPr>
          <w:b w:val="0"/>
          <w:i w:val="0"/>
          <w:sz w:val="22"/>
          <w:szCs w:val="22"/>
        </w:rPr>
        <w:t xml:space="preserve">heavy vehicle </w:t>
      </w:r>
      <w:r w:rsidRPr="00C831BA">
        <w:rPr>
          <w:b w:val="0"/>
          <w:i w:val="0"/>
          <w:sz w:val="22"/>
          <w:szCs w:val="22"/>
        </w:rPr>
        <w:t xml:space="preserve">compliance. This focus </w:t>
      </w:r>
      <w:r w:rsidR="00615E95">
        <w:rPr>
          <w:b w:val="0"/>
          <w:i w:val="0"/>
          <w:sz w:val="22"/>
          <w:szCs w:val="22"/>
        </w:rPr>
        <w:t xml:space="preserve">then </w:t>
      </w:r>
      <w:r w:rsidRPr="00C831BA">
        <w:rPr>
          <w:b w:val="0"/>
          <w:i w:val="0"/>
          <w:sz w:val="22"/>
          <w:szCs w:val="22"/>
        </w:rPr>
        <w:t>help</w:t>
      </w:r>
      <w:r w:rsidR="002860E1">
        <w:rPr>
          <w:b w:val="0"/>
          <w:i w:val="0"/>
          <w:sz w:val="22"/>
          <w:szCs w:val="22"/>
        </w:rPr>
        <w:t>s</w:t>
      </w:r>
      <w:r w:rsidRPr="00C831BA">
        <w:rPr>
          <w:b w:val="0"/>
          <w:i w:val="0"/>
          <w:sz w:val="22"/>
          <w:szCs w:val="22"/>
        </w:rPr>
        <w:t xml:space="preserve"> ensure </w:t>
      </w:r>
      <w:r w:rsidR="00D1723F">
        <w:rPr>
          <w:b w:val="0"/>
          <w:i w:val="0"/>
          <w:sz w:val="22"/>
          <w:szCs w:val="22"/>
        </w:rPr>
        <w:t xml:space="preserve">the </w:t>
      </w:r>
      <w:r w:rsidRPr="00C831BA">
        <w:rPr>
          <w:b w:val="0"/>
          <w:i w:val="0"/>
          <w:sz w:val="22"/>
          <w:szCs w:val="22"/>
        </w:rPr>
        <w:t xml:space="preserve">industry’s success story of </w:t>
      </w:r>
      <w:r w:rsidR="007D5A35">
        <w:rPr>
          <w:b w:val="0"/>
          <w:i w:val="0"/>
          <w:sz w:val="22"/>
          <w:szCs w:val="22"/>
        </w:rPr>
        <w:t xml:space="preserve">adherence to </w:t>
      </w:r>
      <w:r w:rsidRPr="00C831BA">
        <w:rPr>
          <w:b w:val="0"/>
          <w:i w:val="0"/>
          <w:sz w:val="22"/>
          <w:szCs w:val="22"/>
        </w:rPr>
        <w:t xml:space="preserve">compliance continues and </w:t>
      </w:r>
      <w:r w:rsidR="002860E1">
        <w:rPr>
          <w:b w:val="0"/>
          <w:i w:val="0"/>
          <w:sz w:val="22"/>
          <w:szCs w:val="22"/>
        </w:rPr>
        <w:t xml:space="preserve">that </w:t>
      </w:r>
      <w:r w:rsidRPr="00C831BA">
        <w:rPr>
          <w:b w:val="0"/>
          <w:i w:val="0"/>
          <w:sz w:val="22"/>
          <w:szCs w:val="22"/>
        </w:rPr>
        <w:t xml:space="preserve">the very strong safety culture present in the </w:t>
      </w:r>
      <w:r w:rsidR="006D5684" w:rsidRPr="00C831BA">
        <w:rPr>
          <w:b w:val="0"/>
          <w:i w:val="0"/>
          <w:sz w:val="22"/>
          <w:szCs w:val="22"/>
        </w:rPr>
        <w:t xml:space="preserve">trucking </w:t>
      </w:r>
      <w:r w:rsidRPr="00C831BA">
        <w:rPr>
          <w:b w:val="0"/>
          <w:i w:val="0"/>
          <w:sz w:val="22"/>
          <w:szCs w:val="22"/>
        </w:rPr>
        <w:t xml:space="preserve">industry keeps getting stronger. </w:t>
      </w:r>
    </w:p>
    <w:p w:rsidR="006C5B58" w:rsidRPr="000A0B03" w:rsidRDefault="006C5B58" w:rsidP="006C5B58">
      <w:pPr>
        <w:pStyle w:val="TOC1"/>
        <w:rPr>
          <w:rFonts w:cs="Arial"/>
        </w:rPr>
      </w:pPr>
      <w:r w:rsidRPr="000A0B03">
        <w:rPr>
          <w:rFonts w:cs="Arial"/>
          <w:sz w:val="22"/>
          <w:szCs w:val="22"/>
        </w:rPr>
        <w:t>Recommendation 2</w:t>
      </w:r>
    </w:p>
    <w:p w:rsidR="006C5B58" w:rsidRDefault="006C5B58" w:rsidP="006C5B58">
      <w:pPr>
        <w:rPr>
          <w:rFonts w:ascii="Arial" w:hAnsi="Arial" w:cs="Arial"/>
          <w:b/>
        </w:rPr>
      </w:pPr>
    </w:p>
    <w:p w:rsidR="006C5B58" w:rsidRDefault="006C5B58" w:rsidP="006C5B58">
      <w:pPr>
        <w:rPr>
          <w:rFonts w:ascii="Arial" w:hAnsi="Arial" w:cs="Arial"/>
          <w:b/>
        </w:rPr>
      </w:pPr>
      <w:r w:rsidRPr="000A0B03">
        <w:rPr>
          <w:rFonts w:ascii="Arial" w:hAnsi="Arial" w:cs="Arial"/>
          <w:b/>
        </w:rPr>
        <w:t xml:space="preserve">The ATA recommends that the NTC continue to develop policies that simplify </w:t>
      </w:r>
      <w:r>
        <w:rPr>
          <w:rFonts w:ascii="Arial" w:hAnsi="Arial" w:cs="Arial"/>
          <w:b/>
        </w:rPr>
        <w:t xml:space="preserve">and improve </w:t>
      </w:r>
      <w:r w:rsidRPr="000A0B03">
        <w:rPr>
          <w:rFonts w:ascii="Arial" w:hAnsi="Arial" w:cs="Arial"/>
          <w:b/>
        </w:rPr>
        <w:t xml:space="preserve">the regulatory environment </w:t>
      </w:r>
      <w:r>
        <w:rPr>
          <w:rFonts w:ascii="Arial" w:hAnsi="Arial" w:cs="Arial"/>
          <w:b/>
        </w:rPr>
        <w:t>in order to</w:t>
      </w:r>
      <w:r w:rsidRPr="000A0B03">
        <w:rPr>
          <w:rFonts w:ascii="Arial" w:hAnsi="Arial" w:cs="Arial"/>
          <w:b/>
        </w:rPr>
        <w:t xml:space="preserve"> maximise industry productivity. </w:t>
      </w:r>
    </w:p>
    <w:p w:rsidR="00737FA4" w:rsidRDefault="00737FA4" w:rsidP="006C5B58">
      <w:pPr>
        <w:rPr>
          <w:rFonts w:ascii="Arial" w:hAnsi="Arial" w:cs="Arial"/>
          <w:b/>
        </w:rPr>
      </w:pPr>
    </w:p>
    <w:p w:rsidR="00737FA4" w:rsidRDefault="00737FA4" w:rsidP="006C5B58">
      <w:pPr>
        <w:rPr>
          <w:rFonts w:ascii="Arial" w:hAnsi="Arial" w:cs="Arial"/>
          <w:b/>
        </w:rPr>
      </w:pPr>
    </w:p>
    <w:p w:rsidR="00737FA4" w:rsidRDefault="00737FA4" w:rsidP="006C5B58">
      <w:pPr>
        <w:rPr>
          <w:rFonts w:ascii="Arial" w:hAnsi="Arial" w:cs="Arial"/>
          <w:b/>
        </w:rPr>
      </w:pPr>
    </w:p>
    <w:bookmarkEnd w:id="61"/>
    <w:bookmarkEnd w:id="62"/>
    <w:bookmarkEnd w:id="63"/>
    <w:bookmarkEnd w:id="64"/>
    <w:p w:rsidR="00CA40CF" w:rsidRDefault="00CA40CF" w:rsidP="001D06D8">
      <w:pPr>
        <w:pStyle w:val="Heading1"/>
        <w:numPr>
          <w:ilvl w:val="1"/>
          <w:numId w:val="3"/>
        </w:numPr>
        <w:jc w:val="both"/>
      </w:pPr>
      <w:r>
        <w:t xml:space="preserve">Chain of </w:t>
      </w:r>
      <w:r w:rsidR="00BE67ED">
        <w:t>R</w:t>
      </w:r>
      <w:r>
        <w:t xml:space="preserve">esponsibility </w:t>
      </w:r>
      <w:r w:rsidR="0059565B">
        <w:t xml:space="preserve">(COR) </w:t>
      </w:r>
      <w:r>
        <w:t>and a ‘culture of compliance’</w:t>
      </w:r>
    </w:p>
    <w:p w:rsidR="00133D58" w:rsidRDefault="00133D58" w:rsidP="001D06D8">
      <w:pPr>
        <w:pStyle w:val="RecommendationStyle"/>
        <w:numPr>
          <w:ilvl w:val="0"/>
          <w:numId w:val="0"/>
        </w:numPr>
        <w:autoSpaceDE w:val="0"/>
        <w:autoSpaceDN w:val="0"/>
        <w:adjustRightInd w:val="0"/>
        <w:spacing w:before="0" w:after="0"/>
        <w:jc w:val="both"/>
        <w:rPr>
          <w:rFonts w:ascii="Calibri" w:hAnsi="Calibri" w:cs="Times New Roman"/>
          <w:b w:val="0"/>
          <w:i w:val="0"/>
          <w:sz w:val="21"/>
          <w:szCs w:val="21"/>
        </w:rPr>
      </w:pPr>
    </w:p>
    <w:p w:rsidR="00CA40CF" w:rsidRPr="00F82591" w:rsidRDefault="00615E95" w:rsidP="001D06D8">
      <w:pPr>
        <w:pStyle w:val="RecommendationStyle"/>
        <w:numPr>
          <w:ilvl w:val="0"/>
          <w:numId w:val="0"/>
        </w:numPr>
        <w:autoSpaceDE w:val="0"/>
        <w:autoSpaceDN w:val="0"/>
        <w:adjustRightInd w:val="0"/>
        <w:spacing w:before="0" w:after="0"/>
        <w:jc w:val="both"/>
        <w:rPr>
          <w:b w:val="0"/>
          <w:i w:val="0"/>
          <w:sz w:val="22"/>
          <w:szCs w:val="22"/>
        </w:rPr>
      </w:pPr>
      <w:r>
        <w:rPr>
          <w:b w:val="0"/>
          <w:i w:val="0"/>
          <w:sz w:val="22"/>
          <w:szCs w:val="22"/>
        </w:rPr>
        <w:t>With reference to</w:t>
      </w:r>
      <w:r w:rsidR="00CA40CF" w:rsidRPr="00F82591">
        <w:rPr>
          <w:b w:val="0"/>
          <w:i w:val="0"/>
          <w:sz w:val="22"/>
          <w:szCs w:val="22"/>
        </w:rPr>
        <w:t xml:space="preserve"> section 1.8,</w:t>
      </w:r>
      <w:r w:rsidR="00CA40CF" w:rsidRPr="00F82591">
        <w:rPr>
          <w:b w:val="0"/>
          <w:sz w:val="22"/>
          <w:szCs w:val="22"/>
        </w:rPr>
        <w:t xml:space="preserve"> Responses to Non-compliance: Chain of Responsibility</w:t>
      </w:r>
      <w:r w:rsidR="00CA40CF" w:rsidRPr="00F82591">
        <w:rPr>
          <w:b w:val="0"/>
          <w:i w:val="0"/>
          <w:sz w:val="22"/>
          <w:szCs w:val="22"/>
        </w:rPr>
        <w:t xml:space="preserve">, the ATA reiterates its </w:t>
      </w:r>
      <w:r w:rsidR="000043C9">
        <w:rPr>
          <w:b w:val="0"/>
          <w:i w:val="0"/>
          <w:sz w:val="22"/>
          <w:szCs w:val="22"/>
        </w:rPr>
        <w:t>support</w:t>
      </w:r>
      <w:r w:rsidR="00CA40CF" w:rsidRPr="00F82591">
        <w:rPr>
          <w:b w:val="0"/>
          <w:i w:val="0"/>
          <w:sz w:val="22"/>
          <w:szCs w:val="22"/>
        </w:rPr>
        <w:t xml:space="preserve"> for a stronger, fairer, more effective legal framework. As the consultation draft </w:t>
      </w:r>
      <w:r w:rsidR="00961BC6">
        <w:rPr>
          <w:b w:val="0"/>
          <w:i w:val="0"/>
          <w:sz w:val="22"/>
          <w:szCs w:val="22"/>
        </w:rPr>
        <w:t xml:space="preserve">also </w:t>
      </w:r>
      <w:r w:rsidR="004172AE" w:rsidRPr="00F82591">
        <w:rPr>
          <w:b w:val="0"/>
          <w:i w:val="0"/>
          <w:sz w:val="22"/>
          <w:szCs w:val="22"/>
        </w:rPr>
        <w:t>concedes</w:t>
      </w:r>
      <w:r w:rsidR="00CA40CF" w:rsidRPr="00F82591">
        <w:rPr>
          <w:b w:val="0"/>
          <w:i w:val="0"/>
          <w:sz w:val="22"/>
          <w:szCs w:val="22"/>
        </w:rPr>
        <w:t xml:space="preserve">, COR laws </w:t>
      </w:r>
      <w:r w:rsidR="004172AE" w:rsidRPr="00F82591">
        <w:rPr>
          <w:b w:val="0"/>
          <w:i w:val="0"/>
          <w:sz w:val="22"/>
          <w:szCs w:val="22"/>
        </w:rPr>
        <w:t>will</w:t>
      </w:r>
      <w:r w:rsidR="00CA40CF" w:rsidRPr="00F82591">
        <w:rPr>
          <w:b w:val="0"/>
          <w:i w:val="0"/>
          <w:sz w:val="22"/>
          <w:szCs w:val="22"/>
        </w:rPr>
        <w:t xml:space="preserve"> improve once </w:t>
      </w:r>
      <w:r w:rsidR="00516452">
        <w:rPr>
          <w:b w:val="0"/>
          <w:i w:val="0"/>
          <w:sz w:val="22"/>
          <w:szCs w:val="22"/>
        </w:rPr>
        <w:t xml:space="preserve">an </w:t>
      </w:r>
      <w:r w:rsidR="00CA40CF" w:rsidRPr="00F82591">
        <w:rPr>
          <w:b w:val="0"/>
          <w:i w:val="0"/>
          <w:sz w:val="22"/>
          <w:szCs w:val="22"/>
        </w:rPr>
        <w:t>emphasis is put by the N</w:t>
      </w:r>
      <w:r>
        <w:rPr>
          <w:b w:val="0"/>
          <w:i w:val="0"/>
          <w:sz w:val="22"/>
          <w:szCs w:val="22"/>
        </w:rPr>
        <w:t xml:space="preserve">ational </w:t>
      </w:r>
      <w:r w:rsidR="00CA40CF" w:rsidRPr="00F82591">
        <w:rPr>
          <w:b w:val="0"/>
          <w:i w:val="0"/>
          <w:sz w:val="22"/>
          <w:szCs w:val="22"/>
        </w:rPr>
        <w:t>H</w:t>
      </w:r>
      <w:r>
        <w:rPr>
          <w:b w:val="0"/>
          <w:i w:val="0"/>
          <w:sz w:val="22"/>
          <w:szCs w:val="22"/>
        </w:rPr>
        <w:t>eavy Vehicle Regulator (NHVR)</w:t>
      </w:r>
      <w:r w:rsidR="00CA40CF" w:rsidRPr="00F82591">
        <w:rPr>
          <w:b w:val="0"/>
          <w:i w:val="0"/>
          <w:sz w:val="22"/>
          <w:szCs w:val="22"/>
        </w:rPr>
        <w:t xml:space="preserve"> on undertaking investigations that ex</w:t>
      </w:r>
      <w:r w:rsidR="004172AE" w:rsidRPr="00F82591">
        <w:rPr>
          <w:b w:val="0"/>
          <w:i w:val="0"/>
          <w:sz w:val="22"/>
          <w:szCs w:val="22"/>
        </w:rPr>
        <w:t>tend beyond driver and operator (</w:t>
      </w:r>
      <w:r w:rsidR="00CA40CF" w:rsidRPr="00F82591">
        <w:rPr>
          <w:b w:val="0"/>
          <w:i w:val="0"/>
          <w:sz w:val="22"/>
          <w:szCs w:val="22"/>
        </w:rPr>
        <w:t xml:space="preserve">as per the spirit of </w:t>
      </w:r>
      <w:r w:rsidR="00E5461D" w:rsidRPr="00F82591">
        <w:rPr>
          <w:b w:val="0"/>
          <w:i w:val="0"/>
          <w:sz w:val="22"/>
          <w:szCs w:val="22"/>
        </w:rPr>
        <w:t xml:space="preserve">both </w:t>
      </w:r>
      <w:r w:rsidR="00CA40CF" w:rsidRPr="00F82591">
        <w:rPr>
          <w:b w:val="0"/>
          <w:i w:val="0"/>
          <w:sz w:val="22"/>
          <w:szCs w:val="22"/>
        </w:rPr>
        <w:t>the policy and the law</w:t>
      </w:r>
      <w:r w:rsidR="004172AE" w:rsidRPr="00F82591">
        <w:rPr>
          <w:b w:val="0"/>
          <w:i w:val="0"/>
          <w:sz w:val="22"/>
          <w:szCs w:val="22"/>
        </w:rPr>
        <w:t>)</w:t>
      </w:r>
      <w:r w:rsidR="00CA40CF" w:rsidRPr="00F82591">
        <w:rPr>
          <w:b w:val="0"/>
          <w:i w:val="0"/>
          <w:sz w:val="22"/>
          <w:szCs w:val="22"/>
        </w:rPr>
        <w:t xml:space="preserve">. </w:t>
      </w:r>
    </w:p>
    <w:p w:rsidR="0022661D" w:rsidRPr="00F82591" w:rsidRDefault="0022661D" w:rsidP="001D06D8">
      <w:pPr>
        <w:pStyle w:val="RecommendationStyle"/>
        <w:numPr>
          <w:ilvl w:val="0"/>
          <w:numId w:val="0"/>
        </w:numPr>
        <w:autoSpaceDE w:val="0"/>
        <w:autoSpaceDN w:val="0"/>
        <w:adjustRightInd w:val="0"/>
        <w:spacing w:before="0" w:after="0"/>
        <w:jc w:val="both"/>
        <w:rPr>
          <w:b w:val="0"/>
          <w:i w:val="0"/>
          <w:sz w:val="22"/>
          <w:szCs w:val="22"/>
        </w:rPr>
      </w:pPr>
    </w:p>
    <w:p w:rsidR="00CA40CF" w:rsidRPr="00F82591" w:rsidRDefault="00CA40CF" w:rsidP="00737FA4">
      <w:pPr>
        <w:pStyle w:val="RecommendationStyle"/>
        <w:numPr>
          <w:ilvl w:val="0"/>
          <w:numId w:val="0"/>
        </w:numPr>
        <w:autoSpaceDE w:val="0"/>
        <w:autoSpaceDN w:val="0"/>
        <w:adjustRightInd w:val="0"/>
        <w:spacing w:before="0" w:after="0"/>
        <w:jc w:val="both"/>
        <w:rPr>
          <w:b w:val="0"/>
          <w:i w:val="0"/>
          <w:sz w:val="22"/>
          <w:szCs w:val="22"/>
        </w:rPr>
      </w:pPr>
      <w:r w:rsidRPr="00F82591">
        <w:rPr>
          <w:b w:val="0"/>
          <w:i w:val="0"/>
          <w:sz w:val="22"/>
          <w:szCs w:val="22"/>
        </w:rPr>
        <w:t xml:space="preserve">What is </w:t>
      </w:r>
      <w:r w:rsidR="0021670E" w:rsidRPr="00F82591">
        <w:rPr>
          <w:b w:val="0"/>
          <w:i w:val="0"/>
          <w:sz w:val="22"/>
          <w:szCs w:val="22"/>
        </w:rPr>
        <w:t xml:space="preserve">primarily </w:t>
      </w:r>
      <w:r w:rsidRPr="00F82591">
        <w:rPr>
          <w:b w:val="0"/>
          <w:i w:val="0"/>
          <w:sz w:val="22"/>
          <w:szCs w:val="22"/>
        </w:rPr>
        <w:t xml:space="preserve">desired is that the NHVR conduct COR investigations as </w:t>
      </w:r>
      <w:r w:rsidR="00737FA4">
        <w:rPr>
          <w:b w:val="0"/>
          <w:i w:val="0"/>
          <w:sz w:val="22"/>
          <w:szCs w:val="22"/>
        </w:rPr>
        <w:t xml:space="preserve">is </w:t>
      </w:r>
      <w:r w:rsidRPr="00F82591">
        <w:rPr>
          <w:b w:val="0"/>
          <w:i w:val="0"/>
          <w:sz w:val="22"/>
          <w:szCs w:val="22"/>
        </w:rPr>
        <w:t xml:space="preserve">warranted by the particular circumstances </w:t>
      </w:r>
      <w:r w:rsidR="005373CA" w:rsidRPr="00F82591">
        <w:rPr>
          <w:b w:val="0"/>
          <w:i w:val="0"/>
          <w:sz w:val="22"/>
          <w:szCs w:val="22"/>
        </w:rPr>
        <w:t>at hand</w:t>
      </w:r>
      <w:r w:rsidR="00737FA4">
        <w:rPr>
          <w:b w:val="0"/>
          <w:i w:val="0"/>
          <w:sz w:val="22"/>
          <w:szCs w:val="22"/>
        </w:rPr>
        <w:t>,</w:t>
      </w:r>
      <w:r w:rsidRPr="00F82591">
        <w:rPr>
          <w:b w:val="0"/>
          <w:i w:val="0"/>
          <w:sz w:val="22"/>
          <w:szCs w:val="22"/>
        </w:rPr>
        <w:t xml:space="preserve"> and to the fullest extent appropriate along the </w:t>
      </w:r>
      <w:r w:rsidR="00737FA4">
        <w:rPr>
          <w:b w:val="0"/>
          <w:i w:val="0"/>
          <w:sz w:val="22"/>
          <w:szCs w:val="22"/>
        </w:rPr>
        <w:t xml:space="preserve">entire </w:t>
      </w:r>
      <w:r w:rsidRPr="00F82591">
        <w:rPr>
          <w:b w:val="0"/>
          <w:i w:val="0"/>
          <w:sz w:val="22"/>
          <w:szCs w:val="22"/>
        </w:rPr>
        <w:t xml:space="preserve">chain of responsibility. </w:t>
      </w:r>
    </w:p>
    <w:p w:rsidR="00644C5A" w:rsidRPr="00F82591" w:rsidRDefault="00644C5A" w:rsidP="001D06D8">
      <w:pPr>
        <w:autoSpaceDE w:val="0"/>
        <w:autoSpaceDN w:val="0"/>
        <w:adjustRightInd w:val="0"/>
        <w:jc w:val="both"/>
        <w:rPr>
          <w:rFonts w:ascii="Arial" w:hAnsi="Arial" w:cs="Arial"/>
          <w:b/>
        </w:rPr>
      </w:pPr>
    </w:p>
    <w:p w:rsidR="000F5BB6" w:rsidRPr="00F82591" w:rsidRDefault="000F5BB6" w:rsidP="000F5BB6">
      <w:pPr>
        <w:pStyle w:val="RecommendationStyle"/>
        <w:numPr>
          <w:ilvl w:val="0"/>
          <w:numId w:val="0"/>
        </w:numPr>
        <w:spacing w:before="0" w:after="0"/>
        <w:jc w:val="both"/>
        <w:rPr>
          <w:b w:val="0"/>
          <w:i w:val="0"/>
          <w:sz w:val="22"/>
          <w:szCs w:val="22"/>
        </w:rPr>
      </w:pPr>
      <w:r w:rsidRPr="00F82591">
        <w:rPr>
          <w:b w:val="0"/>
          <w:i w:val="0"/>
          <w:sz w:val="22"/>
          <w:szCs w:val="22"/>
        </w:rPr>
        <w:t xml:space="preserve">In this vein, the ATA issued several public statements after the dangerous goods tanker crash in Mona Vale Road, Sydney on 1 October, 2013. </w:t>
      </w:r>
      <w:r w:rsidR="00AF77F7" w:rsidRPr="00F82591">
        <w:rPr>
          <w:b w:val="0"/>
          <w:i w:val="0"/>
          <w:sz w:val="22"/>
          <w:szCs w:val="22"/>
        </w:rPr>
        <w:t xml:space="preserve">It should be noted the precise cause or causes </w:t>
      </w:r>
      <w:r w:rsidR="00AF77F7">
        <w:rPr>
          <w:b w:val="0"/>
          <w:i w:val="0"/>
          <w:sz w:val="22"/>
          <w:szCs w:val="22"/>
        </w:rPr>
        <w:t xml:space="preserve">of this crash </w:t>
      </w:r>
      <w:r w:rsidR="00AF77F7" w:rsidRPr="00F82591">
        <w:rPr>
          <w:b w:val="0"/>
          <w:i w:val="0"/>
          <w:sz w:val="22"/>
          <w:szCs w:val="22"/>
        </w:rPr>
        <w:t>had not been announced at the time of writing.</w:t>
      </w:r>
      <w:r w:rsidR="00AF77F7">
        <w:rPr>
          <w:b w:val="0"/>
          <w:i w:val="0"/>
          <w:sz w:val="22"/>
          <w:szCs w:val="22"/>
        </w:rPr>
        <w:t xml:space="preserve"> </w:t>
      </w:r>
      <w:r w:rsidRPr="00F82591">
        <w:rPr>
          <w:b w:val="0"/>
          <w:i w:val="0"/>
          <w:sz w:val="22"/>
          <w:szCs w:val="22"/>
        </w:rPr>
        <w:t>This</w:t>
      </w:r>
      <w:r w:rsidR="00FF01F1" w:rsidRPr="00F82591">
        <w:rPr>
          <w:b w:val="0"/>
          <w:i w:val="0"/>
          <w:sz w:val="22"/>
          <w:szCs w:val="22"/>
        </w:rPr>
        <w:t xml:space="preserve"> particular</w:t>
      </w:r>
      <w:r w:rsidRPr="00F82591">
        <w:rPr>
          <w:b w:val="0"/>
          <w:i w:val="0"/>
          <w:sz w:val="22"/>
          <w:szCs w:val="22"/>
        </w:rPr>
        <w:t xml:space="preserve"> incident attracted media </w:t>
      </w:r>
      <w:r w:rsidR="00FF01F1" w:rsidRPr="00F82591">
        <w:rPr>
          <w:b w:val="0"/>
          <w:i w:val="0"/>
          <w:sz w:val="22"/>
          <w:szCs w:val="22"/>
        </w:rPr>
        <w:t>attention</w:t>
      </w:r>
      <w:r w:rsidRPr="00F82591">
        <w:rPr>
          <w:b w:val="0"/>
          <w:i w:val="0"/>
          <w:sz w:val="22"/>
          <w:szCs w:val="22"/>
        </w:rPr>
        <w:t xml:space="preserve"> and </w:t>
      </w:r>
      <w:r w:rsidR="00FF01F1" w:rsidRPr="00F82591">
        <w:rPr>
          <w:b w:val="0"/>
          <w:i w:val="0"/>
          <w:sz w:val="22"/>
          <w:szCs w:val="22"/>
        </w:rPr>
        <w:t>created</w:t>
      </w:r>
      <w:r w:rsidRPr="00F82591">
        <w:rPr>
          <w:b w:val="0"/>
          <w:i w:val="0"/>
          <w:sz w:val="22"/>
          <w:szCs w:val="22"/>
        </w:rPr>
        <w:t xml:space="preserve"> temporary fuel shortages but it also brought into sharp relief</w:t>
      </w:r>
      <w:r w:rsidR="00EA0DFD">
        <w:rPr>
          <w:b w:val="0"/>
          <w:i w:val="0"/>
          <w:sz w:val="22"/>
          <w:szCs w:val="22"/>
        </w:rPr>
        <w:t>:</w:t>
      </w:r>
      <w:r w:rsidRPr="00F82591">
        <w:rPr>
          <w:b w:val="0"/>
          <w:i w:val="0"/>
          <w:sz w:val="22"/>
          <w:szCs w:val="22"/>
        </w:rPr>
        <w:t xml:space="preserve"> the hazardous nature of some daily freight tasks; </w:t>
      </w:r>
      <w:r w:rsidR="00121750" w:rsidRPr="00F82591">
        <w:rPr>
          <w:b w:val="0"/>
          <w:i w:val="0"/>
          <w:sz w:val="22"/>
          <w:szCs w:val="22"/>
        </w:rPr>
        <w:t>the regulations and procedures surrounding certain freight tasks;</w:t>
      </w:r>
      <w:r w:rsidR="00121750">
        <w:rPr>
          <w:b w:val="0"/>
          <w:i w:val="0"/>
          <w:sz w:val="22"/>
          <w:szCs w:val="22"/>
        </w:rPr>
        <w:t xml:space="preserve"> </w:t>
      </w:r>
      <w:r w:rsidRPr="00F82591">
        <w:rPr>
          <w:b w:val="0"/>
          <w:i w:val="0"/>
          <w:sz w:val="22"/>
          <w:szCs w:val="22"/>
        </w:rPr>
        <w:t>the sensitivity of the just-in-time freight task</w:t>
      </w:r>
      <w:r w:rsidR="00121750">
        <w:rPr>
          <w:b w:val="0"/>
          <w:i w:val="0"/>
          <w:sz w:val="22"/>
          <w:szCs w:val="22"/>
        </w:rPr>
        <w:t xml:space="preserve">; </w:t>
      </w:r>
      <w:r w:rsidRPr="00F82591">
        <w:rPr>
          <w:b w:val="0"/>
          <w:i w:val="0"/>
          <w:sz w:val="22"/>
          <w:szCs w:val="22"/>
        </w:rPr>
        <w:t xml:space="preserve">and the hazards of truck fires. </w:t>
      </w:r>
    </w:p>
    <w:p w:rsidR="000F5BB6" w:rsidRPr="00F82591" w:rsidRDefault="000F5BB6" w:rsidP="000F5BB6">
      <w:pPr>
        <w:pStyle w:val="RecommendationStyle"/>
        <w:numPr>
          <w:ilvl w:val="0"/>
          <w:numId w:val="0"/>
        </w:numPr>
        <w:spacing w:before="0" w:after="0"/>
        <w:jc w:val="both"/>
        <w:rPr>
          <w:b w:val="0"/>
          <w:i w:val="0"/>
          <w:sz w:val="22"/>
          <w:szCs w:val="22"/>
        </w:rPr>
      </w:pPr>
    </w:p>
    <w:p w:rsidR="000F5BB6" w:rsidRPr="00F82591" w:rsidRDefault="000F5BB6" w:rsidP="000F5BB6">
      <w:pPr>
        <w:pStyle w:val="RecommendationStyle"/>
        <w:numPr>
          <w:ilvl w:val="0"/>
          <w:numId w:val="0"/>
        </w:numPr>
        <w:spacing w:before="0" w:after="0"/>
        <w:jc w:val="both"/>
        <w:rPr>
          <w:b w:val="0"/>
          <w:i w:val="0"/>
          <w:sz w:val="22"/>
          <w:szCs w:val="22"/>
        </w:rPr>
      </w:pPr>
      <w:r w:rsidRPr="00F82591">
        <w:rPr>
          <w:b w:val="0"/>
          <w:i w:val="0"/>
          <w:sz w:val="22"/>
          <w:szCs w:val="22"/>
        </w:rPr>
        <w:t>After th</w:t>
      </w:r>
      <w:r w:rsidR="001F28E0">
        <w:rPr>
          <w:b w:val="0"/>
          <w:i w:val="0"/>
          <w:sz w:val="22"/>
          <w:szCs w:val="22"/>
        </w:rPr>
        <w:t>e</w:t>
      </w:r>
      <w:r w:rsidRPr="00F82591">
        <w:rPr>
          <w:b w:val="0"/>
          <w:i w:val="0"/>
          <w:sz w:val="22"/>
          <w:szCs w:val="22"/>
        </w:rPr>
        <w:t xml:space="preserve"> incident, the ATA’s Chief Executive Officer </w:t>
      </w:r>
      <w:r w:rsidR="001F28E0">
        <w:rPr>
          <w:b w:val="0"/>
          <w:i w:val="0"/>
          <w:sz w:val="22"/>
          <w:szCs w:val="22"/>
        </w:rPr>
        <w:t xml:space="preserve">also </w:t>
      </w:r>
      <w:r w:rsidRPr="00F82591">
        <w:rPr>
          <w:b w:val="0"/>
          <w:i w:val="0"/>
          <w:sz w:val="22"/>
          <w:szCs w:val="22"/>
        </w:rPr>
        <w:t xml:space="preserve">publicly admonished operators of all fleet sizes who might choose to skimp on necessary vehicle maintenance, describing </w:t>
      </w:r>
      <w:r w:rsidR="001F28E0">
        <w:rPr>
          <w:b w:val="0"/>
          <w:i w:val="0"/>
          <w:sz w:val="22"/>
          <w:szCs w:val="22"/>
        </w:rPr>
        <w:t>this</w:t>
      </w:r>
      <w:r w:rsidRPr="00F82591">
        <w:rPr>
          <w:b w:val="0"/>
          <w:i w:val="0"/>
          <w:sz w:val="22"/>
          <w:szCs w:val="22"/>
        </w:rPr>
        <w:t xml:space="preserve"> as a ‘false economy’. He also noted how </w:t>
      </w:r>
      <w:r w:rsidR="005706EE">
        <w:rPr>
          <w:b w:val="0"/>
          <w:i w:val="0"/>
          <w:sz w:val="22"/>
          <w:szCs w:val="22"/>
        </w:rPr>
        <w:t>the</w:t>
      </w:r>
      <w:r w:rsidR="001F28E0">
        <w:rPr>
          <w:b w:val="0"/>
          <w:i w:val="0"/>
          <w:sz w:val="22"/>
          <w:szCs w:val="22"/>
        </w:rPr>
        <w:t xml:space="preserve"> </w:t>
      </w:r>
      <w:r w:rsidRPr="00F82591">
        <w:rPr>
          <w:b w:val="0"/>
          <w:i w:val="0"/>
          <w:sz w:val="22"/>
          <w:szCs w:val="22"/>
        </w:rPr>
        <w:t xml:space="preserve">failure to maintain legal, safe and roadworthy vehicles </w:t>
      </w:r>
      <w:r w:rsidR="001F28E0">
        <w:rPr>
          <w:b w:val="0"/>
          <w:i w:val="0"/>
          <w:sz w:val="22"/>
          <w:szCs w:val="22"/>
        </w:rPr>
        <w:t>doesn’t</w:t>
      </w:r>
      <w:r w:rsidRPr="00F82591">
        <w:rPr>
          <w:b w:val="0"/>
          <w:i w:val="0"/>
          <w:sz w:val="22"/>
          <w:szCs w:val="22"/>
        </w:rPr>
        <w:t xml:space="preserve"> merely endanger human life and property, it scares the community on which road freight transport depends and it brings the entire industry into disrepute thus making the possibility of introducing even more innovative and productive </w:t>
      </w:r>
      <w:r w:rsidR="005706EE">
        <w:rPr>
          <w:b w:val="0"/>
          <w:i w:val="0"/>
          <w:sz w:val="22"/>
          <w:szCs w:val="22"/>
        </w:rPr>
        <w:t>vehicles</w:t>
      </w:r>
      <w:r w:rsidRPr="00F82591">
        <w:rPr>
          <w:b w:val="0"/>
          <w:i w:val="0"/>
          <w:sz w:val="22"/>
          <w:szCs w:val="22"/>
        </w:rPr>
        <w:t xml:space="preserve"> to meet the freight task that much more difficult. </w:t>
      </w:r>
    </w:p>
    <w:p w:rsidR="000F5BB6" w:rsidRPr="00F82591" w:rsidRDefault="000F5BB6" w:rsidP="000F5BB6">
      <w:pPr>
        <w:pStyle w:val="RecommendationStyle"/>
        <w:numPr>
          <w:ilvl w:val="0"/>
          <w:numId w:val="0"/>
        </w:numPr>
        <w:spacing w:before="0" w:after="0"/>
        <w:jc w:val="both"/>
        <w:rPr>
          <w:b w:val="0"/>
          <w:i w:val="0"/>
          <w:sz w:val="22"/>
          <w:szCs w:val="22"/>
        </w:rPr>
      </w:pPr>
    </w:p>
    <w:p w:rsidR="000F5BB6" w:rsidRPr="00F82591" w:rsidRDefault="000F5BB6" w:rsidP="000F5BB6">
      <w:pPr>
        <w:jc w:val="both"/>
        <w:rPr>
          <w:rFonts w:ascii="Arial" w:hAnsi="Arial" w:cs="Arial"/>
        </w:rPr>
      </w:pPr>
      <w:r w:rsidRPr="00F82591">
        <w:rPr>
          <w:rFonts w:ascii="Arial" w:hAnsi="Arial" w:cs="Arial"/>
        </w:rPr>
        <w:t xml:space="preserve">A short time later, the Chairman of the ATA issued a press </w:t>
      </w:r>
      <w:r w:rsidR="005706EE">
        <w:rPr>
          <w:rFonts w:ascii="Arial" w:hAnsi="Arial" w:cs="Arial"/>
        </w:rPr>
        <w:t>statement giving</w:t>
      </w:r>
      <w:r w:rsidR="00FF01F1" w:rsidRPr="00F82591">
        <w:rPr>
          <w:rFonts w:ascii="Arial" w:hAnsi="Arial" w:cs="Arial"/>
        </w:rPr>
        <w:t xml:space="preserve"> </w:t>
      </w:r>
      <w:r w:rsidRPr="00F82591">
        <w:rPr>
          <w:rFonts w:ascii="Arial" w:hAnsi="Arial" w:cs="Arial"/>
        </w:rPr>
        <w:t xml:space="preserve">ATA support for </w:t>
      </w:r>
      <w:r w:rsidR="009671C8">
        <w:rPr>
          <w:rFonts w:ascii="Arial" w:hAnsi="Arial" w:cs="Arial"/>
        </w:rPr>
        <w:t xml:space="preserve">the </w:t>
      </w:r>
      <w:r w:rsidRPr="00F82591">
        <w:rPr>
          <w:rFonts w:ascii="Arial" w:hAnsi="Arial" w:cs="Arial"/>
        </w:rPr>
        <w:t xml:space="preserve">review of the </w:t>
      </w:r>
      <w:r w:rsidRPr="00F82591">
        <w:rPr>
          <w:rFonts w:ascii="Arial" w:hAnsi="Arial" w:cs="Arial"/>
          <w:i/>
        </w:rPr>
        <w:t>National Heavy Vehicle Accreditation Scheme</w:t>
      </w:r>
      <w:r w:rsidRPr="00F82591">
        <w:rPr>
          <w:rFonts w:ascii="Arial" w:hAnsi="Arial" w:cs="Arial"/>
        </w:rPr>
        <w:t xml:space="preserve"> (NHVAS)</w:t>
      </w:r>
      <w:r w:rsidR="0096507D">
        <w:rPr>
          <w:rFonts w:ascii="Arial" w:hAnsi="Arial" w:cs="Arial"/>
        </w:rPr>
        <w:t xml:space="preserve"> </w:t>
      </w:r>
      <w:r w:rsidRPr="00F82591">
        <w:rPr>
          <w:rFonts w:ascii="Arial" w:hAnsi="Arial" w:cs="Arial"/>
        </w:rPr>
        <w:t>and recommending</w:t>
      </w:r>
      <w:r w:rsidR="00202D10">
        <w:rPr>
          <w:rFonts w:ascii="Arial" w:hAnsi="Arial" w:cs="Arial"/>
        </w:rPr>
        <w:t xml:space="preserve"> </w:t>
      </w:r>
      <w:r w:rsidR="005706EE">
        <w:rPr>
          <w:rFonts w:ascii="Arial" w:hAnsi="Arial" w:cs="Arial"/>
        </w:rPr>
        <w:t xml:space="preserve">that </w:t>
      </w:r>
      <w:r w:rsidRPr="00F82591">
        <w:rPr>
          <w:rFonts w:ascii="Arial" w:hAnsi="Arial" w:cs="Arial"/>
        </w:rPr>
        <w:t xml:space="preserve">industry be subject to </w:t>
      </w:r>
      <w:r w:rsidR="00FF01F1" w:rsidRPr="00F82591">
        <w:rPr>
          <w:rFonts w:ascii="Arial" w:hAnsi="Arial" w:cs="Arial"/>
        </w:rPr>
        <w:t>a</w:t>
      </w:r>
      <w:r w:rsidRPr="00F82591">
        <w:rPr>
          <w:rFonts w:ascii="Arial" w:hAnsi="Arial" w:cs="Arial"/>
        </w:rPr>
        <w:t xml:space="preserve"> similar </w:t>
      </w:r>
      <w:r w:rsidR="004D6FA3">
        <w:rPr>
          <w:rFonts w:ascii="Arial" w:hAnsi="Arial" w:cs="Arial"/>
        </w:rPr>
        <w:t>incident</w:t>
      </w:r>
      <w:r w:rsidRPr="00F82591">
        <w:rPr>
          <w:rFonts w:ascii="Arial" w:hAnsi="Arial" w:cs="Arial"/>
        </w:rPr>
        <w:t xml:space="preserve"> investigation system </w:t>
      </w:r>
      <w:r w:rsidR="00FF01F1" w:rsidRPr="00F82591">
        <w:rPr>
          <w:rFonts w:ascii="Arial" w:hAnsi="Arial" w:cs="Arial"/>
        </w:rPr>
        <w:t xml:space="preserve">as that used </w:t>
      </w:r>
      <w:r w:rsidR="009671C8">
        <w:rPr>
          <w:rFonts w:ascii="Arial" w:hAnsi="Arial" w:cs="Arial"/>
        </w:rPr>
        <w:t>for</w:t>
      </w:r>
      <w:r w:rsidRPr="00F82591">
        <w:rPr>
          <w:rFonts w:ascii="Arial" w:hAnsi="Arial" w:cs="Arial"/>
        </w:rPr>
        <w:t xml:space="preserve"> </w:t>
      </w:r>
      <w:r w:rsidR="009671C8">
        <w:rPr>
          <w:rFonts w:ascii="Arial" w:hAnsi="Arial" w:cs="Arial"/>
        </w:rPr>
        <w:t>aviation incidents</w:t>
      </w:r>
      <w:r w:rsidRPr="00F82591">
        <w:rPr>
          <w:rFonts w:ascii="Arial" w:hAnsi="Arial" w:cs="Arial"/>
        </w:rPr>
        <w:t>. He noted the Australian Transport Safety Bureau (ATSB) operates a</w:t>
      </w:r>
      <w:r w:rsidR="00FF01F1" w:rsidRPr="00F82591">
        <w:rPr>
          <w:rFonts w:ascii="Arial" w:hAnsi="Arial" w:cs="Arial"/>
        </w:rPr>
        <w:t>n investigati</w:t>
      </w:r>
      <w:r w:rsidR="009671C8">
        <w:rPr>
          <w:rFonts w:ascii="Arial" w:hAnsi="Arial" w:cs="Arial"/>
        </w:rPr>
        <w:t>ve</w:t>
      </w:r>
      <w:r w:rsidRPr="00F82591">
        <w:rPr>
          <w:rFonts w:ascii="Arial" w:hAnsi="Arial" w:cs="Arial"/>
        </w:rPr>
        <w:t xml:space="preserve"> system that gives </w:t>
      </w:r>
      <w:r w:rsidR="009671C8">
        <w:rPr>
          <w:rFonts w:ascii="Arial" w:hAnsi="Arial" w:cs="Arial"/>
        </w:rPr>
        <w:t xml:space="preserve">both </w:t>
      </w:r>
      <w:r w:rsidRPr="00F82591">
        <w:rPr>
          <w:rFonts w:ascii="Arial" w:hAnsi="Arial" w:cs="Arial"/>
        </w:rPr>
        <w:t xml:space="preserve">business and public </w:t>
      </w:r>
      <w:r w:rsidR="009671C8">
        <w:rPr>
          <w:rFonts w:ascii="Arial" w:hAnsi="Arial" w:cs="Arial"/>
        </w:rPr>
        <w:t xml:space="preserve">sector </w:t>
      </w:r>
      <w:r w:rsidRPr="00F82591">
        <w:rPr>
          <w:rFonts w:ascii="Arial" w:hAnsi="Arial" w:cs="Arial"/>
        </w:rPr>
        <w:t xml:space="preserve">agencies </w:t>
      </w:r>
      <w:r w:rsidR="00FB2A62">
        <w:rPr>
          <w:rFonts w:ascii="Arial" w:hAnsi="Arial" w:cs="Arial"/>
        </w:rPr>
        <w:t xml:space="preserve">a </w:t>
      </w:r>
      <w:r w:rsidRPr="00F82591">
        <w:rPr>
          <w:rFonts w:ascii="Arial" w:hAnsi="Arial" w:cs="Arial"/>
        </w:rPr>
        <w:t xml:space="preserve">strong incentive to take its recommendations seriously since it looks beyond immediate causes to organisational and management issues that </w:t>
      </w:r>
      <w:r w:rsidR="00BB7164">
        <w:rPr>
          <w:rFonts w:ascii="Arial" w:hAnsi="Arial" w:cs="Arial"/>
        </w:rPr>
        <w:t xml:space="preserve">could </w:t>
      </w:r>
      <w:r w:rsidRPr="00F82591">
        <w:rPr>
          <w:rFonts w:ascii="Arial" w:hAnsi="Arial" w:cs="Arial"/>
        </w:rPr>
        <w:t xml:space="preserve">allow </w:t>
      </w:r>
      <w:r w:rsidR="004D6FA3">
        <w:rPr>
          <w:rFonts w:ascii="Arial" w:hAnsi="Arial" w:cs="Arial"/>
        </w:rPr>
        <w:t>crashes</w:t>
      </w:r>
      <w:r w:rsidRPr="00F82591">
        <w:rPr>
          <w:rFonts w:ascii="Arial" w:hAnsi="Arial" w:cs="Arial"/>
        </w:rPr>
        <w:t xml:space="preserve"> to </w:t>
      </w:r>
      <w:r w:rsidR="00BB7164">
        <w:rPr>
          <w:rFonts w:ascii="Arial" w:hAnsi="Arial" w:cs="Arial"/>
        </w:rPr>
        <w:t>occur</w:t>
      </w:r>
      <w:r w:rsidRPr="00F82591">
        <w:rPr>
          <w:rFonts w:ascii="Arial" w:hAnsi="Arial" w:cs="Arial"/>
        </w:rPr>
        <w:t xml:space="preserve">. </w:t>
      </w:r>
    </w:p>
    <w:p w:rsidR="000F5BB6" w:rsidRPr="00F82591" w:rsidRDefault="000F5BB6" w:rsidP="000F5BB6">
      <w:pPr>
        <w:jc w:val="both"/>
        <w:rPr>
          <w:rFonts w:ascii="Arial" w:hAnsi="Arial" w:cs="Arial"/>
        </w:rPr>
      </w:pPr>
    </w:p>
    <w:p w:rsidR="000F5BB6" w:rsidRPr="00F82591" w:rsidRDefault="000F5BB6" w:rsidP="000F5BB6">
      <w:pPr>
        <w:jc w:val="both"/>
        <w:rPr>
          <w:rFonts w:ascii="Arial" w:hAnsi="Arial" w:cs="Arial"/>
        </w:rPr>
      </w:pPr>
      <w:r w:rsidRPr="00F82591">
        <w:rPr>
          <w:rFonts w:ascii="Arial" w:hAnsi="Arial" w:cs="Arial"/>
        </w:rPr>
        <w:t xml:space="preserve">The ATA recommends </w:t>
      </w:r>
      <w:r w:rsidR="002975A9">
        <w:rPr>
          <w:rFonts w:ascii="Arial" w:hAnsi="Arial" w:cs="Arial"/>
        </w:rPr>
        <w:t>a</w:t>
      </w:r>
      <w:r w:rsidRPr="00F82591">
        <w:rPr>
          <w:rFonts w:ascii="Arial" w:hAnsi="Arial" w:cs="Arial"/>
        </w:rPr>
        <w:t xml:space="preserve"> long-term goal should </w:t>
      </w:r>
      <w:r w:rsidR="002975A9">
        <w:rPr>
          <w:rFonts w:ascii="Arial" w:hAnsi="Arial" w:cs="Arial"/>
        </w:rPr>
        <w:t xml:space="preserve">be to </w:t>
      </w:r>
      <w:r w:rsidRPr="00F82591">
        <w:rPr>
          <w:rFonts w:ascii="Arial" w:hAnsi="Arial" w:cs="Arial"/>
        </w:rPr>
        <w:t xml:space="preserve">involve governments, industry, the </w:t>
      </w:r>
      <w:r w:rsidR="00202D10">
        <w:rPr>
          <w:rFonts w:ascii="Arial" w:hAnsi="Arial" w:cs="Arial"/>
        </w:rPr>
        <w:t>NHVR</w:t>
      </w:r>
      <w:r w:rsidRPr="00F82591">
        <w:rPr>
          <w:rFonts w:ascii="Arial" w:hAnsi="Arial" w:cs="Arial"/>
        </w:rPr>
        <w:t xml:space="preserve"> and ATSB </w:t>
      </w:r>
      <w:r w:rsidR="002975A9">
        <w:rPr>
          <w:rFonts w:ascii="Arial" w:hAnsi="Arial" w:cs="Arial"/>
        </w:rPr>
        <w:t xml:space="preserve">in </w:t>
      </w:r>
      <w:r w:rsidRPr="00F82591">
        <w:rPr>
          <w:rFonts w:ascii="Arial" w:hAnsi="Arial" w:cs="Arial"/>
        </w:rPr>
        <w:t>jointly establishing a national ‘no blame’ investigation capacity for fatal truck crashes</w:t>
      </w:r>
      <w:r w:rsidR="00BB7164">
        <w:rPr>
          <w:rFonts w:ascii="Arial" w:hAnsi="Arial" w:cs="Arial"/>
        </w:rPr>
        <w:t>,</w:t>
      </w:r>
      <w:r w:rsidRPr="00F82591">
        <w:rPr>
          <w:rFonts w:ascii="Arial" w:hAnsi="Arial" w:cs="Arial"/>
        </w:rPr>
        <w:t xml:space="preserve"> similar to </w:t>
      </w:r>
      <w:r w:rsidR="00BB7164">
        <w:rPr>
          <w:rFonts w:ascii="Arial" w:hAnsi="Arial" w:cs="Arial"/>
        </w:rPr>
        <w:t>the</w:t>
      </w:r>
      <w:r w:rsidRPr="00F82591">
        <w:rPr>
          <w:rFonts w:ascii="Arial" w:hAnsi="Arial" w:cs="Arial"/>
        </w:rPr>
        <w:t xml:space="preserve"> </w:t>
      </w:r>
      <w:r w:rsidR="00F36F01" w:rsidRPr="00F82591">
        <w:rPr>
          <w:rFonts w:ascii="Arial" w:hAnsi="Arial" w:cs="Arial"/>
        </w:rPr>
        <w:t>ATSB</w:t>
      </w:r>
      <w:r w:rsidR="00BB7164">
        <w:rPr>
          <w:rFonts w:ascii="Arial" w:hAnsi="Arial" w:cs="Arial"/>
        </w:rPr>
        <w:t>’s approach to</w:t>
      </w:r>
      <w:r w:rsidRPr="00F82591">
        <w:rPr>
          <w:rFonts w:ascii="Arial" w:hAnsi="Arial" w:cs="Arial"/>
        </w:rPr>
        <w:t xml:space="preserve"> aviation, marine and rail incidents.</w:t>
      </w:r>
      <w:r w:rsidR="00FF01F1" w:rsidRPr="00F82591">
        <w:rPr>
          <w:rFonts w:ascii="Arial" w:hAnsi="Arial" w:cs="Arial"/>
        </w:rPr>
        <w:t xml:space="preserve"> If adopted, all stakeholders </w:t>
      </w:r>
      <w:r w:rsidR="00845838" w:rsidRPr="00F82591">
        <w:rPr>
          <w:rFonts w:ascii="Arial" w:hAnsi="Arial" w:cs="Arial"/>
        </w:rPr>
        <w:t>will</w:t>
      </w:r>
      <w:r w:rsidR="00FF01F1" w:rsidRPr="00F82591">
        <w:rPr>
          <w:rFonts w:ascii="Arial" w:hAnsi="Arial" w:cs="Arial"/>
        </w:rPr>
        <w:t xml:space="preserve"> learn </w:t>
      </w:r>
      <w:r w:rsidR="00845838" w:rsidRPr="00F82591">
        <w:rPr>
          <w:rFonts w:ascii="Arial" w:hAnsi="Arial" w:cs="Arial"/>
        </w:rPr>
        <w:t xml:space="preserve">vastly </w:t>
      </w:r>
      <w:r w:rsidR="00FF01F1" w:rsidRPr="00F82591">
        <w:rPr>
          <w:rFonts w:ascii="Arial" w:hAnsi="Arial" w:cs="Arial"/>
        </w:rPr>
        <w:t xml:space="preserve">more from every fatal truck crash than presently and it would </w:t>
      </w:r>
      <w:r w:rsidR="00052B7D">
        <w:rPr>
          <w:rFonts w:ascii="Arial" w:hAnsi="Arial" w:cs="Arial"/>
        </w:rPr>
        <w:t xml:space="preserve">also </w:t>
      </w:r>
      <w:r w:rsidR="00FF01F1" w:rsidRPr="00F82591">
        <w:rPr>
          <w:rFonts w:ascii="Arial" w:hAnsi="Arial" w:cs="Arial"/>
        </w:rPr>
        <w:t xml:space="preserve">prompt action to avoid such </w:t>
      </w:r>
      <w:r w:rsidR="004D6FA3">
        <w:rPr>
          <w:rFonts w:ascii="Arial" w:hAnsi="Arial" w:cs="Arial"/>
        </w:rPr>
        <w:t>incidents</w:t>
      </w:r>
      <w:r w:rsidR="00FF01F1" w:rsidRPr="00F82591">
        <w:rPr>
          <w:rFonts w:ascii="Arial" w:hAnsi="Arial" w:cs="Arial"/>
        </w:rPr>
        <w:t xml:space="preserve"> in future.</w:t>
      </w:r>
    </w:p>
    <w:p w:rsidR="000F5BB6" w:rsidRPr="00F82591" w:rsidRDefault="000F5BB6" w:rsidP="000F5BB6">
      <w:pPr>
        <w:jc w:val="both"/>
        <w:rPr>
          <w:rFonts w:ascii="Arial" w:hAnsi="Arial" w:cs="Arial"/>
        </w:rPr>
      </w:pPr>
    </w:p>
    <w:p w:rsidR="006D4284" w:rsidRDefault="000F5BB6" w:rsidP="000F5BB6">
      <w:pPr>
        <w:jc w:val="both"/>
        <w:rPr>
          <w:rFonts w:ascii="Arial" w:hAnsi="Arial" w:cs="Arial"/>
        </w:rPr>
      </w:pPr>
      <w:r w:rsidRPr="00F82591">
        <w:rPr>
          <w:rFonts w:ascii="Arial" w:hAnsi="Arial" w:cs="Arial"/>
        </w:rPr>
        <w:t xml:space="preserve">As a first step, governments </w:t>
      </w:r>
      <w:r w:rsidR="00730A6A" w:rsidRPr="00F82591">
        <w:rPr>
          <w:rFonts w:ascii="Arial" w:hAnsi="Arial" w:cs="Arial"/>
        </w:rPr>
        <w:t>sh</w:t>
      </w:r>
      <w:r w:rsidRPr="00F82591">
        <w:rPr>
          <w:rFonts w:ascii="Arial" w:hAnsi="Arial" w:cs="Arial"/>
        </w:rPr>
        <w:t>ould establish a nation-wide database of coronial recommendations</w:t>
      </w:r>
      <w:r w:rsidR="00730A6A" w:rsidRPr="00F82591">
        <w:rPr>
          <w:rFonts w:ascii="Arial" w:hAnsi="Arial" w:cs="Arial"/>
        </w:rPr>
        <w:t xml:space="preserve"> on road safety</w:t>
      </w:r>
      <w:r w:rsidRPr="00F82591">
        <w:rPr>
          <w:rFonts w:ascii="Arial" w:hAnsi="Arial" w:cs="Arial"/>
        </w:rPr>
        <w:t xml:space="preserve">, together with </w:t>
      </w:r>
      <w:r w:rsidR="006178A6" w:rsidRPr="00F82591">
        <w:rPr>
          <w:rFonts w:ascii="Arial" w:hAnsi="Arial" w:cs="Arial"/>
        </w:rPr>
        <w:t xml:space="preserve">updates and </w:t>
      </w:r>
      <w:r w:rsidRPr="00F82591">
        <w:rPr>
          <w:rFonts w:ascii="Arial" w:hAnsi="Arial" w:cs="Arial"/>
        </w:rPr>
        <w:t>responses to those recommendations</w:t>
      </w:r>
      <w:r w:rsidR="00052B7D">
        <w:rPr>
          <w:rFonts w:ascii="Arial" w:hAnsi="Arial" w:cs="Arial"/>
        </w:rPr>
        <w:t>,</w:t>
      </w:r>
      <w:r w:rsidRPr="00F82591">
        <w:rPr>
          <w:rFonts w:ascii="Arial" w:hAnsi="Arial" w:cs="Arial"/>
        </w:rPr>
        <w:t xml:space="preserve"> </w:t>
      </w:r>
      <w:r w:rsidR="00097F88">
        <w:rPr>
          <w:rFonts w:ascii="Arial" w:hAnsi="Arial" w:cs="Arial"/>
        </w:rPr>
        <w:t xml:space="preserve">and </w:t>
      </w:r>
      <w:r w:rsidRPr="00F82591">
        <w:rPr>
          <w:rFonts w:ascii="Arial" w:hAnsi="Arial" w:cs="Arial"/>
        </w:rPr>
        <w:t xml:space="preserve">updates for any recommendations that have not been followed up. The database should be </w:t>
      </w:r>
      <w:r w:rsidR="00E74926">
        <w:rPr>
          <w:rFonts w:ascii="Arial" w:hAnsi="Arial" w:cs="Arial"/>
        </w:rPr>
        <w:t xml:space="preserve">public and </w:t>
      </w:r>
      <w:r w:rsidRPr="00F82591">
        <w:rPr>
          <w:rFonts w:ascii="Arial" w:hAnsi="Arial" w:cs="Arial"/>
        </w:rPr>
        <w:t xml:space="preserve">accessible to </w:t>
      </w:r>
      <w:r w:rsidR="00E74926">
        <w:rPr>
          <w:rFonts w:ascii="Arial" w:hAnsi="Arial" w:cs="Arial"/>
        </w:rPr>
        <w:t>everyone</w:t>
      </w:r>
      <w:r w:rsidRPr="00F82591">
        <w:rPr>
          <w:rFonts w:ascii="Arial" w:hAnsi="Arial" w:cs="Arial"/>
        </w:rPr>
        <w:t xml:space="preserve">: safety investigators, industry, the public and the media. Such a system </w:t>
      </w:r>
      <w:r w:rsidR="00E74926">
        <w:rPr>
          <w:rFonts w:ascii="Arial" w:hAnsi="Arial" w:cs="Arial"/>
        </w:rPr>
        <w:t>would</w:t>
      </w:r>
      <w:r w:rsidRPr="00F82591">
        <w:rPr>
          <w:rFonts w:ascii="Arial" w:hAnsi="Arial" w:cs="Arial"/>
        </w:rPr>
        <w:t xml:space="preserve"> help ensure coronial recommendations are considered openly, swiftly and seriously.</w:t>
      </w:r>
    </w:p>
    <w:p w:rsidR="00433150" w:rsidRPr="00F82591" w:rsidRDefault="00433150" w:rsidP="000F5BB6">
      <w:pPr>
        <w:jc w:val="both"/>
        <w:rPr>
          <w:rFonts w:ascii="Arial" w:hAnsi="Arial" w:cs="Arial"/>
        </w:rPr>
      </w:pPr>
    </w:p>
    <w:p w:rsidR="009378E3" w:rsidRPr="0002441F" w:rsidRDefault="009378E3" w:rsidP="00CE28AE">
      <w:pPr>
        <w:pStyle w:val="TOC1"/>
        <w:tabs>
          <w:tab w:val="clear" w:pos="9628"/>
          <w:tab w:val="left" w:pos="6285"/>
        </w:tabs>
        <w:rPr>
          <w:rFonts w:cs="Arial"/>
          <w:sz w:val="22"/>
          <w:szCs w:val="22"/>
        </w:rPr>
      </w:pPr>
      <w:r w:rsidRPr="0002441F">
        <w:rPr>
          <w:rFonts w:cs="Arial"/>
          <w:sz w:val="22"/>
          <w:szCs w:val="22"/>
        </w:rPr>
        <w:t xml:space="preserve">Recommendation </w:t>
      </w:r>
      <w:r>
        <w:rPr>
          <w:rFonts w:cs="Arial"/>
          <w:sz w:val="22"/>
          <w:szCs w:val="22"/>
        </w:rPr>
        <w:t>3</w:t>
      </w:r>
      <w:r w:rsidR="00CE28AE">
        <w:rPr>
          <w:rFonts w:cs="Arial"/>
          <w:sz w:val="22"/>
          <w:szCs w:val="22"/>
        </w:rPr>
        <w:tab/>
      </w:r>
    </w:p>
    <w:p w:rsidR="009378E3" w:rsidRDefault="009378E3" w:rsidP="009378E3">
      <w:pPr>
        <w:pStyle w:val="TOC1"/>
        <w:rPr>
          <w:rFonts w:cs="Arial"/>
          <w:sz w:val="22"/>
          <w:szCs w:val="22"/>
        </w:rPr>
      </w:pPr>
      <w:r w:rsidRPr="0002441F">
        <w:rPr>
          <w:rFonts w:cs="Arial"/>
          <w:sz w:val="22"/>
          <w:szCs w:val="22"/>
        </w:rPr>
        <w:t>The ATA recommends, in consultation with industry, the establishment of a national ‘no blame’ investigation capacity for fatal truck crashes, similar to the current approach taken for aviation, marine and rail incidents.</w:t>
      </w:r>
    </w:p>
    <w:p w:rsidR="00EA0DFD" w:rsidRDefault="00EA0DFD" w:rsidP="00EA0DFD"/>
    <w:p w:rsidR="00EA0DFD" w:rsidRDefault="00EA0DFD" w:rsidP="00EA0DFD"/>
    <w:p w:rsidR="00EA0DFD" w:rsidRDefault="00EA0DFD" w:rsidP="00EA0DFD"/>
    <w:p w:rsidR="00EA0DFD" w:rsidRPr="00EA0DFD" w:rsidRDefault="00EA0DFD" w:rsidP="00EA0DFD"/>
    <w:p w:rsidR="009378E3" w:rsidRPr="0002441F" w:rsidRDefault="009378E3" w:rsidP="009378E3">
      <w:pPr>
        <w:pStyle w:val="TOC1"/>
        <w:rPr>
          <w:rFonts w:cs="Arial"/>
          <w:sz w:val="22"/>
          <w:szCs w:val="22"/>
        </w:rPr>
      </w:pPr>
      <w:r w:rsidRPr="0002441F">
        <w:rPr>
          <w:rFonts w:cs="Arial"/>
          <w:sz w:val="22"/>
          <w:szCs w:val="22"/>
        </w:rPr>
        <w:t xml:space="preserve">Recommendation </w:t>
      </w:r>
      <w:r>
        <w:rPr>
          <w:rFonts w:cs="Arial"/>
          <w:sz w:val="22"/>
          <w:szCs w:val="22"/>
        </w:rPr>
        <w:t>4</w:t>
      </w:r>
    </w:p>
    <w:p w:rsidR="009378E3" w:rsidRDefault="009378E3" w:rsidP="009378E3">
      <w:pPr>
        <w:jc w:val="both"/>
        <w:rPr>
          <w:rFonts w:ascii="Arial" w:hAnsi="Arial" w:cs="Arial"/>
          <w:b/>
        </w:rPr>
      </w:pPr>
    </w:p>
    <w:p w:rsidR="009378E3" w:rsidRDefault="009378E3" w:rsidP="009378E3">
      <w:pPr>
        <w:jc w:val="both"/>
        <w:rPr>
          <w:rFonts w:ascii="Arial" w:hAnsi="Arial" w:cs="Arial"/>
          <w:b/>
        </w:rPr>
      </w:pPr>
      <w:r w:rsidRPr="0002441F">
        <w:rPr>
          <w:rFonts w:ascii="Arial" w:hAnsi="Arial" w:cs="Arial"/>
          <w:b/>
        </w:rPr>
        <w:t xml:space="preserve">The ATA recommends that governments </w:t>
      </w:r>
      <w:r>
        <w:rPr>
          <w:rFonts w:ascii="Arial" w:hAnsi="Arial" w:cs="Arial"/>
          <w:b/>
        </w:rPr>
        <w:t>develop</w:t>
      </w:r>
      <w:r w:rsidRPr="0002441F">
        <w:rPr>
          <w:rFonts w:ascii="Arial" w:hAnsi="Arial" w:cs="Arial"/>
          <w:b/>
        </w:rPr>
        <w:t xml:space="preserve"> a nation-wide, publicly accessible database of coronial road safety recommendations, including updates </w:t>
      </w:r>
      <w:r>
        <w:rPr>
          <w:rFonts w:ascii="Arial" w:hAnsi="Arial" w:cs="Arial"/>
          <w:b/>
        </w:rPr>
        <w:t>and</w:t>
      </w:r>
      <w:r w:rsidRPr="0002441F">
        <w:rPr>
          <w:rFonts w:ascii="Arial" w:hAnsi="Arial" w:cs="Arial"/>
          <w:b/>
        </w:rPr>
        <w:t xml:space="preserve"> responses to recommendations </w:t>
      </w:r>
      <w:r>
        <w:rPr>
          <w:rFonts w:ascii="Arial" w:hAnsi="Arial" w:cs="Arial"/>
          <w:b/>
        </w:rPr>
        <w:t>and</w:t>
      </w:r>
      <w:r w:rsidRPr="0002441F">
        <w:rPr>
          <w:rFonts w:ascii="Arial" w:hAnsi="Arial" w:cs="Arial"/>
          <w:b/>
        </w:rPr>
        <w:t xml:space="preserve"> updates on recommendations that have not been followed up. </w:t>
      </w:r>
    </w:p>
    <w:p w:rsidR="00433150" w:rsidRDefault="00433150" w:rsidP="009378E3">
      <w:pPr>
        <w:jc w:val="both"/>
        <w:rPr>
          <w:rFonts w:ascii="Arial" w:hAnsi="Arial" w:cs="Arial"/>
          <w:b/>
        </w:rPr>
      </w:pPr>
    </w:p>
    <w:p w:rsidR="00EA0DFD" w:rsidRPr="0002441F" w:rsidRDefault="00EA0DFD" w:rsidP="009378E3">
      <w:pPr>
        <w:jc w:val="both"/>
        <w:rPr>
          <w:rFonts w:ascii="Arial" w:hAnsi="Arial" w:cs="Arial"/>
          <w:b/>
        </w:rPr>
      </w:pPr>
    </w:p>
    <w:p w:rsidR="000A102A" w:rsidRPr="0015356B" w:rsidRDefault="0054291B" w:rsidP="001D06D8">
      <w:pPr>
        <w:pStyle w:val="Heading1"/>
        <w:numPr>
          <w:ilvl w:val="1"/>
          <w:numId w:val="3"/>
        </w:numPr>
        <w:jc w:val="both"/>
      </w:pPr>
      <w:r w:rsidRPr="0015356B">
        <w:t>Infrastructure</w:t>
      </w:r>
      <w:r w:rsidR="00645592">
        <w:t xml:space="preserve"> </w:t>
      </w:r>
      <w:r w:rsidR="001973D4">
        <w:t xml:space="preserve">and </w:t>
      </w:r>
      <w:r w:rsidR="00233E95">
        <w:t xml:space="preserve">regulatory </w:t>
      </w:r>
      <w:r w:rsidR="001973D4">
        <w:t>compliance</w:t>
      </w:r>
    </w:p>
    <w:p w:rsidR="006D4284" w:rsidRDefault="006D4284" w:rsidP="001D06D8">
      <w:pPr>
        <w:autoSpaceDE w:val="0"/>
        <w:autoSpaceDN w:val="0"/>
        <w:adjustRightInd w:val="0"/>
        <w:jc w:val="both"/>
        <w:rPr>
          <w:rFonts w:ascii="Arial" w:hAnsi="Arial" w:cs="Arial"/>
          <w:b/>
        </w:rPr>
      </w:pPr>
    </w:p>
    <w:p w:rsidR="009E0F78" w:rsidRPr="00567D64" w:rsidRDefault="0054291B" w:rsidP="001D06D8">
      <w:pPr>
        <w:autoSpaceDE w:val="0"/>
        <w:autoSpaceDN w:val="0"/>
        <w:adjustRightInd w:val="0"/>
        <w:jc w:val="both"/>
        <w:rPr>
          <w:rFonts w:ascii="Arial" w:hAnsi="Arial" w:cs="Arial"/>
          <w:b/>
        </w:rPr>
      </w:pPr>
      <w:r w:rsidRPr="00567D64">
        <w:rPr>
          <w:rFonts w:ascii="Arial" w:hAnsi="Arial" w:cs="Arial"/>
          <w:b/>
        </w:rPr>
        <w:t>B</w:t>
      </w:r>
      <w:r w:rsidR="009C69D2" w:rsidRPr="00567D64">
        <w:rPr>
          <w:rFonts w:ascii="Arial" w:hAnsi="Arial" w:cs="Arial"/>
          <w:b/>
        </w:rPr>
        <w:t>ridge issues</w:t>
      </w:r>
    </w:p>
    <w:p w:rsidR="00233E95" w:rsidRPr="00567D64" w:rsidRDefault="007C6885" w:rsidP="001D06D8">
      <w:pPr>
        <w:autoSpaceDE w:val="0"/>
        <w:autoSpaceDN w:val="0"/>
        <w:adjustRightInd w:val="0"/>
        <w:jc w:val="both"/>
        <w:rPr>
          <w:rFonts w:ascii="Arial" w:hAnsi="Arial" w:cs="Arial"/>
        </w:rPr>
      </w:pPr>
      <w:r>
        <w:rPr>
          <w:rFonts w:ascii="Arial" w:hAnsi="Arial" w:cs="Arial"/>
        </w:rPr>
        <w:t xml:space="preserve">The </w:t>
      </w:r>
      <w:r w:rsidR="00500BCA" w:rsidRPr="00567D64">
        <w:rPr>
          <w:rFonts w:ascii="Arial" w:hAnsi="Arial" w:cs="Arial"/>
        </w:rPr>
        <w:t xml:space="preserve">ATA concurs with the </w:t>
      </w:r>
      <w:r w:rsidR="00502FF7">
        <w:rPr>
          <w:rFonts w:ascii="Arial" w:hAnsi="Arial" w:cs="Arial"/>
        </w:rPr>
        <w:t>NTC</w:t>
      </w:r>
      <w:r w:rsidR="00690DC1">
        <w:rPr>
          <w:rFonts w:ascii="Arial" w:hAnsi="Arial" w:cs="Arial"/>
        </w:rPr>
        <w:t xml:space="preserve">’s </w:t>
      </w:r>
      <w:r w:rsidR="00A241CF">
        <w:rPr>
          <w:rFonts w:ascii="Arial" w:hAnsi="Arial" w:cs="Arial"/>
        </w:rPr>
        <w:t>comment</w:t>
      </w:r>
      <w:r w:rsidR="00502FF7">
        <w:rPr>
          <w:rFonts w:ascii="Arial" w:hAnsi="Arial" w:cs="Arial"/>
        </w:rPr>
        <w:t xml:space="preserve"> </w:t>
      </w:r>
      <w:r w:rsidR="00A241CF">
        <w:rPr>
          <w:rFonts w:ascii="Arial" w:hAnsi="Arial" w:cs="Arial"/>
        </w:rPr>
        <w:t>that</w:t>
      </w:r>
      <w:r w:rsidR="00393903">
        <w:rPr>
          <w:rFonts w:ascii="Arial" w:hAnsi="Arial" w:cs="Arial"/>
        </w:rPr>
        <w:t xml:space="preserve"> </w:t>
      </w:r>
      <w:r w:rsidR="00500BCA" w:rsidRPr="00567D64">
        <w:rPr>
          <w:rFonts w:ascii="Arial" w:hAnsi="Arial" w:cs="Arial"/>
        </w:rPr>
        <w:t>“</w:t>
      </w:r>
      <w:r w:rsidR="00500BCA" w:rsidRPr="00567D64">
        <w:rPr>
          <w:rFonts w:ascii="Arial" w:hAnsi="Arial" w:cs="Arial"/>
          <w:i/>
        </w:rPr>
        <w:t>gross-overloading is trending downwards</w:t>
      </w:r>
      <w:r w:rsidR="00500BCA" w:rsidRPr="00567D64">
        <w:rPr>
          <w:rFonts w:ascii="Arial" w:hAnsi="Arial" w:cs="Arial"/>
        </w:rPr>
        <w:t>”</w:t>
      </w:r>
      <w:r w:rsidR="00F617C8">
        <w:rPr>
          <w:rFonts w:ascii="Arial" w:hAnsi="Arial" w:cs="Arial"/>
        </w:rPr>
        <w:t xml:space="preserve"> (p</w:t>
      </w:r>
      <w:r w:rsidR="009C3F40">
        <w:rPr>
          <w:rFonts w:ascii="Arial" w:hAnsi="Arial" w:cs="Arial"/>
        </w:rPr>
        <w:t>age 16</w:t>
      </w:r>
      <w:r w:rsidR="00F617C8">
        <w:rPr>
          <w:rFonts w:ascii="Arial" w:hAnsi="Arial" w:cs="Arial"/>
        </w:rPr>
        <w:t>)</w:t>
      </w:r>
      <w:r w:rsidR="00500BCA" w:rsidRPr="00567D64">
        <w:rPr>
          <w:rFonts w:ascii="Arial" w:hAnsi="Arial" w:cs="Arial"/>
        </w:rPr>
        <w:t>.</w:t>
      </w:r>
      <w:r w:rsidR="00233E95" w:rsidRPr="00567D64">
        <w:rPr>
          <w:rFonts w:ascii="Arial" w:hAnsi="Arial" w:cs="Arial"/>
        </w:rPr>
        <w:t xml:space="preserve"> </w:t>
      </w:r>
      <w:r w:rsidR="002F19AE">
        <w:rPr>
          <w:rFonts w:ascii="Arial" w:hAnsi="Arial" w:cs="Arial"/>
        </w:rPr>
        <w:t>As a consequence</w:t>
      </w:r>
      <w:r w:rsidR="00233E95" w:rsidRPr="00567D64">
        <w:rPr>
          <w:rFonts w:ascii="Arial" w:hAnsi="Arial" w:cs="Arial"/>
        </w:rPr>
        <w:t xml:space="preserve">, </w:t>
      </w:r>
      <w:r w:rsidR="00454DE2">
        <w:rPr>
          <w:rFonts w:ascii="Arial" w:hAnsi="Arial" w:cs="Arial"/>
        </w:rPr>
        <w:t>it is</w:t>
      </w:r>
      <w:r w:rsidR="00450E0A" w:rsidRPr="00567D64">
        <w:rPr>
          <w:rFonts w:ascii="Arial" w:hAnsi="Arial" w:cs="Arial"/>
        </w:rPr>
        <w:t xml:space="preserve"> </w:t>
      </w:r>
      <w:r w:rsidR="00983694" w:rsidRPr="00567D64">
        <w:rPr>
          <w:rFonts w:ascii="Arial" w:hAnsi="Arial" w:cs="Arial"/>
        </w:rPr>
        <w:t>recommend</w:t>
      </w:r>
      <w:r w:rsidR="00454DE2">
        <w:rPr>
          <w:rFonts w:ascii="Arial" w:hAnsi="Arial" w:cs="Arial"/>
        </w:rPr>
        <w:t xml:space="preserve">ed </w:t>
      </w:r>
      <w:r w:rsidR="002F19AE">
        <w:rPr>
          <w:rFonts w:ascii="Arial" w:hAnsi="Arial" w:cs="Arial"/>
        </w:rPr>
        <w:t xml:space="preserve">that </w:t>
      </w:r>
      <w:r w:rsidR="00361625" w:rsidRPr="00567D64">
        <w:rPr>
          <w:rFonts w:ascii="Arial" w:hAnsi="Arial" w:cs="Arial"/>
        </w:rPr>
        <w:t xml:space="preserve">the standard </w:t>
      </w:r>
      <w:r w:rsidR="008B5529" w:rsidRPr="00567D64">
        <w:rPr>
          <w:rFonts w:ascii="Arial" w:hAnsi="Arial" w:cs="Arial"/>
        </w:rPr>
        <w:t xml:space="preserve">bridge </w:t>
      </w:r>
      <w:r w:rsidR="00361625" w:rsidRPr="00567D64">
        <w:rPr>
          <w:rFonts w:ascii="Arial" w:hAnsi="Arial" w:cs="Arial"/>
        </w:rPr>
        <w:t xml:space="preserve">formula </w:t>
      </w:r>
      <w:r w:rsidR="008B5529" w:rsidRPr="00567D64">
        <w:rPr>
          <w:rFonts w:ascii="Arial" w:hAnsi="Arial" w:cs="Arial"/>
        </w:rPr>
        <w:t>(</w:t>
      </w:r>
      <w:r w:rsidR="00361625" w:rsidRPr="00567D64">
        <w:rPr>
          <w:rFonts w:ascii="Arial" w:hAnsi="Arial" w:cs="Arial"/>
        </w:rPr>
        <w:t>whereby</w:t>
      </w:r>
      <w:r w:rsidR="002F19AE">
        <w:rPr>
          <w:rFonts w:ascii="Arial" w:hAnsi="Arial" w:cs="Arial"/>
        </w:rPr>
        <w:t xml:space="preserve"> </w:t>
      </w:r>
      <w:r w:rsidR="005F61C6" w:rsidRPr="00567D64">
        <w:rPr>
          <w:rFonts w:ascii="Arial" w:hAnsi="Arial" w:cs="Arial"/>
        </w:rPr>
        <w:t>assessed loading</w:t>
      </w:r>
      <w:r w:rsidR="00EF5E98" w:rsidRPr="00567D64">
        <w:rPr>
          <w:rFonts w:ascii="Arial" w:hAnsi="Arial" w:cs="Arial"/>
        </w:rPr>
        <w:t xml:space="preserve"> </w:t>
      </w:r>
      <w:r w:rsidR="00361625" w:rsidRPr="00567D64">
        <w:rPr>
          <w:rFonts w:ascii="Arial" w:hAnsi="Arial" w:cs="Arial"/>
        </w:rPr>
        <w:t xml:space="preserve">is calculated </w:t>
      </w:r>
      <w:r w:rsidR="008B5529" w:rsidRPr="00567D64">
        <w:rPr>
          <w:rFonts w:ascii="Arial" w:hAnsi="Arial" w:cs="Arial"/>
        </w:rPr>
        <w:t>by multiplying</w:t>
      </w:r>
      <w:r w:rsidR="00EF5E98" w:rsidRPr="00567D64">
        <w:rPr>
          <w:rFonts w:ascii="Arial" w:hAnsi="Arial" w:cs="Arial"/>
        </w:rPr>
        <w:t xml:space="preserve"> </w:t>
      </w:r>
      <w:r w:rsidR="00DA6009" w:rsidRPr="00567D64">
        <w:rPr>
          <w:rFonts w:ascii="Arial" w:hAnsi="Arial" w:cs="Arial"/>
        </w:rPr>
        <w:t xml:space="preserve">maximum </w:t>
      </w:r>
      <w:r w:rsidR="00502FF7">
        <w:rPr>
          <w:rFonts w:ascii="Arial" w:hAnsi="Arial" w:cs="Arial"/>
        </w:rPr>
        <w:t>g</w:t>
      </w:r>
      <w:r w:rsidR="000F5333">
        <w:rPr>
          <w:rFonts w:ascii="Arial" w:hAnsi="Arial" w:cs="Arial"/>
        </w:rPr>
        <w:t xml:space="preserve">ross </w:t>
      </w:r>
      <w:r w:rsidR="00502FF7">
        <w:rPr>
          <w:rFonts w:ascii="Arial" w:hAnsi="Arial" w:cs="Arial"/>
        </w:rPr>
        <w:t>v</w:t>
      </w:r>
      <w:r w:rsidR="000F5333">
        <w:rPr>
          <w:rFonts w:ascii="Arial" w:hAnsi="Arial" w:cs="Arial"/>
        </w:rPr>
        <w:t xml:space="preserve">ehicle </w:t>
      </w:r>
      <w:r w:rsidR="00502FF7">
        <w:rPr>
          <w:rFonts w:ascii="Arial" w:hAnsi="Arial" w:cs="Arial"/>
        </w:rPr>
        <w:t>m</w:t>
      </w:r>
      <w:r w:rsidR="000F5333">
        <w:rPr>
          <w:rFonts w:ascii="Arial" w:hAnsi="Arial" w:cs="Arial"/>
        </w:rPr>
        <w:t>ass</w:t>
      </w:r>
      <w:r w:rsidR="00450E0A" w:rsidRPr="00567D64">
        <w:rPr>
          <w:rFonts w:ascii="Arial" w:hAnsi="Arial" w:cs="Arial"/>
        </w:rPr>
        <w:t xml:space="preserve"> by</w:t>
      </w:r>
      <w:r w:rsidR="00361625" w:rsidRPr="00567D64">
        <w:rPr>
          <w:rFonts w:ascii="Arial" w:hAnsi="Arial" w:cs="Arial"/>
        </w:rPr>
        <w:t xml:space="preserve"> a factor of </w:t>
      </w:r>
      <w:r w:rsidR="005F61C6" w:rsidRPr="00567D64">
        <w:rPr>
          <w:rFonts w:ascii="Arial" w:hAnsi="Arial" w:cs="Arial"/>
        </w:rPr>
        <w:t>two</w:t>
      </w:r>
      <w:r w:rsidR="008B5529" w:rsidRPr="00567D64">
        <w:rPr>
          <w:rFonts w:ascii="Arial" w:hAnsi="Arial" w:cs="Arial"/>
        </w:rPr>
        <w:t>)</w:t>
      </w:r>
      <w:r w:rsidR="00EF5E98" w:rsidRPr="00567D64">
        <w:rPr>
          <w:rFonts w:ascii="Arial" w:hAnsi="Arial" w:cs="Arial"/>
        </w:rPr>
        <w:t xml:space="preserve"> be reviewed to reflect better compliance</w:t>
      </w:r>
      <w:r w:rsidR="00983694" w:rsidRPr="00567D64">
        <w:rPr>
          <w:rFonts w:ascii="Arial" w:hAnsi="Arial" w:cs="Arial"/>
        </w:rPr>
        <w:t>.</w:t>
      </w:r>
      <w:r w:rsidR="00EF5E98" w:rsidRPr="00567D64">
        <w:rPr>
          <w:rFonts w:ascii="Arial" w:hAnsi="Arial" w:cs="Arial"/>
        </w:rPr>
        <w:t xml:space="preserve"> </w:t>
      </w:r>
    </w:p>
    <w:p w:rsidR="00233E95" w:rsidRPr="00567D64" w:rsidRDefault="00233E95" w:rsidP="001D06D8">
      <w:pPr>
        <w:autoSpaceDE w:val="0"/>
        <w:autoSpaceDN w:val="0"/>
        <w:adjustRightInd w:val="0"/>
        <w:jc w:val="both"/>
        <w:rPr>
          <w:rFonts w:ascii="Arial" w:hAnsi="Arial" w:cs="Arial"/>
        </w:rPr>
      </w:pPr>
    </w:p>
    <w:p w:rsidR="00A84B33" w:rsidRPr="00567D64" w:rsidRDefault="00EF5E98" w:rsidP="001D06D8">
      <w:pPr>
        <w:autoSpaceDE w:val="0"/>
        <w:autoSpaceDN w:val="0"/>
        <w:adjustRightInd w:val="0"/>
        <w:jc w:val="both"/>
        <w:rPr>
          <w:rFonts w:ascii="Arial" w:hAnsi="Arial" w:cs="Arial"/>
        </w:rPr>
      </w:pPr>
      <w:r w:rsidRPr="00567D64">
        <w:rPr>
          <w:rFonts w:ascii="Arial" w:hAnsi="Arial" w:cs="Arial"/>
        </w:rPr>
        <w:t>T</w:t>
      </w:r>
      <w:r w:rsidR="00DD7E4D" w:rsidRPr="00567D64">
        <w:rPr>
          <w:rFonts w:ascii="Arial" w:hAnsi="Arial" w:cs="Arial"/>
        </w:rPr>
        <w:t>h</w:t>
      </w:r>
      <w:r w:rsidR="00233E95" w:rsidRPr="00567D64">
        <w:rPr>
          <w:rFonts w:ascii="Arial" w:hAnsi="Arial" w:cs="Arial"/>
        </w:rPr>
        <w:t>e</w:t>
      </w:r>
      <w:r w:rsidR="00DD7E4D" w:rsidRPr="00567D64">
        <w:rPr>
          <w:rFonts w:ascii="Arial" w:hAnsi="Arial" w:cs="Arial"/>
        </w:rPr>
        <w:t xml:space="preserve"> </w:t>
      </w:r>
      <w:r w:rsidR="00994A94" w:rsidRPr="00567D64">
        <w:rPr>
          <w:rFonts w:ascii="Arial" w:hAnsi="Arial" w:cs="Arial"/>
        </w:rPr>
        <w:t xml:space="preserve">factor of </w:t>
      </w:r>
      <w:r w:rsidR="005F61C6" w:rsidRPr="00567D64">
        <w:rPr>
          <w:rFonts w:ascii="Arial" w:hAnsi="Arial" w:cs="Arial"/>
        </w:rPr>
        <w:t>two</w:t>
      </w:r>
      <w:r w:rsidR="002C368B" w:rsidRPr="00567D64">
        <w:rPr>
          <w:rFonts w:ascii="Arial" w:hAnsi="Arial" w:cs="Arial"/>
        </w:rPr>
        <w:t xml:space="preserve"> </w:t>
      </w:r>
      <w:r w:rsidR="00DD7E4D" w:rsidRPr="00567D64">
        <w:rPr>
          <w:rFonts w:ascii="Arial" w:hAnsi="Arial" w:cs="Arial"/>
        </w:rPr>
        <w:t>may</w:t>
      </w:r>
      <w:r w:rsidR="00D140C1" w:rsidRPr="00567D64">
        <w:rPr>
          <w:rFonts w:ascii="Arial" w:hAnsi="Arial" w:cs="Arial"/>
        </w:rPr>
        <w:t xml:space="preserve"> </w:t>
      </w:r>
      <w:r w:rsidR="002C368B" w:rsidRPr="00567D64">
        <w:rPr>
          <w:rFonts w:ascii="Arial" w:hAnsi="Arial" w:cs="Arial"/>
        </w:rPr>
        <w:t xml:space="preserve">be </w:t>
      </w:r>
      <w:r w:rsidR="00994A94" w:rsidRPr="00567D64">
        <w:rPr>
          <w:rFonts w:ascii="Arial" w:hAnsi="Arial" w:cs="Arial"/>
        </w:rPr>
        <w:t xml:space="preserve">safely </w:t>
      </w:r>
      <w:r w:rsidR="00FC5B3D" w:rsidRPr="00567D64">
        <w:rPr>
          <w:rFonts w:ascii="Arial" w:hAnsi="Arial" w:cs="Arial"/>
        </w:rPr>
        <w:t>reduced</w:t>
      </w:r>
      <w:r w:rsidR="00D140C1" w:rsidRPr="00567D64">
        <w:rPr>
          <w:rFonts w:ascii="Arial" w:hAnsi="Arial" w:cs="Arial"/>
        </w:rPr>
        <w:t xml:space="preserve"> </w:t>
      </w:r>
      <w:r w:rsidR="00DD7E4D" w:rsidRPr="00567D64">
        <w:rPr>
          <w:rFonts w:ascii="Arial" w:hAnsi="Arial" w:cs="Arial"/>
        </w:rPr>
        <w:t xml:space="preserve">and </w:t>
      </w:r>
      <w:r w:rsidR="00FC5B3D" w:rsidRPr="00567D64">
        <w:rPr>
          <w:rFonts w:ascii="Arial" w:hAnsi="Arial" w:cs="Arial"/>
        </w:rPr>
        <w:t xml:space="preserve">yet </w:t>
      </w:r>
      <w:r w:rsidR="00450E0A" w:rsidRPr="00567D64">
        <w:rPr>
          <w:rFonts w:ascii="Arial" w:hAnsi="Arial" w:cs="Arial"/>
        </w:rPr>
        <w:t>more than adequately cater</w:t>
      </w:r>
      <w:r w:rsidR="00D140C1" w:rsidRPr="00567D64">
        <w:rPr>
          <w:rFonts w:ascii="Arial" w:hAnsi="Arial" w:cs="Arial"/>
        </w:rPr>
        <w:t xml:space="preserve"> for overloading</w:t>
      </w:r>
      <w:r w:rsidR="00233E95" w:rsidRPr="00567D64">
        <w:rPr>
          <w:rFonts w:ascii="Arial" w:hAnsi="Arial" w:cs="Arial"/>
        </w:rPr>
        <w:t xml:space="preserve"> by using a</w:t>
      </w:r>
      <w:r w:rsidR="00450E0A" w:rsidRPr="00567D64">
        <w:rPr>
          <w:rFonts w:ascii="Arial" w:hAnsi="Arial" w:cs="Arial"/>
        </w:rPr>
        <w:t xml:space="preserve"> less extreme</w:t>
      </w:r>
      <w:r w:rsidR="000E56C3" w:rsidRPr="00567D64">
        <w:rPr>
          <w:rFonts w:ascii="Arial" w:hAnsi="Arial" w:cs="Arial"/>
        </w:rPr>
        <w:t xml:space="preserve"> </w:t>
      </w:r>
      <w:r w:rsidR="002C368B" w:rsidRPr="00567D64">
        <w:rPr>
          <w:rFonts w:ascii="Arial" w:hAnsi="Arial" w:cs="Arial"/>
        </w:rPr>
        <w:t>over</w:t>
      </w:r>
      <w:r w:rsidR="000E56C3" w:rsidRPr="00567D64">
        <w:rPr>
          <w:rFonts w:ascii="Arial" w:hAnsi="Arial" w:cs="Arial"/>
        </w:rPr>
        <w:t>-</w:t>
      </w:r>
      <w:r w:rsidR="002C368B" w:rsidRPr="00567D64">
        <w:rPr>
          <w:rFonts w:ascii="Arial" w:hAnsi="Arial" w:cs="Arial"/>
        </w:rPr>
        <w:t>estimation</w:t>
      </w:r>
      <w:r w:rsidR="00450E0A" w:rsidRPr="00567D64">
        <w:rPr>
          <w:rFonts w:ascii="Arial" w:hAnsi="Arial" w:cs="Arial"/>
        </w:rPr>
        <w:t xml:space="preserve"> </w:t>
      </w:r>
      <w:r w:rsidR="0003109A" w:rsidRPr="00567D64">
        <w:rPr>
          <w:rFonts w:ascii="Arial" w:hAnsi="Arial" w:cs="Arial"/>
        </w:rPr>
        <w:t>than</w:t>
      </w:r>
      <w:r w:rsidR="00994A94" w:rsidRPr="00567D64">
        <w:rPr>
          <w:rFonts w:ascii="Arial" w:hAnsi="Arial" w:cs="Arial"/>
        </w:rPr>
        <w:t xml:space="preserve"> the current formula</w:t>
      </w:r>
      <w:r w:rsidR="00233E95" w:rsidRPr="00567D64">
        <w:rPr>
          <w:rFonts w:ascii="Arial" w:hAnsi="Arial" w:cs="Arial"/>
        </w:rPr>
        <w:t>,</w:t>
      </w:r>
      <w:r w:rsidR="0047149D" w:rsidRPr="00567D64">
        <w:rPr>
          <w:rFonts w:ascii="Arial" w:hAnsi="Arial" w:cs="Arial"/>
        </w:rPr>
        <w:t xml:space="preserve"> </w:t>
      </w:r>
      <w:r w:rsidR="0003109A" w:rsidRPr="00567D64">
        <w:rPr>
          <w:rFonts w:ascii="Arial" w:hAnsi="Arial" w:cs="Arial"/>
        </w:rPr>
        <w:t>which</w:t>
      </w:r>
      <w:r w:rsidR="00DD7E4D" w:rsidRPr="00567D64">
        <w:rPr>
          <w:rFonts w:ascii="Arial" w:hAnsi="Arial" w:cs="Arial"/>
        </w:rPr>
        <w:t xml:space="preserve"> has</w:t>
      </w:r>
      <w:r w:rsidR="002C368B" w:rsidRPr="00567D64">
        <w:rPr>
          <w:rFonts w:ascii="Arial" w:hAnsi="Arial" w:cs="Arial"/>
        </w:rPr>
        <w:t xml:space="preserve"> led </w:t>
      </w:r>
      <w:r w:rsidR="00450E0A" w:rsidRPr="00567D64">
        <w:rPr>
          <w:rFonts w:ascii="Arial" w:hAnsi="Arial" w:cs="Arial"/>
        </w:rPr>
        <w:t xml:space="preserve">some </w:t>
      </w:r>
      <w:r w:rsidR="002C368B" w:rsidRPr="00567D64">
        <w:rPr>
          <w:rFonts w:ascii="Arial" w:hAnsi="Arial" w:cs="Arial"/>
        </w:rPr>
        <w:t xml:space="preserve">operators to </w:t>
      </w:r>
      <w:r w:rsidR="00450E0A" w:rsidRPr="00567D64">
        <w:rPr>
          <w:rFonts w:ascii="Arial" w:hAnsi="Arial" w:cs="Arial"/>
        </w:rPr>
        <w:t xml:space="preserve">harbour insufficient </w:t>
      </w:r>
      <w:r w:rsidR="002C368B" w:rsidRPr="00567D64">
        <w:rPr>
          <w:rFonts w:ascii="Arial" w:hAnsi="Arial" w:cs="Arial"/>
        </w:rPr>
        <w:t xml:space="preserve">respect for </w:t>
      </w:r>
      <w:r w:rsidR="002C0E70" w:rsidRPr="00567D64">
        <w:rPr>
          <w:rFonts w:ascii="Arial" w:hAnsi="Arial" w:cs="Arial"/>
        </w:rPr>
        <w:t>infrastructure</w:t>
      </w:r>
      <w:r w:rsidR="00E7468E" w:rsidRPr="00567D64">
        <w:rPr>
          <w:rFonts w:ascii="Arial" w:hAnsi="Arial" w:cs="Arial"/>
        </w:rPr>
        <w:t xml:space="preserve"> issues</w:t>
      </w:r>
      <w:r w:rsidR="002C368B" w:rsidRPr="00567D64">
        <w:rPr>
          <w:rFonts w:ascii="Arial" w:hAnsi="Arial" w:cs="Arial"/>
        </w:rPr>
        <w:t>.</w:t>
      </w:r>
      <w:r w:rsidR="00500BCA" w:rsidRPr="00567D64">
        <w:rPr>
          <w:rFonts w:ascii="Arial" w:hAnsi="Arial" w:cs="Arial"/>
        </w:rPr>
        <w:t xml:space="preserve"> </w:t>
      </w:r>
      <w:r w:rsidR="00233E95" w:rsidRPr="00567D64">
        <w:rPr>
          <w:rFonts w:ascii="Arial" w:hAnsi="Arial" w:cs="Arial"/>
        </w:rPr>
        <w:t xml:space="preserve">A new bridge formula is needed </w:t>
      </w:r>
      <w:r w:rsidR="004B4F0B">
        <w:rPr>
          <w:rFonts w:ascii="Arial" w:hAnsi="Arial" w:cs="Arial"/>
        </w:rPr>
        <w:t>which</w:t>
      </w:r>
      <w:r w:rsidR="00233E95" w:rsidRPr="00567D64">
        <w:rPr>
          <w:rFonts w:ascii="Arial" w:hAnsi="Arial" w:cs="Arial"/>
        </w:rPr>
        <w:t xml:space="preserve"> still accounts for proven levels of ‘overloading’.</w:t>
      </w:r>
    </w:p>
    <w:p w:rsidR="001E090C" w:rsidRDefault="001E090C" w:rsidP="001E090C">
      <w:pPr>
        <w:autoSpaceDE w:val="0"/>
        <w:autoSpaceDN w:val="0"/>
        <w:adjustRightInd w:val="0"/>
        <w:jc w:val="both"/>
        <w:rPr>
          <w:rFonts w:ascii="Arial" w:hAnsi="Arial" w:cs="Arial"/>
          <w:b/>
        </w:rPr>
      </w:pPr>
    </w:p>
    <w:p w:rsidR="0084591A" w:rsidRPr="0002441F" w:rsidRDefault="0084591A" w:rsidP="0084591A">
      <w:pPr>
        <w:autoSpaceDE w:val="0"/>
        <w:autoSpaceDN w:val="0"/>
        <w:adjustRightInd w:val="0"/>
        <w:jc w:val="both"/>
        <w:rPr>
          <w:rFonts w:ascii="Arial" w:hAnsi="Arial" w:cs="Arial"/>
          <w:b/>
        </w:rPr>
      </w:pPr>
      <w:r w:rsidRPr="0002441F">
        <w:rPr>
          <w:rFonts w:ascii="Arial" w:hAnsi="Arial" w:cs="Arial"/>
          <w:b/>
        </w:rPr>
        <w:t xml:space="preserve">Recommendation </w:t>
      </w:r>
      <w:r>
        <w:rPr>
          <w:rFonts w:ascii="Arial" w:hAnsi="Arial" w:cs="Arial"/>
          <w:b/>
        </w:rPr>
        <w:t>5</w:t>
      </w:r>
    </w:p>
    <w:p w:rsidR="0084591A" w:rsidRDefault="0084591A" w:rsidP="0084591A">
      <w:pPr>
        <w:autoSpaceDE w:val="0"/>
        <w:autoSpaceDN w:val="0"/>
        <w:adjustRightInd w:val="0"/>
        <w:jc w:val="both"/>
        <w:rPr>
          <w:rFonts w:ascii="Arial" w:hAnsi="Arial" w:cs="Arial"/>
          <w:b/>
        </w:rPr>
      </w:pPr>
    </w:p>
    <w:p w:rsidR="0084591A" w:rsidRPr="0002441F" w:rsidRDefault="0084591A" w:rsidP="0084591A">
      <w:pPr>
        <w:autoSpaceDE w:val="0"/>
        <w:autoSpaceDN w:val="0"/>
        <w:adjustRightInd w:val="0"/>
        <w:jc w:val="both"/>
        <w:rPr>
          <w:rFonts w:ascii="Arial" w:hAnsi="Arial" w:cs="Arial"/>
          <w:b/>
        </w:rPr>
      </w:pPr>
      <w:r w:rsidRPr="0002441F">
        <w:rPr>
          <w:rFonts w:ascii="Arial" w:hAnsi="Arial" w:cs="Arial"/>
          <w:b/>
        </w:rPr>
        <w:t xml:space="preserve">The ATA recommends the bridge formula factor of </w:t>
      </w:r>
      <w:r>
        <w:rPr>
          <w:rFonts w:ascii="Arial" w:hAnsi="Arial" w:cs="Arial"/>
          <w:b/>
        </w:rPr>
        <w:t>two</w:t>
      </w:r>
      <w:r w:rsidRPr="0002441F">
        <w:rPr>
          <w:rFonts w:ascii="Arial" w:hAnsi="Arial" w:cs="Arial"/>
          <w:b/>
        </w:rPr>
        <w:t xml:space="preserve"> be reduced to reflect better compliance.</w:t>
      </w:r>
    </w:p>
    <w:p w:rsidR="0015356B" w:rsidRDefault="0015356B" w:rsidP="001D06D8">
      <w:pPr>
        <w:autoSpaceDE w:val="0"/>
        <w:autoSpaceDN w:val="0"/>
        <w:adjustRightInd w:val="0"/>
        <w:jc w:val="both"/>
        <w:rPr>
          <w:b/>
          <w:sz w:val="21"/>
          <w:szCs w:val="21"/>
        </w:rPr>
      </w:pPr>
    </w:p>
    <w:p w:rsidR="00F326CB" w:rsidRPr="002C0E70" w:rsidRDefault="00F326CB" w:rsidP="001D06D8">
      <w:pPr>
        <w:autoSpaceDE w:val="0"/>
        <w:autoSpaceDN w:val="0"/>
        <w:adjustRightInd w:val="0"/>
        <w:jc w:val="both"/>
        <w:rPr>
          <w:b/>
          <w:sz w:val="21"/>
          <w:szCs w:val="21"/>
        </w:rPr>
      </w:pPr>
    </w:p>
    <w:p w:rsidR="0015356B" w:rsidRPr="00CE1174" w:rsidRDefault="00E32B91" w:rsidP="001D06D8">
      <w:pPr>
        <w:pStyle w:val="Heading1"/>
        <w:jc w:val="both"/>
      </w:pPr>
      <w:r w:rsidRPr="00CE1174">
        <w:t>Conclusion</w:t>
      </w:r>
    </w:p>
    <w:p w:rsidR="00E32B91" w:rsidRDefault="00E32B91" w:rsidP="001D06D8">
      <w:pPr>
        <w:autoSpaceDE w:val="0"/>
        <w:autoSpaceDN w:val="0"/>
        <w:adjustRightInd w:val="0"/>
        <w:jc w:val="both"/>
        <w:rPr>
          <w:b/>
          <w:sz w:val="21"/>
          <w:szCs w:val="21"/>
        </w:rPr>
      </w:pPr>
    </w:p>
    <w:p w:rsidR="00EB3C30" w:rsidRPr="00615D59" w:rsidRDefault="001A31A2" w:rsidP="001D06D8">
      <w:pPr>
        <w:autoSpaceDE w:val="0"/>
        <w:autoSpaceDN w:val="0"/>
        <w:adjustRightInd w:val="0"/>
        <w:jc w:val="both"/>
        <w:rPr>
          <w:rFonts w:ascii="Arial" w:hAnsi="Arial" w:cs="Arial"/>
        </w:rPr>
      </w:pPr>
      <w:r w:rsidRPr="00615D59">
        <w:rPr>
          <w:rFonts w:ascii="Arial" w:hAnsi="Arial" w:cs="Arial"/>
        </w:rPr>
        <w:t xml:space="preserve">As the </w:t>
      </w:r>
      <w:r w:rsidR="00A93681" w:rsidRPr="00615D59">
        <w:rPr>
          <w:rFonts w:ascii="Arial" w:hAnsi="Arial" w:cs="Arial"/>
        </w:rPr>
        <w:t>draft</w:t>
      </w:r>
      <w:r w:rsidRPr="00615D59">
        <w:rPr>
          <w:rFonts w:ascii="Arial" w:hAnsi="Arial" w:cs="Arial"/>
        </w:rPr>
        <w:t xml:space="preserve"> paper</w:t>
      </w:r>
      <w:r w:rsidR="00A93681" w:rsidRPr="00615D59">
        <w:rPr>
          <w:rFonts w:ascii="Arial" w:hAnsi="Arial" w:cs="Arial"/>
        </w:rPr>
        <w:t>’</w:t>
      </w:r>
      <w:r w:rsidR="00072C17" w:rsidRPr="00615D59">
        <w:rPr>
          <w:rFonts w:ascii="Arial" w:hAnsi="Arial" w:cs="Arial"/>
        </w:rPr>
        <w:t>s</w:t>
      </w:r>
      <w:r w:rsidRPr="00615D59">
        <w:rPr>
          <w:rFonts w:ascii="Arial" w:hAnsi="Arial" w:cs="Arial"/>
        </w:rPr>
        <w:t xml:space="preserve"> </w:t>
      </w:r>
      <w:r w:rsidR="00875181" w:rsidRPr="00615D59">
        <w:rPr>
          <w:rFonts w:ascii="Arial" w:hAnsi="Arial" w:cs="Arial"/>
        </w:rPr>
        <w:t xml:space="preserve">references to </w:t>
      </w:r>
      <w:r w:rsidR="008B797D">
        <w:rPr>
          <w:rFonts w:ascii="Arial" w:hAnsi="Arial" w:cs="Arial"/>
        </w:rPr>
        <w:t xml:space="preserve">heavy vehicle </w:t>
      </w:r>
      <w:r w:rsidR="00072C17" w:rsidRPr="00615D59">
        <w:rPr>
          <w:rFonts w:ascii="Arial" w:hAnsi="Arial" w:cs="Arial"/>
        </w:rPr>
        <w:t xml:space="preserve">compliance </w:t>
      </w:r>
      <w:r w:rsidR="008B797D">
        <w:rPr>
          <w:rFonts w:ascii="Arial" w:hAnsi="Arial" w:cs="Arial"/>
        </w:rPr>
        <w:t>history shows</w:t>
      </w:r>
      <w:r w:rsidRPr="00615D59">
        <w:rPr>
          <w:rFonts w:ascii="Arial" w:hAnsi="Arial" w:cs="Arial"/>
        </w:rPr>
        <w:t>, the trucking in</w:t>
      </w:r>
      <w:r w:rsidR="00875181" w:rsidRPr="00615D59">
        <w:rPr>
          <w:rFonts w:ascii="Arial" w:hAnsi="Arial" w:cs="Arial"/>
        </w:rPr>
        <w:t>dustry has historically endured</w:t>
      </w:r>
      <w:r w:rsidRPr="00615D59">
        <w:rPr>
          <w:rFonts w:ascii="Arial" w:hAnsi="Arial" w:cs="Arial"/>
        </w:rPr>
        <w:t xml:space="preserve"> (and conspicuously adhered to) </w:t>
      </w:r>
      <w:r w:rsidR="00EB3C30" w:rsidRPr="00615D59">
        <w:rPr>
          <w:rFonts w:ascii="Arial" w:hAnsi="Arial" w:cs="Arial"/>
        </w:rPr>
        <w:t>a</w:t>
      </w:r>
      <w:r w:rsidRPr="00615D59">
        <w:rPr>
          <w:rFonts w:ascii="Arial" w:hAnsi="Arial" w:cs="Arial"/>
        </w:rPr>
        <w:t xml:space="preserve"> </w:t>
      </w:r>
      <w:r w:rsidR="00EB3C30" w:rsidRPr="00615D59">
        <w:rPr>
          <w:rFonts w:ascii="Arial" w:hAnsi="Arial" w:cs="Arial"/>
        </w:rPr>
        <w:t xml:space="preserve">large and </w:t>
      </w:r>
      <w:r w:rsidRPr="00615D59">
        <w:rPr>
          <w:rFonts w:ascii="Arial" w:hAnsi="Arial" w:cs="Arial"/>
        </w:rPr>
        <w:t xml:space="preserve">complex </w:t>
      </w:r>
      <w:r w:rsidR="00A93681" w:rsidRPr="00615D59">
        <w:rPr>
          <w:rFonts w:ascii="Arial" w:hAnsi="Arial" w:cs="Arial"/>
        </w:rPr>
        <w:t>set</w:t>
      </w:r>
      <w:r w:rsidRPr="00615D59">
        <w:rPr>
          <w:rFonts w:ascii="Arial" w:hAnsi="Arial" w:cs="Arial"/>
        </w:rPr>
        <w:t xml:space="preserve"> of </w:t>
      </w:r>
      <w:r w:rsidR="00A93681" w:rsidRPr="00615D59">
        <w:rPr>
          <w:rFonts w:ascii="Arial" w:hAnsi="Arial" w:cs="Arial"/>
        </w:rPr>
        <w:t>regulations</w:t>
      </w:r>
      <w:r w:rsidRPr="00615D59">
        <w:rPr>
          <w:rFonts w:ascii="Arial" w:hAnsi="Arial" w:cs="Arial"/>
        </w:rPr>
        <w:t xml:space="preserve"> </w:t>
      </w:r>
      <w:r w:rsidR="00A93681" w:rsidRPr="00615D59">
        <w:rPr>
          <w:rFonts w:ascii="Arial" w:hAnsi="Arial" w:cs="Arial"/>
        </w:rPr>
        <w:t>emerging</w:t>
      </w:r>
      <w:r w:rsidR="00875181" w:rsidRPr="00615D59">
        <w:rPr>
          <w:rFonts w:ascii="Arial" w:hAnsi="Arial" w:cs="Arial"/>
        </w:rPr>
        <w:t xml:space="preserve"> </w:t>
      </w:r>
      <w:r w:rsidRPr="00615D59">
        <w:rPr>
          <w:rFonts w:ascii="Arial" w:hAnsi="Arial" w:cs="Arial"/>
        </w:rPr>
        <w:t xml:space="preserve">in its workplace. </w:t>
      </w:r>
    </w:p>
    <w:p w:rsidR="00EB3C30" w:rsidRPr="00615D59" w:rsidRDefault="00EB3C30" w:rsidP="001D06D8">
      <w:pPr>
        <w:autoSpaceDE w:val="0"/>
        <w:autoSpaceDN w:val="0"/>
        <w:adjustRightInd w:val="0"/>
        <w:jc w:val="both"/>
        <w:rPr>
          <w:rFonts w:ascii="Arial" w:hAnsi="Arial" w:cs="Arial"/>
        </w:rPr>
      </w:pPr>
    </w:p>
    <w:p w:rsidR="001A31A2" w:rsidRPr="00615D59" w:rsidRDefault="00072C17" w:rsidP="001D06D8">
      <w:pPr>
        <w:autoSpaceDE w:val="0"/>
        <w:autoSpaceDN w:val="0"/>
        <w:adjustRightInd w:val="0"/>
        <w:jc w:val="both"/>
        <w:rPr>
          <w:rFonts w:ascii="Arial" w:hAnsi="Arial" w:cs="Arial"/>
        </w:rPr>
      </w:pPr>
      <w:r w:rsidRPr="00615D59">
        <w:rPr>
          <w:rFonts w:ascii="Arial" w:hAnsi="Arial" w:cs="Arial"/>
        </w:rPr>
        <w:t>The</w:t>
      </w:r>
      <w:r w:rsidR="001A31A2" w:rsidRPr="00615D59">
        <w:rPr>
          <w:rFonts w:ascii="Arial" w:hAnsi="Arial" w:cs="Arial"/>
        </w:rPr>
        <w:t xml:space="preserve"> </w:t>
      </w:r>
      <w:r w:rsidR="00D60B7F" w:rsidRPr="00615D59">
        <w:rPr>
          <w:rFonts w:ascii="Arial" w:hAnsi="Arial" w:cs="Arial"/>
        </w:rPr>
        <w:t xml:space="preserve">need for </w:t>
      </w:r>
      <w:r w:rsidR="001A31A2" w:rsidRPr="00615D59">
        <w:rPr>
          <w:rFonts w:ascii="Arial" w:hAnsi="Arial" w:cs="Arial"/>
        </w:rPr>
        <w:t xml:space="preserve">a </w:t>
      </w:r>
      <w:r w:rsidR="00930A96">
        <w:rPr>
          <w:rFonts w:ascii="Arial" w:hAnsi="Arial" w:cs="Arial"/>
        </w:rPr>
        <w:t>variety</w:t>
      </w:r>
      <w:r w:rsidR="001A31A2" w:rsidRPr="00615D59">
        <w:rPr>
          <w:rFonts w:ascii="Arial" w:hAnsi="Arial" w:cs="Arial"/>
        </w:rPr>
        <w:t xml:space="preserve"> of </w:t>
      </w:r>
      <w:r w:rsidR="00875181" w:rsidRPr="00615D59">
        <w:rPr>
          <w:rFonts w:ascii="Arial" w:hAnsi="Arial" w:cs="Arial"/>
        </w:rPr>
        <w:t>legal</w:t>
      </w:r>
      <w:r w:rsidR="001A31A2" w:rsidRPr="00615D59">
        <w:rPr>
          <w:rFonts w:ascii="Arial" w:hAnsi="Arial" w:cs="Arial"/>
        </w:rPr>
        <w:t xml:space="preserve"> instruments in </w:t>
      </w:r>
      <w:r w:rsidR="00D60B7F" w:rsidRPr="00615D59">
        <w:rPr>
          <w:rFonts w:ascii="Arial" w:hAnsi="Arial" w:cs="Arial"/>
        </w:rPr>
        <w:t>an</w:t>
      </w:r>
      <w:r w:rsidR="008D735B" w:rsidRPr="00615D59">
        <w:rPr>
          <w:rFonts w:ascii="Arial" w:hAnsi="Arial" w:cs="Arial"/>
        </w:rPr>
        <w:t>y</w:t>
      </w:r>
      <w:r w:rsidR="001A31A2" w:rsidRPr="00615D59">
        <w:rPr>
          <w:rFonts w:ascii="Arial" w:hAnsi="Arial" w:cs="Arial"/>
        </w:rPr>
        <w:t xml:space="preserve"> area of regulated activity</w:t>
      </w:r>
      <w:r w:rsidR="00D60B7F" w:rsidRPr="00615D59">
        <w:rPr>
          <w:rFonts w:ascii="Arial" w:hAnsi="Arial" w:cs="Arial"/>
        </w:rPr>
        <w:t xml:space="preserve"> </w:t>
      </w:r>
      <w:r w:rsidR="001A31A2" w:rsidRPr="00615D59">
        <w:rPr>
          <w:rFonts w:ascii="Arial" w:hAnsi="Arial" w:cs="Arial"/>
        </w:rPr>
        <w:t xml:space="preserve">is </w:t>
      </w:r>
      <w:r w:rsidRPr="00615D59">
        <w:rPr>
          <w:rFonts w:ascii="Arial" w:hAnsi="Arial" w:cs="Arial"/>
        </w:rPr>
        <w:t>acknowledged</w:t>
      </w:r>
      <w:r w:rsidR="001A31A2" w:rsidRPr="00615D59">
        <w:rPr>
          <w:rFonts w:ascii="Arial" w:hAnsi="Arial" w:cs="Arial"/>
        </w:rPr>
        <w:t xml:space="preserve">. However, there is </w:t>
      </w:r>
      <w:r w:rsidRPr="00615D59">
        <w:rPr>
          <w:rFonts w:ascii="Arial" w:hAnsi="Arial" w:cs="Arial"/>
        </w:rPr>
        <w:t xml:space="preserve">also </w:t>
      </w:r>
      <w:r w:rsidR="008D735B" w:rsidRPr="00615D59">
        <w:rPr>
          <w:rFonts w:ascii="Arial" w:hAnsi="Arial" w:cs="Arial"/>
        </w:rPr>
        <w:t xml:space="preserve">a </w:t>
      </w:r>
      <w:r w:rsidR="002F2988" w:rsidRPr="00615D59">
        <w:rPr>
          <w:rFonts w:ascii="Arial" w:hAnsi="Arial" w:cs="Arial"/>
        </w:rPr>
        <w:t xml:space="preserve">reasonable </w:t>
      </w:r>
      <w:r w:rsidR="001A31A2" w:rsidRPr="00615D59">
        <w:rPr>
          <w:rFonts w:ascii="Arial" w:hAnsi="Arial" w:cs="Arial"/>
        </w:rPr>
        <w:t>expectation by the governed that</w:t>
      </w:r>
      <w:r w:rsidR="00A93681" w:rsidRPr="00615D59">
        <w:rPr>
          <w:rFonts w:ascii="Arial" w:hAnsi="Arial" w:cs="Arial"/>
        </w:rPr>
        <w:t xml:space="preserve"> </w:t>
      </w:r>
      <w:r w:rsidRPr="00615D59">
        <w:rPr>
          <w:rFonts w:ascii="Arial" w:hAnsi="Arial" w:cs="Arial"/>
        </w:rPr>
        <w:t>if such law is to be complied with,</w:t>
      </w:r>
      <w:r w:rsidR="00930A96">
        <w:rPr>
          <w:rFonts w:ascii="Arial" w:hAnsi="Arial" w:cs="Arial"/>
        </w:rPr>
        <w:t xml:space="preserve"> the</w:t>
      </w:r>
      <w:r w:rsidRPr="00615D59">
        <w:rPr>
          <w:rFonts w:ascii="Arial" w:hAnsi="Arial" w:cs="Arial"/>
        </w:rPr>
        <w:t xml:space="preserve"> </w:t>
      </w:r>
      <w:r w:rsidR="001A31A2" w:rsidRPr="00615D59">
        <w:rPr>
          <w:rFonts w:ascii="Arial" w:hAnsi="Arial" w:cs="Arial"/>
        </w:rPr>
        <w:t>interpretation of</w:t>
      </w:r>
      <w:r w:rsidR="00D60B7F" w:rsidRPr="00615D59">
        <w:rPr>
          <w:rFonts w:ascii="Arial" w:hAnsi="Arial" w:cs="Arial"/>
        </w:rPr>
        <w:t xml:space="preserve"> </w:t>
      </w:r>
      <w:r w:rsidRPr="00615D59">
        <w:rPr>
          <w:rFonts w:ascii="Arial" w:hAnsi="Arial" w:cs="Arial"/>
        </w:rPr>
        <w:t xml:space="preserve">these </w:t>
      </w:r>
      <w:r w:rsidR="00D60B7F" w:rsidRPr="00615D59">
        <w:rPr>
          <w:rFonts w:ascii="Arial" w:hAnsi="Arial" w:cs="Arial"/>
        </w:rPr>
        <w:t xml:space="preserve">different </w:t>
      </w:r>
      <w:r w:rsidR="001A31A2" w:rsidRPr="00615D59">
        <w:rPr>
          <w:rFonts w:ascii="Arial" w:hAnsi="Arial" w:cs="Arial"/>
        </w:rPr>
        <w:t xml:space="preserve">legal frameworks will </w:t>
      </w:r>
      <w:r w:rsidR="00A93681" w:rsidRPr="00615D59">
        <w:rPr>
          <w:rFonts w:ascii="Arial" w:hAnsi="Arial" w:cs="Arial"/>
        </w:rPr>
        <w:t xml:space="preserve">not be onerous nor </w:t>
      </w:r>
      <w:r w:rsidR="00875181" w:rsidRPr="00615D59">
        <w:rPr>
          <w:rFonts w:ascii="Arial" w:hAnsi="Arial" w:cs="Arial"/>
        </w:rPr>
        <w:t xml:space="preserve">conflict </w:t>
      </w:r>
      <w:r w:rsidR="00A93681" w:rsidRPr="00615D59">
        <w:rPr>
          <w:rFonts w:ascii="Arial" w:hAnsi="Arial" w:cs="Arial"/>
        </w:rPr>
        <w:t xml:space="preserve">in </w:t>
      </w:r>
      <w:r w:rsidRPr="00615D59">
        <w:rPr>
          <w:rFonts w:ascii="Arial" w:hAnsi="Arial" w:cs="Arial"/>
        </w:rPr>
        <w:t xml:space="preserve">terms of the </w:t>
      </w:r>
      <w:r w:rsidR="001A31A2" w:rsidRPr="00615D59">
        <w:rPr>
          <w:rFonts w:ascii="Arial" w:hAnsi="Arial" w:cs="Arial"/>
        </w:rPr>
        <w:t xml:space="preserve">application </w:t>
      </w:r>
      <w:r w:rsidR="00875181" w:rsidRPr="00615D59">
        <w:rPr>
          <w:rFonts w:ascii="Arial" w:hAnsi="Arial" w:cs="Arial"/>
        </w:rPr>
        <w:t xml:space="preserve">of </w:t>
      </w:r>
      <w:r w:rsidR="002F2988" w:rsidRPr="00615D59">
        <w:rPr>
          <w:rFonts w:ascii="Arial" w:hAnsi="Arial" w:cs="Arial"/>
        </w:rPr>
        <w:t xml:space="preserve">the </w:t>
      </w:r>
      <w:r w:rsidR="00A93681" w:rsidRPr="00615D59">
        <w:rPr>
          <w:rFonts w:ascii="Arial" w:hAnsi="Arial" w:cs="Arial"/>
        </w:rPr>
        <w:t xml:space="preserve">respective </w:t>
      </w:r>
      <w:r w:rsidR="00875181" w:rsidRPr="00615D59">
        <w:rPr>
          <w:rFonts w:ascii="Arial" w:hAnsi="Arial" w:cs="Arial"/>
        </w:rPr>
        <w:t>provision</w:t>
      </w:r>
      <w:r w:rsidRPr="00615D59">
        <w:rPr>
          <w:rFonts w:ascii="Arial" w:hAnsi="Arial" w:cs="Arial"/>
        </w:rPr>
        <w:t>s</w:t>
      </w:r>
      <w:r w:rsidR="001A31A2" w:rsidRPr="00615D59">
        <w:rPr>
          <w:rFonts w:ascii="Arial" w:hAnsi="Arial" w:cs="Arial"/>
        </w:rPr>
        <w:t>.</w:t>
      </w:r>
      <w:r w:rsidR="002F2988" w:rsidRPr="00615D59">
        <w:rPr>
          <w:rFonts w:ascii="Arial" w:hAnsi="Arial" w:cs="Arial"/>
        </w:rPr>
        <w:t xml:space="preserve"> </w:t>
      </w:r>
      <w:r w:rsidR="001A31A2" w:rsidRPr="00615D59">
        <w:rPr>
          <w:rFonts w:ascii="Arial" w:hAnsi="Arial" w:cs="Arial"/>
        </w:rPr>
        <w:t>It is the government’s role and responsibility to ensure</w:t>
      </w:r>
      <w:r w:rsidR="002F2988" w:rsidRPr="00615D59">
        <w:rPr>
          <w:rFonts w:ascii="Arial" w:hAnsi="Arial" w:cs="Arial"/>
        </w:rPr>
        <w:t xml:space="preserve"> the</w:t>
      </w:r>
      <w:r w:rsidR="001A31A2" w:rsidRPr="00615D59">
        <w:rPr>
          <w:rFonts w:ascii="Arial" w:hAnsi="Arial" w:cs="Arial"/>
        </w:rPr>
        <w:t xml:space="preserve"> laws it introduces are unambiguous and that there are no poorly drafted, contradictory, illegal or duplicating provisions </w:t>
      </w:r>
      <w:r w:rsidR="002F2988" w:rsidRPr="00615D59">
        <w:rPr>
          <w:rFonts w:ascii="Arial" w:hAnsi="Arial" w:cs="Arial"/>
        </w:rPr>
        <w:t>or</w:t>
      </w:r>
      <w:r w:rsidR="00BB749B">
        <w:rPr>
          <w:rFonts w:ascii="Arial" w:hAnsi="Arial" w:cs="Arial"/>
        </w:rPr>
        <w:t xml:space="preserve"> requirements.</w:t>
      </w:r>
      <w:r w:rsidR="009B09CB">
        <w:rPr>
          <w:rFonts w:ascii="Arial" w:hAnsi="Arial" w:cs="Arial"/>
        </w:rPr>
        <w:t xml:space="preserve"> </w:t>
      </w:r>
      <w:r w:rsidR="00B8349E">
        <w:rPr>
          <w:rFonts w:ascii="Arial" w:hAnsi="Arial" w:cs="Arial"/>
        </w:rPr>
        <w:t>T</w:t>
      </w:r>
      <w:r w:rsidR="001A31A2" w:rsidRPr="00615D59">
        <w:rPr>
          <w:rFonts w:ascii="Arial" w:hAnsi="Arial" w:cs="Arial"/>
        </w:rPr>
        <w:t>hat</w:t>
      </w:r>
      <w:r w:rsidR="00737FA4">
        <w:rPr>
          <w:rFonts w:ascii="Arial" w:hAnsi="Arial" w:cs="Arial"/>
        </w:rPr>
        <w:t xml:space="preserve"> </w:t>
      </w:r>
      <w:r w:rsidR="002F2988" w:rsidRPr="00615D59">
        <w:rPr>
          <w:rFonts w:ascii="Arial" w:hAnsi="Arial" w:cs="Arial"/>
        </w:rPr>
        <w:t>such</w:t>
      </w:r>
      <w:r w:rsidR="001A31A2" w:rsidRPr="00615D59">
        <w:rPr>
          <w:rFonts w:ascii="Arial" w:hAnsi="Arial" w:cs="Arial"/>
        </w:rPr>
        <w:t xml:space="preserve"> harmonisation </w:t>
      </w:r>
      <w:r w:rsidR="00BB677C" w:rsidRPr="00615D59">
        <w:rPr>
          <w:rFonts w:ascii="Arial" w:hAnsi="Arial" w:cs="Arial"/>
        </w:rPr>
        <w:t xml:space="preserve">between legal instruments </w:t>
      </w:r>
      <w:r w:rsidR="001A31A2" w:rsidRPr="00615D59">
        <w:rPr>
          <w:rFonts w:ascii="Arial" w:hAnsi="Arial" w:cs="Arial"/>
        </w:rPr>
        <w:t>occurs is the responsibility of government</w:t>
      </w:r>
      <w:r w:rsidR="00D60B7F" w:rsidRPr="00615D59">
        <w:rPr>
          <w:rFonts w:ascii="Arial" w:hAnsi="Arial" w:cs="Arial"/>
        </w:rPr>
        <w:t>,</w:t>
      </w:r>
      <w:r w:rsidR="001A31A2" w:rsidRPr="00615D59">
        <w:rPr>
          <w:rFonts w:ascii="Arial" w:hAnsi="Arial" w:cs="Arial"/>
        </w:rPr>
        <w:t xml:space="preserve"> not industry nor the wider community.</w:t>
      </w:r>
    </w:p>
    <w:p w:rsidR="00EB1545" w:rsidRPr="00615D59" w:rsidRDefault="00EB1545" w:rsidP="001D06D8">
      <w:pPr>
        <w:autoSpaceDE w:val="0"/>
        <w:autoSpaceDN w:val="0"/>
        <w:adjustRightInd w:val="0"/>
        <w:jc w:val="both"/>
        <w:rPr>
          <w:rFonts w:ascii="Arial" w:hAnsi="Arial" w:cs="Arial"/>
        </w:rPr>
      </w:pPr>
    </w:p>
    <w:p w:rsidR="00E32B91" w:rsidRPr="00615D59" w:rsidRDefault="00E32B91" w:rsidP="001D06D8">
      <w:pPr>
        <w:autoSpaceDE w:val="0"/>
        <w:autoSpaceDN w:val="0"/>
        <w:adjustRightInd w:val="0"/>
        <w:jc w:val="both"/>
        <w:rPr>
          <w:rFonts w:ascii="Arial" w:hAnsi="Arial" w:cs="Arial"/>
        </w:rPr>
      </w:pPr>
      <w:r w:rsidRPr="00615D59">
        <w:rPr>
          <w:rFonts w:ascii="Arial" w:hAnsi="Arial" w:cs="Arial"/>
        </w:rPr>
        <w:t>The ATA is grateful for the opportunity to make comment</w:t>
      </w:r>
      <w:r w:rsidR="00EB1545" w:rsidRPr="00615D59">
        <w:rPr>
          <w:rFonts w:ascii="Arial" w:hAnsi="Arial" w:cs="Arial"/>
        </w:rPr>
        <w:t>s</w:t>
      </w:r>
      <w:r w:rsidRPr="00615D59">
        <w:rPr>
          <w:rFonts w:ascii="Arial" w:hAnsi="Arial" w:cs="Arial"/>
        </w:rPr>
        <w:t xml:space="preserve"> on the NTC draft heavy vehicle</w:t>
      </w:r>
      <w:r w:rsidR="00EB1545" w:rsidRPr="00615D59">
        <w:rPr>
          <w:rFonts w:ascii="Arial" w:hAnsi="Arial" w:cs="Arial"/>
        </w:rPr>
        <w:t xml:space="preserve"> compliance</w:t>
      </w:r>
      <w:r w:rsidRPr="00615D59">
        <w:rPr>
          <w:rFonts w:ascii="Arial" w:hAnsi="Arial" w:cs="Arial"/>
        </w:rPr>
        <w:t xml:space="preserve"> review </w:t>
      </w:r>
      <w:r w:rsidR="00EB1545" w:rsidRPr="00615D59">
        <w:rPr>
          <w:rFonts w:ascii="Arial" w:hAnsi="Arial" w:cs="Arial"/>
        </w:rPr>
        <w:t xml:space="preserve">draft consultation </w:t>
      </w:r>
      <w:r w:rsidRPr="00615D59">
        <w:rPr>
          <w:rFonts w:ascii="Arial" w:hAnsi="Arial" w:cs="Arial"/>
        </w:rPr>
        <w:t>paper</w:t>
      </w:r>
      <w:r w:rsidR="00A25309" w:rsidRPr="00615D59">
        <w:rPr>
          <w:rFonts w:ascii="Arial" w:hAnsi="Arial" w:cs="Arial"/>
        </w:rPr>
        <w:t xml:space="preserve"> and notes that more work is necessary to refine the policy message</w:t>
      </w:r>
      <w:r w:rsidRPr="00615D59">
        <w:rPr>
          <w:rFonts w:ascii="Arial" w:hAnsi="Arial" w:cs="Arial"/>
        </w:rPr>
        <w:t xml:space="preserve">. The ATA </w:t>
      </w:r>
      <w:r w:rsidR="002B67AD" w:rsidRPr="00615D59">
        <w:rPr>
          <w:rFonts w:ascii="Arial" w:hAnsi="Arial" w:cs="Arial"/>
        </w:rPr>
        <w:t>seeks</w:t>
      </w:r>
      <w:r w:rsidRPr="00615D59">
        <w:rPr>
          <w:rFonts w:ascii="Arial" w:hAnsi="Arial" w:cs="Arial"/>
        </w:rPr>
        <w:t xml:space="preserve"> adoption by the NTC of </w:t>
      </w:r>
      <w:r w:rsidR="005D4CE8" w:rsidRPr="00615D59">
        <w:rPr>
          <w:rFonts w:ascii="Arial" w:hAnsi="Arial" w:cs="Arial"/>
        </w:rPr>
        <w:t>its</w:t>
      </w:r>
      <w:r w:rsidR="002B67AD" w:rsidRPr="00615D59">
        <w:rPr>
          <w:rFonts w:ascii="Arial" w:hAnsi="Arial" w:cs="Arial"/>
        </w:rPr>
        <w:t xml:space="preserve"> </w:t>
      </w:r>
      <w:r w:rsidRPr="00615D59">
        <w:rPr>
          <w:rFonts w:ascii="Arial" w:hAnsi="Arial" w:cs="Arial"/>
        </w:rPr>
        <w:t>recommendations</w:t>
      </w:r>
      <w:r w:rsidR="002B67AD" w:rsidRPr="00615D59">
        <w:rPr>
          <w:rFonts w:ascii="Arial" w:hAnsi="Arial" w:cs="Arial"/>
        </w:rPr>
        <w:t xml:space="preserve"> above</w:t>
      </w:r>
      <w:r w:rsidRPr="00615D59">
        <w:rPr>
          <w:rFonts w:ascii="Arial" w:hAnsi="Arial" w:cs="Arial"/>
        </w:rPr>
        <w:t>.</w:t>
      </w:r>
    </w:p>
    <w:sectPr w:rsidR="00E32B91" w:rsidRPr="00615D59" w:rsidSect="005468AF">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567" w:left="1134" w:header="703" w:footer="2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B7D" w:rsidRDefault="00052B7D" w:rsidP="000F3D9F">
      <w:r>
        <w:separator/>
      </w:r>
    </w:p>
  </w:endnote>
  <w:endnote w:type="continuationSeparator" w:id="0">
    <w:p w:rsidR="00052B7D" w:rsidRDefault="00052B7D" w:rsidP="000F3D9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B7D" w:rsidRPr="0062031D" w:rsidRDefault="00052B7D" w:rsidP="0062031D">
    <w:pPr>
      <w:ind w:right="-426"/>
      <w:jc w:val="center"/>
      <w:rPr>
        <w:rFonts w:ascii="Arial" w:hAnsi="Arial" w:cs="Arial"/>
        <w:smallCaps/>
        <w:noProof/>
        <w:sz w:val="18"/>
        <w:szCs w:val="18"/>
        <w:lang w:eastAsia="en-AU"/>
      </w:rPr>
    </w:pPr>
    <w:r>
      <w:rPr>
        <w:rFonts w:ascii="Arial" w:hAnsi="Arial" w:cs="Arial"/>
        <w:color w:val="17365D"/>
        <w:sz w:val="18"/>
        <w:szCs w:val="18"/>
      </w:rPr>
      <w:t xml:space="preserve"> </w:t>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sidRPr="0062031D">
      <w:rPr>
        <w:rFonts w:ascii="Arial" w:hAnsi="Arial" w:cs="Arial"/>
        <w:color w:val="17365D"/>
        <w:sz w:val="18"/>
        <w:szCs w:val="18"/>
      </w:rPr>
      <w:t xml:space="preserve"> </w:t>
    </w:r>
    <w:r w:rsidRPr="0062031D">
      <w:rPr>
        <w:rFonts w:ascii="Arial" w:hAnsi="Arial" w:cs="Arial"/>
        <w:smallCaps/>
        <w:noProof/>
        <w:sz w:val="18"/>
        <w:szCs w:val="18"/>
        <w:lang w:eastAsia="en-AU"/>
      </w:rPr>
      <w:drawing>
        <wp:inline distT="0" distB="0" distL="0" distR="0">
          <wp:extent cx="1951355" cy="846455"/>
          <wp:effectExtent l="19050" t="0" r="0" b="0"/>
          <wp:docPr id="8" name="Picture 1" descr="LHead Logo AC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srcRect/>
                  <a:stretch>
                    <a:fillRect/>
                  </a:stretch>
                </pic:blipFill>
                <pic:spPr bwMode="auto">
                  <a:xfrm>
                    <a:off x="0" y="0"/>
                    <a:ext cx="1951355" cy="846455"/>
                  </a:xfrm>
                  <a:prstGeom prst="rect">
                    <a:avLst/>
                  </a:prstGeom>
                  <a:noFill/>
                  <a:ln w="9525">
                    <a:noFill/>
                    <a:miter lim="800000"/>
                    <a:headEnd/>
                    <a:tailEnd/>
                  </a:ln>
                </pic:spPr>
              </pic:pic>
            </a:graphicData>
          </a:graphic>
        </wp:inline>
      </w:drawing>
    </w:r>
  </w:p>
  <w:p w:rsidR="00052B7D" w:rsidRPr="0062031D" w:rsidRDefault="00052B7D" w:rsidP="0062031D">
    <w:pPr>
      <w:ind w:right="-426"/>
      <w:jc w:val="right"/>
      <w:rPr>
        <w:rFonts w:ascii="Arial" w:hAnsi="Arial" w:cs="Arial"/>
        <w:smallCaps/>
        <w:noProof/>
        <w:sz w:val="18"/>
        <w:szCs w:val="18"/>
        <w:lang w:eastAsia="en-AU"/>
      </w:rPr>
    </w:pPr>
    <w:r w:rsidRPr="0062031D">
      <w:rPr>
        <w:rFonts w:ascii="Arial" w:hAnsi="Arial" w:cs="Arial"/>
        <w:smallCaps/>
        <w:noProof/>
        <w:sz w:val="18"/>
        <w:szCs w:val="18"/>
        <w:lang w:eastAsia="en-AU"/>
      </w:rPr>
      <w:t>Minter Ellison Building, 25 National Circuit, Forrest ACT 2603</w:t>
    </w:r>
  </w:p>
  <w:p w:rsidR="00052B7D" w:rsidRPr="0062031D" w:rsidRDefault="00052B7D" w:rsidP="0062031D">
    <w:pPr>
      <w:ind w:right="-426"/>
      <w:jc w:val="right"/>
      <w:rPr>
        <w:rFonts w:ascii="Arial" w:hAnsi="Arial" w:cs="Arial"/>
        <w:smallCaps/>
        <w:noProof/>
        <w:sz w:val="18"/>
        <w:szCs w:val="18"/>
        <w:lang w:eastAsia="en-AU"/>
      </w:rPr>
    </w:pPr>
    <w:r w:rsidRPr="0062031D">
      <w:rPr>
        <w:rFonts w:ascii="Arial" w:hAnsi="Arial" w:cs="Arial"/>
        <w:b/>
        <w:smallCaps/>
        <w:noProof/>
        <w:sz w:val="18"/>
        <w:szCs w:val="18"/>
        <w:lang w:eastAsia="en-AU"/>
      </w:rPr>
      <w:t>P</w:t>
    </w:r>
    <w:r w:rsidRPr="0062031D">
      <w:rPr>
        <w:rFonts w:ascii="Arial" w:hAnsi="Arial" w:cs="Arial"/>
        <w:smallCaps/>
        <w:noProof/>
        <w:sz w:val="18"/>
        <w:szCs w:val="18"/>
        <w:lang w:eastAsia="en-AU"/>
      </w:rPr>
      <w:t xml:space="preserve"> 02 6253 6900 </w:t>
    </w:r>
    <w:r w:rsidRPr="0062031D">
      <w:rPr>
        <w:rFonts w:ascii="Arial" w:hAnsi="Arial" w:cs="Arial"/>
        <w:b/>
        <w:smallCaps/>
        <w:noProof/>
        <w:sz w:val="18"/>
        <w:szCs w:val="18"/>
        <w:lang w:eastAsia="en-AU"/>
      </w:rPr>
      <w:t>F</w:t>
    </w:r>
    <w:r w:rsidRPr="0062031D">
      <w:rPr>
        <w:rFonts w:ascii="Arial" w:hAnsi="Arial" w:cs="Arial"/>
        <w:smallCaps/>
        <w:noProof/>
        <w:sz w:val="18"/>
        <w:szCs w:val="18"/>
        <w:lang w:eastAsia="en-AU"/>
      </w:rPr>
      <w:t xml:space="preserve"> 02 6253 6999 </w:t>
    </w:r>
    <w:r w:rsidRPr="0062031D">
      <w:rPr>
        <w:rFonts w:ascii="Arial" w:hAnsi="Arial" w:cs="Arial"/>
        <w:b/>
        <w:smallCaps/>
        <w:noProof/>
        <w:sz w:val="18"/>
        <w:szCs w:val="18"/>
        <w:lang w:eastAsia="en-AU"/>
      </w:rPr>
      <w:t>E</w:t>
    </w:r>
    <w:r w:rsidRPr="0062031D">
      <w:rPr>
        <w:rFonts w:ascii="Arial" w:hAnsi="Arial" w:cs="Arial"/>
        <w:smallCaps/>
        <w:noProof/>
        <w:sz w:val="18"/>
        <w:szCs w:val="18"/>
        <w:lang w:eastAsia="en-AU"/>
      </w:rPr>
      <w:t xml:space="preserve"> </w:t>
    </w:r>
    <w:r w:rsidRPr="0062031D">
      <w:rPr>
        <w:rFonts w:ascii="Arial" w:hAnsi="Arial" w:cs="Arial"/>
        <w:bCs/>
        <w:smallCaps/>
        <w:noProof/>
        <w:sz w:val="18"/>
        <w:szCs w:val="18"/>
        <w:lang w:eastAsia="en-AU"/>
      </w:rPr>
      <w:t>ata@truck.net.au</w:t>
    </w:r>
    <w:r w:rsidRPr="0062031D">
      <w:rPr>
        <w:rFonts w:ascii="Arial" w:hAnsi="Arial" w:cs="Arial"/>
        <w:b/>
        <w:smallCaps/>
        <w:noProof/>
        <w:sz w:val="18"/>
        <w:szCs w:val="18"/>
        <w:lang w:eastAsia="en-AU"/>
      </w:rPr>
      <w:t xml:space="preserve"> W</w:t>
    </w:r>
    <w:r w:rsidRPr="0062031D">
      <w:rPr>
        <w:rFonts w:ascii="Arial" w:hAnsi="Arial" w:cs="Arial"/>
        <w:smallCaps/>
        <w:noProof/>
        <w:sz w:val="18"/>
        <w:szCs w:val="18"/>
        <w:lang w:eastAsia="en-AU"/>
      </w:rPr>
      <w:t xml:space="preserve"> </w:t>
    </w:r>
    <w:r w:rsidRPr="0062031D">
      <w:rPr>
        <w:rFonts w:ascii="Arial" w:hAnsi="Arial" w:cs="Arial"/>
        <w:bCs/>
        <w:smallCaps/>
        <w:noProof/>
        <w:sz w:val="18"/>
        <w:szCs w:val="18"/>
        <w:lang w:eastAsia="en-AU"/>
      </w:rPr>
      <w:t>www.truck.net.au</w:t>
    </w:r>
  </w:p>
  <w:p w:rsidR="00052B7D" w:rsidRPr="00E8056B" w:rsidRDefault="00052B7D" w:rsidP="0062031D">
    <w:pPr>
      <w:ind w:right="-426"/>
      <w:jc w:val="right"/>
      <w:rPr>
        <w:rFonts w:ascii="Arial" w:hAnsi="Arial" w:cs="Arial"/>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B7D" w:rsidRDefault="00DE3ADC">
    <w:pPr>
      <w:pStyle w:val="Footer"/>
      <w:jc w:val="right"/>
    </w:pPr>
    <w:fldSimple w:instr=" PAGE   \* MERGEFORMAT ">
      <w:r w:rsidR="00052B7D">
        <w:rPr>
          <w:noProof/>
        </w:rPr>
        <w:t>7</w:t>
      </w:r>
    </w:fldSimple>
  </w:p>
  <w:p w:rsidR="00052B7D" w:rsidRDefault="00052B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B7D" w:rsidRDefault="00052B7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B7D" w:rsidRDefault="00052B7D"/>
  <w:tbl>
    <w:tblPr>
      <w:tblW w:w="0" w:type="auto"/>
      <w:tblBorders>
        <w:top w:val="single" w:sz="4" w:space="0" w:color="000000"/>
        <w:insideH w:val="single" w:sz="4" w:space="0" w:color="000000"/>
      </w:tblBorders>
      <w:tblLook w:val="04A0"/>
    </w:tblPr>
    <w:tblGrid>
      <w:gridCol w:w="6062"/>
      <w:gridCol w:w="3792"/>
    </w:tblGrid>
    <w:tr w:rsidR="00052B7D" w:rsidRPr="00A91411" w:rsidTr="002E7874">
      <w:trPr>
        <w:trHeight w:val="278"/>
      </w:trPr>
      <w:tc>
        <w:tcPr>
          <w:tcW w:w="6062" w:type="dxa"/>
          <w:vAlign w:val="center"/>
        </w:tcPr>
        <w:p w:rsidR="00052B7D" w:rsidRPr="00A4116A" w:rsidRDefault="00052B7D" w:rsidP="00FA4F33">
          <w:pPr>
            <w:pStyle w:val="Footer"/>
            <w:rPr>
              <w:rFonts w:ascii="Century Gothic" w:hAnsi="Century Gothic" w:cs="Arial"/>
              <w:sz w:val="12"/>
              <w:szCs w:val="12"/>
            </w:rPr>
          </w:pPr>
          <w:r>
            <w:rPr>
              <w:rFonts w:ascii="Century Gothic" w:hAnsi="Century Gothic" w:cs="Arial"/>
              <w:sz w:val="12"/>
              <w:szCs w:val="12"/>
            </w:rPr>
            <w:t>ATA Submission</w:t>
          </w:r>
          <w:r w:rsidR="00FA4F33">
            <w:rPr>
              <w:rFonts w:ascii="Century Gothic" w:hAnsi="Century Gothic" w:cs="Arial"/>
              <w:sz w:val="12"/>
              <w:szCs w:val="12"/>
            </w:rPr>
            <w:t xml:space="preserve"> on the</w:t>
          </w:r>
          <w:r>
            <w:rPr>
              <w:rFonts w:ascii="Century Gothic" w:hAnsi="Century Gothic" w:cs="Arial"/>
              <w:sz w:val="12"/>
              <w:szCs w:val="12"/>
            </w:rPr>
            <w:t xml:space="preserve"> </w:t>
          </w:r>
          <w:r w:rsidRPr="00A4116A">
            <w:rPr>
              <w:rFonts w:ascii="Century Gothic" w:hAnsi="Century Gothic" w:cs="Arial"/>
              <w:sz w:val="12"/>
              <w:szCs w:val="12"/>
            </w:rPr>
            <w:t>NTC Heavy Vehicle Compliance Review Consultation Draft</w:t>
          </w:r>
          <w:r w:rsidR="00FA4F33">
            <w:rPr>
              <w:rFonts w:ascii="Century Gothic" w:hAnsi="Century Gothic" w:cs="Arial"/>
              <w:sz w:val="12"/>
              <w:szCs w:val="12"/>
            </w:rPr>
            <w:t xml:space="preserve"> </w:t>
          </w:r>
          <w:r w:rsidRPr="00A4116A">
            <w:rPr>
              <w:rFonts w:ascii="Century Gothic" w:hAnsi="Century Gothic" w:cs="Arial"/>
              <w:sz w:val="12"/>
              <w:szCs w:val="12"/>
            </w:rPr>
            <w:t>2013.</w:t>
          </w:r>
        </w:p>
      </w:tc>
      <w:tc>
        <w:tcPr>
          <w:tcW w:w="3792" w:type="dxa"/>
          <w:vAlign w:val="center"/>
        </w:tcPr>
        <w:p w:rsidR="00052B7D" w:rsidRPr="00A91411" w:rsidRDefault="00052B7D" w:rsidP="00D735FF">
          <w:pPr>
            <w:pStyle w:val="Footer"/>
            <w:jc w:val="right"/>
            <w:rPr>
              <w:rFonts w:ascii="Arial" w:hAnsi="Arial" w:cs="Arial"/>
              <w:sz w:val="14"/>
              <w:szCs w:val="14"/>
            </w:rPr>
          </w:pPr>
          <w:r w:rsidRPr="00A91411">
            <w:rPr>
              <w:rFonts w:ascii="Arial" w:hAnsi="Arial" w:cs="Arial"/>
              <w:sz w:val="14"/>
              <w:szCs w:val="14"/>
            </w:rPr>
            <w:t xml:space="preserve">Page </w:t>
          </w:r>
          <w:r w:rsidR="00DE3ADC" w:rsidRPr="00A91411">
            <w:rPr>
              <w:rFonts w:ascii="Arial" w:hAnsi="Arial" w:cs="Arial"/>
              <w:sz w:val="14"/>
              <w:szCs w:val="14"/>
            </w:rPr>
            <w:fldChar w:fldCharType="begin"/>
          </w:r>
          <w:r w:rsidRPr="00A91411">
            <w:rPr>
              <w:rFonts w:ascii="Arial" w:hAnsi="Arial" w:cs="Arial"/>
              <w:sz w:val="14"/>
              <w:szCs w:val="14"/>
            </w:rPr>
            <w:instrText xml:space="preserve"> PAGE   \* MERGEFORMAT </w:instrText>
          </w:r>
          <w:r w:rsidR="00DE3ADC" w:rsidRPr="00A91411">
            <w:rPr>
              <w:rFonts w:ascii="Arial" w:hAnsi="Arial" w:cs="Arial"/>
              <w:sz w:val="14"/>
              <w:szCs w:val="14"/>
            </w:rPr>
            <w:fldChar w:fldCharType="separate"/>
          </w:r>
          <w:r w:rsidR="00A241CF">
            <w:rPr>
              <w:rFonts w:ascii="Arial" w:hAnsi="Arial" w:cs="Arial"/>
              <w:noProof/>
              <w:sz w:val="14"/>
              <w:szCs w:val="14"/>
            </w:rPr>
            <w:t>7</w:t>
          </w:r>
          <w:r w:rsidR="00DE3ADC" w:rsidRPr="00A91411">
            <w:rPr>
              <w:rFonts w:ascii="Arial" w:hAnsi="Arial" w:cs="Arial"/>
              <w:sz w:val="14"/>
              <w:szCs w:val="14"/>
            </w:rPr>
            <w:fldChar w:fldCharType="end"/>
          </w:r>
        </w:p>
      </w:tc>
    </w:tr>
  </w:tbl>
  <w:p w:rsidR="00052B7D" w:rsidRPr="00A91411" w:rsidRDefault="00052B7D">
    <w:pPr>
      <w:rPr>
        <w:sz w:val="4"/>
        <w:szCs w:val="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B7D" w:rsidRDefault="00052B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B7D" w:rsidRDefault="00052B7D" w:rsidP="000F3D9F">
      <w:r>
        <w:separator/>
      </w:r>
    </w:p>
  </w:footnote>
  <w:footnote w:type="continuationSeparator" w:id="0">
    <w:p w:rsidR="00052B7D" w:rsidRDefault="00052B7D" w:rsidP="000F3D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B7D" w:rsidRPr="00E8056B" w:rsidRDefault="00052B7D" w:rsidP="001C3659">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rsidR="00052B7D" w:rsidRDefault="00052B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B7D" w:rsidRDefault="00052B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B7D" w:rsidRDefault="00052B7D" w:rsidP="0062031D">
    <w:pPr>
      <w:pStyle w:val="Header"/>
      <w:rPr>
        <w:rFonts w:ascii="Arial" w:hAnsi="Arial" w:cs="Arial"/>
        <w:color w:val="FF0000"/>
        <w:sz w:val="18"/>
        <w:szCs w:val="18"/>
      </w:rPr>
    </w:pPr>
    <w:r>
      <w:rPr>
        <w:rFonts w:ascii="Arial" w:hAnsi="Arial" w:cs="Arial"/>
        <w:color w:val="000064"/>
        <w:sz w:val="18"/>
        <w:szCs w:val="18"/>
      </w:rPr>
      <w:tab/>
    </w:r>
    <w:r>
      <w:rPr>
        <w:rFonts w:ascii="Arial" w:hAnsi="Arial" w:cs="Arial"/>
        <w:color w:val="000064"/>
        <w:sz w:val="18"/>
        <w:szCs w:val="18"/>
      </w:rPr>
      <w:tab/>
      <w:t xml:space="preserve">   </w:t>
    </w:r>
    <w:r w:rsidRPr="0062031D">
      <w:rPr>
        <w:rFonts w:ascii="Arial" w:hAnsi="Arial" w:cs="Arial"/>
        <w:color w:val="000064"/>
        <w:sz w:val="18"/>
        <w:szCs w:val="18"/>
      </w:rPr>
      <w:t xml:space="preserve">AUSTRALIAN TRUCKING </w:t>
    </w:r>
    <w:r w:rsidRPr="0062031D">
      <w:rPr>
        <w:rFonts w:ascii="Arial" w:hAnsi="Arial" w:cs="Arial"/>
        <w:color w:val="FF0000"/>
        <w:sz w:val="18"/>
        <w:szCs w:val="18"/>
      </w:rPr>
      <w:t>ASSOCIATION</w:t>
    </w:r>
  </w:p>
  <w:p w:rsidR="00052B7D" w:rsidRPr="0062031D" w:rsidRDefault="00052B7D" w:rsidP="0062031D">
    <w:pPr>
      <w:pStyle w:val="Header"/>
      <w:rPr>
        <w:rFonts w:ascii="Arial" w:hAnsi="Arial" w:cs="Arial"/>
        <w:color w:val="000064"/>
        <w:sz w:val="18"/>
        <w:szCs w:val="18"/>
      </w:rPr>
    </w:pPr>
  </w:p>
  <w:p w:rsidR="00052B7D" w:rsidRPr="0062031D" w:rsidRDefault="00052B7D" w:rsidP="0062031D">
    <w:pPr>
      <w:pStyle w:val="Header"/>
      <w:rPr>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B7D" w:rsidRDefault="00052B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35423"/>
    <w:multiLevelType w:val="hybridMultilevel"/>
    <w:tmpl w:val="8968C0E4"/>
    <w:lvl w:ilvl="0" w:tplc="815878FA">
      <w:start w:val="1"/>
      <w:numFmt w:val="decimal"/>
      <w:pStyle w:val="RecommendationStyle"/>
      <w:lvlText w:val="Recommendation %1"/>
      <w:lvlJc w:val="left"/>
      <w:pPr>
        <w:tabs>
          <w:tab w:val="num" w:pos="1192"/>
        </w:tabs>
      </w:pPr>
      <w:rPr>
        <w:rFonts w:ascii="Arial" w:hAnsi="Arial" w:cs="Times New Roman" w:hint="default"/>
        <w:b/>
        <w:i/>
        <w:caps w:val="0"/>
        <w:strike w:val="0"/>
        <w:dstrike w:val="0"/>
        <w:outline w:val="0"/>
        <w:shadow w:val="0"/>
        <w:emboss w:val="0"/>
        <w:imprint w:val="0"/>
        <w:vanish w:val="0"/>
        <w:sz w:val="20"/>
        <w:vertAlign w:val="base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nsid w:val="59031014"/>
    <w:multiLevelType w:val="hybridMultilevel"/>
    <w:tmpl w:val="22346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5D554ED9"/>
    <w:multiLevelType w:val="multilevel"/>
    <w:tmpl w:val="652E1C90"/>
    <w:lvl w:ilvl="0">
      <w:start w:val="1"/>
      <w:numFmt w:val="decimal"/>
      <w:pStyle w:val="Heading1"/>
      <w:lvlText w:val="%1."/>
      <w:lvlJc w:val="left"/>
      <w:pPr>
        <w:ind w:left="360" w:hanging="360"/>
      </w:pPr>
      <w:rPr>
        <w:rFonts w:cs="Times New Roman" w:hint="default"/>
      </w:rPr>
    </w:lvl>
    <w:lvl w:ilvl="1">
      <w:start w:val="1"/>
      <w:numFmt w:val="decimal"/>
      <w:pStyle w:val="ATAHeading2"/>
      <w:lvlText w:val="%1.%2."/>
      <w:lvlJc w:val="left"/>
      <w:pPr>
        <w:ind w:left="792" w:hanging="432"/>
      </w:pPr>
      <w:rPr>
        <w:rFonts w:cs="Times New Roman" w:hint="default"/>
      </w:rPr>
    </w:lvl>
    <w:lvl w:ilvl="2">
      <w:start w:val="1"/>
      <w:numFmt w:val="decimal"/>
      <w:pStyle w:val="ATAHeading3"/>
      <w:lvlText w:val="%1.%2.%3."/>
      <w:lvlJc w:val="left"/>
      <w:pPr>
        <w:ind w:left="1224" w:hanging="504"/>
      </w:pPr>
      <w:rPr>
        <w:rFonts w:cs="Times New Roman" w:hint="default"/>
        <w:b/>
        <w:color w:val="00006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6AB91A83"/>
    <w:multiLevelType w:val="multilevel"/>
    <w:tmpl w:val="6FFA4322"/>
    <w:lvl w:ilvl="0">
      <w:start w:val="4"/>
      <w:numFmt w:val="decimal"/>
      <w:lvlText w:val="%1"/>
      <w:lvlJc w:val="left"/>
      <w:pPr>
        <w:ind w:left="547" w:hanging="40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582" w:hanging="144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942" w:hanging="180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4">
    <w:nsid w:val="76783152"/>
    <w:multiLevelType w:val="multilevel"/>
    <w:tmpl w:val="6FFA4322"/>
    <w:lvl w:ilvl="0">
      <w:start w:val="4"/>
      <w:numFmt w:val="decimal"/>
      <w:lvlText w:val="%1"/>
      <w:lvlJc w:val="left"/>
      <w:pPr>
        <w:ind w:left="547" w:hanging="40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582" w:hanging="144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942" w:hanging="180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num w:numId="1">
    <w:abstractNumId w:val="2"/>
  </w:num>
  <w:num w:numId="2">
    <w:abstractNumId w:val="0"/>
  </w:num>
  <w:num w:numId="3">
    <w:abstractNumId w:val="3"/>
  </w:num>
  <w:num w:numId="4">
    <w:abstractNumId w:val="1"/>
  </w:num>
  <w:num w:numId="5">
    <w:abstractNumId w:val="2"/>
  </w:num>
  <w:num w:numId="6">
    <w:abstractNumId w:val="2"/>
  </w:num>
  <w:num w:numId="7">
    <w:abstractNumId w:val="4"/>
  </w:num>
  <w:num w:numId="8">
    <w:abstractNumId w:val="2"/>
  </w:num>
  <w:num w:numId="9">
    <w:abstractNumId w:val="2"/>
  </w:num>
  <w:num w:numId="10">
    <w:abstractNumId w:val="2"/>
  </w:num>
  <w:num w:numId="11">
    <w:abstractNumId w:val="2"/>
  </w:num>
  <w:num w:numId="12">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savePreviewPicture/>
  <w:hdrShapeDefaults>
    <o:shapedefaults v:ext="edit" spidmax="56321" fillcolor="white">
      <v:fill color="white"/>
    </o:shapedefaults>
  </w:hdrShapeDefaults>
  <w:footnotePr>
    <w:footnote w:id="-1"/>
    <w:footnote w:id="0"/>
  </w:footnotePr>
  <w:endnotePr>
    <w:endnote w:id="-1"/>
    <w:endnote w:id="0"/>
  </w:endnotePr>
  <w:compat/>
  <w:rsids>
    <w:rsidRoot w:val="00C1627A"/>
    <w:rsid w:val="00000A46"/>
    <w:rsid w:val="00001506"/>
    <w:rsid w:val="0000159D"/>
    <w:rsid w:val="00001B71"/>
    <w:rsid w:val="0000338D"/>
    <w:rsid w:val="00003800"/>
    <w:rsid w:val="000043C9"/>
    <w:rsid w:val="00004BA1"/>
    <w:rsid w:val="00004DB4"/>
    <w:rsid w:val="00004DDF"/>
    <w:rsid w:val="00005E0D"/>
    <w:rsid w:val="00007A7E"/>
    <w:rsid w:val="000105C2"/>
    <w:rsid w:val="000118F7"/>
    <w:rsid w:val="00011D52"/>
    <w:rsid w:val="0001233A"/>
    <w:rsid w:val="00012A49"/>
    <w:rsid w:val="00014B23"/>
    <w:rsid w:val="000156D1"/>
    <w:rsid w:val="0001706A"/>
    <w:rsid w:val="000239E8"/>
    <w:rsid w:val="00023B28"/>
    <w:rsid w:val="0002441F"/>
    <w:rsid w:val="00025C3E"/>
    <w:rsid w:val="00026896"/>
    <w:rsid w:val="000300B2"/>
    <w:rsid w:val="0003109A"/>
    <w:rsid w:val="0003309F"/>
    <w:rsid w:val="00034775"/>
    <w:rsid w:val="00034D19"/>
    <w:rsid w:val="00035CFC"/>
    <w:rsid w:val="00035FD9"/>
    <w:rsid w:val="00037274"/>
    <w:rsid w:val="0004076B"/>
    <w:rsid w:val="00040876"/>
    <w:rsid w:val="00040D17"/>
    <w:rsid w:val="00040D26"/>
    <w:rsid w:val="00040D7C"/>
    <w:rsid w:val="0004192B"/>
    <w:rsid w:val="00042012"/>
    <w:rsid w:val="000432A4"/>
    <w:rsid w:val="00043430"/>
    <w:rsid w:val="000434DB"/>
    <w:rsid w:val="00043AF0"/>
    <w:rsid w:val="00044533"/>
    <w:rsid w:val="0004571A"/>
    <w:rsid w:val="000458DC"/>
    <w:rsid w:val="00046042"/>
    <w:rsid w:val="000472F3"/>
    <w:rsid w:val="0004787B"/>
    <w:rsid w:val="00050881"/>
    <w:rsid w:val="00052B7D"/>
    <w:rsid w:val="00052E9C"/>
    <w:rsid w:val="000531E7"/>
    <w:rsid w:val="00056848"/>
    <w:rsid w:val="000614BF"/>
    <w:rsid w:val="000616BD"/>
    <w:rsid w:val="00062009"/>
    <w:rsid w:val="0006283B"/>
    <w:rsid w:val="00065FAD"/>
    <w:rsid w:val="00066C21"/>
    <w:rsid w:val="00072C17"/>
    <w:rsid w:val="00073B1B"/>
    <w:rsid w:val="000749F2"/>
    <w:rsid w:val="00075246"/>
    <w:rsid w:val="0007542B"/>
    <w:rsid w:val="00075E7B"/>
    <w:rsid w:val="000769DC"/>
    <w:rsid w:val="00076C90"/>
    <w:rsid w:val="00083C15"/>
    <w:rsid w:val="000848A1"/>
    <w:rsid w:val="000851E9"/>
    <w:rsid w:val="00086238"/>
    <w:rsid w:val="000868C6"/>
    <w:rsid w:val="00087376"/>
    <w:rsid w:val="000875E7"/>
    <w:rsid w:val="00091928"/>
    <w:rsid w:val="000929B1"/>
    <w:rsid w:val="00092AC5"/>
    <w:rsid w:val="00092C26"/>
    <w:rsid w:val="00095C3B"/>
    <w:rsid w:val="000963BE"/>
    <w:rsid w:val="00097F88"/>
    <w:rsid w:val="000A0B03"/>
    <w:rsid w:val="000A102A"/>
    <w:rsid w:val="000A151F"/>
    <w:rsid w:val="000A2BCF"/>
    <w:rsid w:val="000A3F4E"/>
    <w:rsid w:val="000A4EB0"/>
    <w:rsid w:val="000A62F7"/>
    <w:rsid w:val="000A6643"/>
    <w:rsid w:val="000B01CC"/>
    <w:rsid w:val="000B069A"/>
    <w:rsid w:val="000B20B1"/>
    <w:rsid w:val="000B30E3"/>
    <w:rsid w:val="000B351D"/>
    <w:rsid w:val="000B4161"/>
    <w:rsid w:val="000B4942"/>
    <w:rsid w:val="000B4CE0"/>
    <w:rsid w:val="000B4D6B"/>
    <w:rsid w:val="000B6D2A"/>
    <w:rsid w:val="000B773A"/>
    <w:rsid w:val="000B7D23"/>
    <w:rsid w:val="000C01AC"/>
    <w:rsid w:val="000C076B"/>
    <w:rsid w:val="000C0C35"/>
    <w:rsid w:val="000C15B7"/>
    <w:rsid w:val="000C30F1"/>
    <w:rsid w:val="000C310A"/>
    <w:rsid w:val="000C4F48"/>
    <w:rsid w:val="000C52AA"/>
    <w:rsid w:val="000C58B5"/>
    <w:rsid w:val="000C594D"/>
    <w:rsid w:val="000C65DE"/>
    <w:rsid w:val="000D0FE5"/>
    <w:rsid w:val="000D274C"/>
    <w:rsid w:val="000D2E90"/>
    <w:rsid w:val="000D32D8"/>
    <w:rsid w:val="000D528B"/>
    <w:rsid w:val="000D6071"/>
    <w:rsid w:val="000D6381"/>
    <w:rsid w:val="000D6454"/>
    <w:rsid w:val="000E19D8"/>
    <w:rsid w:val="000E2FCB"/>
    <w:rsid w:val="000E408F"/>
    <w:rsid w:val="000E4E19"/>
    <w:rsid w:val="000E56C3"/>
    <w:rsid w:val="000E67CA"/>
    <w:rsid w:val="000E7B14"/>
    <w:rsid w:val="000F080E"/>
    <w:rsid w:val="000F0F7B"/>
    <w:rsid w:val="000F30FF"/>
    <w:rsid w:val="000F349D"/>
    <w:rsid w:val="000F37D6"/>
    <w:rsid w:val="000F3D9F"/>
    <w:rsid w:val="000F5333"/>
    <w:rsid w:val="000F53C2"/>
    <w:rsid w:val="000F55D3"/>
    <w:rsid w:val="000F566E"/>
    <w:rsid w:val="000F5BB6"/>
    <w:rsid w:val="000F7F6F"/>
    <w:rsid w:val="00100ED4"/>
    <w:rsid w:val="001016E8"/>
    <w:rsid w:val="001019C0"/>
    <w:rsid w:val="00101EAF"/>
    <w:rsid w:val="001025C9"/>
    <w:rsid w:val="001035DE"/>
    <w:rsid w:val="00103F04"/>
    <w:rsid w:val="00104A67"/>
    <w:rsid w:val="00104CC9"/>
    <w:rsid w:val="00104CF7"/>
    <w:rsid w:val="001050F6"/>
    <w:rsid w:val="00105B60"/>
    <w:rsid w:val="00110610"/>
    <w:rsid w:val="0011122B"/>
    <w:rsid w:val="00114378"/>
    <w:rsid w:val="0011706C"/>
    <w:rsid w:val="00117485"/>
    <w:rsid w:val="001202C1"/>
    <w:rsid w:val="00121418"/>
    <w:rsid w:val="00121750"/>
    <w:rsid w:val="00121A53"/>
    <w:rsid w:val="00121A86"/>
    <w:rsid w:val="00125795"/>
    <w:rsid w:val="0013041A"/>
    <w:rsid w:val="00133357"/>
    <w:rsid w:val="00133982"/>
    <w:rsid w:val="00133D58"/>
    <w:rsid w:val="001347B7"/>
    <w:rsid w:val="00134A9F"/>
    <w:rsid w:val="00135930"/>
    <w:rsid w:val="001368EB"/>
    <w:rsid w:val="00136E09"/>
    <w:rsid w:val="0013765E"/>
    <w:rsid w:val="00141274"/>
    <w:rsid w:val="00142A98"/>
    <w:rsid w:val="0014437E"/>
    <w:rsid w:val="00145022"/>
    <w:rsid w:val="001463C2"/>
    <w:rsid w:val="0014683D"/>
    <w:rsid w:val="001475F7"/>
    <w:rsid w:val="00150065"/>
    <w:rsid w:val="0015168F"/>
    <w:rsid w:val="00151950"/>
    <w:rsid w:val="00151F88"/>
    <w:rsid w:val="001526F2"/>
    <w:rsid w:val="00152A71"/>
    <w:rsid w:val="001533EC"/>
    <w:rsid w:val="0015356B"/>
    <w:rsid w:val="00153D10"/>
    <w:rsid w:val="00154B71"/>
    <w:rsid w:val="001555C9"/>
    <w:rsid w:val="00155B97"/>
    <w:rsid w:val="00156060"/>
    <w:rsid w:val="00160C9C"/>
    <w:rsid w:val="00160EE6"/>
    <w:rsid w:val="00160FE3"/>
    <w:rsid w:val="001611AB"/>
    <w:rsid w:val="00161652"/>
    <w:rsid w:val="00163E0B"/>
    <w:rsid w:val="00164A4D"/>
    <w:rsid w:val="00165C3E"/>
    <w:rsid w:val="00170107"/>
    <w:rsid w:val="00170FC2"/>
    <w:rsid w:val="00171288"/>
    <w:rsid w:val="001727E8"/>
    <w:rsid w:val="0017396E"/>
    <w:rsid w:val="001811B8"/>
    <w:rsid w:val="0018136A"/>
    <w:rsid w:val="001817F5"/>
    <w:rsid w:val="00183923"/>
    <w:rsid w:val="00184A28"/>
    <w:rsid w:val="001866C7"/>
    <w:rsid w:val="00191F45"/>
    <w:rsid w:val="001943BE"/>
    <w:rsid w:val="00194DC7"/>
    <w:rsid w:val="0019542E"/>
    <w:rsid w:val="001973D4"/>
    <w:rsid w:val="001A024F"/>
    <w:rsid w:val="001A0DC3"/>
    <w:rsid w:val="001A12D1"/>
    <w:rsid w:val="001A2BE6"/>
    <w:rsid w:val="001A31A2"/>
    <w:rsid w:val="001A33CC"/>
    <w:rsid w:val="001A5FE2"/>
    <w:rsid w:val="001A6510"/>
    <w:rsid w:val="001A7BF4"/>
    <w:rsid w:val="001B2166"/>
    <w:rsid w:val="001B3E52"/>
    <w:rsid w:val="001B429E"/>
    <w:rsid w:val="001B46F6"/>
    <w:rsid w:val="001B5564"/>
    <w:rsid w:val="001B5642"/>
    <w:rsid w:val="001B6B29"/>
    <w:rsid w:val="001B7B44"/>
    <w:rsid w:val="001C0D42"/>
    <w:rsid w:val="001C121B"/>
    <w:rsid w:val="001C125D"/>
    <w:rsid w:val="001C13A5"/>
    <w:rsid w:val="001C150C"/>
    <w:rsid w:val="001C31DF"/>
    <w:rsid w:val="001C3659"/>
    <w:rsid w:val="001C3CBB"/>
    <w:rsid w:val="001C52FE"/>
    <w:rsid w:val="001C6315"/>
    <w:rsid w:val="001D038B"/>
    <w:rsid w:val="001D06D8"/>
    <w:rsid w:val="001D15A1"/>
    <w:rsid w:val="001D1836"/>
    <w:rsid w:val="001D245A"/>
    <w:rsid w:val="001D50C7"/>
    <w:rsid w:val="001D5E47"/>
    <w:rsid w:val="001D77A8"/>
    <w:rsid w:val="001D7817"/>
    <w:rsid w:val="001E090C"/>
    <w:rsid w:val="001E0A75"/>
    <w:rsid w:val="001E1665"/>
    <w:rsid w:val="001E232E"/>
    <w:rsid w:val="001E3126"/>
    <w:rsid w:val="001E4ED1"/>
    <w:rsid w:val="001E7C42"/>
    <w:rsid w:val="001F024C"/>
    <w:rsid w:val="001F0D28"/>
    <w:rsid w:val="001F187C"/>
    <w:rsid w:val="001F28E0"/>
    <w:rsid w:val="001F2FD4"/>
    <w:rsid w:val="001F32AB"/>
    <w:rsid w:val="001F5A9B"/>
    <w:rsid w:val="001F5BCB"/>
    <w:rsid w:val="001F5CDF"/>
    <w:rsid w:val="00202A6B"/>
    <w:rsid w:val="00202D10"/>
    <w:rsid w:val="002041FF"/>
    <w:rsid w:val="00204D63"/>
    <w:rsid w:val="002053C1"/>
    <w:rsid w:val="0020791B"/>
    <w:rsid w:val="0021180A"/>
    <w:rsid w:val="00212465"/>
    <w:rsid w:val="00212936"/>
    <w:rsid w:val="00213C59"/>
    <w:rsid w:val="002158C8"/>
    <w:rsid w:val="00216498"/>
    <w:rsid w:val="0021670E"/>
    <w:rsid w:val="00216CE6"/>
    <w:rsid w:val="00225056"/>
    <w:rsid w:val="0022660F"/>
    <w:rsid w:val="0022661D"/>
    <w:rsid w:val="00230DFC"/>
    <w:rsid w:val="002317DA"/>
    <w:rsid w:val="00232662"/>
    <w:rsid w:val="002327F8"/>
    <w:rsid w:val="00232D2C"/>
    <w:rsid w:val="00233E95"/>
    <w:rsid w:val="00240467"/>
    <w:rsid w:val="00241C15"/>
    <w:rsid w:val="00243126"/>
    <w:rsid w:val="00244543"/>
    <w:rsid w:val="002464FC"/>
    <w:rsid w:val="00246781"/>
    <w:rsid w:val="002502E0"/>
    <w:rsid w:val="002502EF"/>
    <w:rsid w:val="00250971"/>
    <w:rsid w:val="00250E06"/>
    <w:rsid w:val="00251223"/>
    <w:rsid w:val="00252BC1"/>
    <w:rsid w:val="00252BD7"/>
    <w:rsid w:val="0025356A"/>
    <w:rsid w:val="00253E0B"/>
    <w:rsid w:val="002543DF"/>
    <w:rsid w:val="0026196E"/>
    <w:rsid w:val="00262C0A"/>
    <w:rsid w:val="0026303E"/>
    <w:rsid w:val="002634CE"/>
    <w:rsid w:val="002638D3"/>
    <w:rsid w:val="0026396C"/>
    <w:rsid w:val="0026620C"/>
    <w:rsid w:val="00266371"/>
    <w:rsid w:val="00266915"/>
    <w:rsid w:val="00267830"/>
    <w:rsid w:val="00271219"/>
    <w:rsid w:val="00273325"/>
    <w:rsid w:val="002742EF"/>
    <w:rsid w:val="00274BA8"/>
    <w:rsid w:val="002778D3"/>
    <w:rsid w:val="00277F32"/>
    <w:rsid w:val="00280ADB"/>
    <w:rsid w:val="00280EE1"/>
    <w:rsid w:val="0028107D"/>
    <w:rsid w:val="002819AA"/>
    <w:rsid w:val="00281EFE"/>
    <w:rsid w:val="002860E1"/>
    <w:rsid w:val="002864FA"/>
    <w:rsid w:val="00286DB5"/>
    <w:rsid w:val="002875B7"/>
    <w:rsid w:val="00287AC8"/>
    <w:rsid w:val="002924A5"/>
    <w:rsid w:val="0029330A"/>
    <w:rsid w:val="002938EC"/>
    <w:rsid w:val="00294E3C"/>
    <w:rsid w:val="00296633"/>
    <w:rsid w:val="002975A9"/>
    <w:rsid w:val="002A00F5"/>
    <w:rsid w:val="002A010F"/>
    <w:rsid w:val="002A237B"/>
    <w:rsid w:val="002A3550"/>
    <w:rsid w:val="002A43F0"/>
    <w:rsid w:val="002A455A"/>
    <w:rsid w:val="002A4859"/>
    <w:rsid w:val="002A49F7"/>
    <w:rsid w:val="002A6965"/>
    <w:rsid w:val="002B1F61"/>
    <w:rsid w:val="002B2136"/>
    <w:rsid w:val="002B37F7"/>
    <w:rsid w:val="002B381D"/>
    <w:rsid w:val="002B3AEF"/>
    <w:rsid w:val="002B5A13"/>
    <w:rsid w:val="002B5D65"/>
    <w:rsid w:val="002B618E"/>
    <w:rsid w:val="002B67AD"/>
    <w:rsid w:val="002B6CC2"/>
    <w:rsid w:val="002B7CBE"/>
    <w:rsid w:val="002C0C38"/>
    <w:rsid w:val="002C0E70"/>
    <w:rsid w:val="002C1799"/>
    <w:rsid w:val="002C1DF4"/>
    <w:rsid w:val="002C368B"/>
    <w:rsid w:val="002C48B6"/>
    <w:rsid w:val="002C5735"/>
    <w:rsid w:val="002C6C1D"/>
    <w:rsid w:val="002C6E2E"/>
    <w:rsid w:val="002C7BC1"/>
    <w:rsid w:val="002C7D3E"/>
    <w:rsid w:val="002C7FF6"/>
    <w:rsid w:val="002D547F"/>
    <w:rsid w:val="002D592D"/>
    <w:rsid w:val="002D59D7"/>
    <w:rsid w:val="002D5D45"/>
    <w:rsid w:val="002D7B3E"/>
    <w:rsid w:val="002D7FDB"/>
    <w:rsid w:val="002E00C3"/>
    <w:rsid w:val="002E06E3"/>
    <w:rsid w:val="002E2858"/>
    <w:rsid w:val="002E453E"/>
    <w:rsid w:val="002E4E20"/>
    <w:rsid w:val="002E5869"/>
    <w:rsid w:val="002E5D82"/>
    <w:rsid w:val="002E782F"/>
    <w:rsid w:val="002E7874"/>
    <w:rsid w:val="002E7897"/>
    <w:rsid w:val="002E7F28"/>
    <w:rsid w:val="002F0EBE"/>
    <w:rsid w:val="002F19AE"/>
    <w:rsid w:val="002F1E28"/>
    <w:rsid w:val="002F2988"/>
    <w:rsid w:val="002F2F65"/>
    <w:rsid w:val="002F42BE"/>
    <w:rsid w:val="002F4749"/>
    <w:rsid w:val="002F6212"/>
    <w:rsid w:val="002F632C"/>
    <w:rsid w:val="003016C4"/>
    <w:rsid w:val="00303296"/>
    <w:rsid w:val="00304318"/>
    <w:rsid w:val="00304B7E"/>
    <w:rsid w:val="00306FBF"/>
    <w:rsid w:val="00307AF8"/>
    <w:rsid w:val="0031082D"/>
    <w:rsid w:val="00312E98"/>
    <w:rsid w:val="0031301A"/>
    <w:rsid w:val="0031415B"/>
    <w:rsid w:val="00315631"/>
    <w:rsid w:val="003168CE"/>
    <w:rsid w:val="00316988"/>
    <w:rsid w:val="00320AFE"/>
    <w:rsid w:val="00320F07"/>
    <w:rsid w:val="00321A43"/>
    <w:rsid w:val="00322B3A"/>
    <w:rsid w:val="00322BEE"/>
    <w:rsid w:val="0032308F"/>
    <w:rsid w:val="00325A6C"/>
    <w:rsid w:val="00333BA6"/>
    <w:rsid w:val="003340FB"/>
    <w:rsid w:val="003342F8"/>
    <w:rsid w:val="00334926"/>
    <w:rsid w:val="00336760"/>
    <w:rsid w:val="00341FEC"/>
    <w:rsid w:val="00342826"/>
    <w:rsid w:val="0034321B"/>
    <w:rsid w:val="003436C3"/>
    <w:rsid w:val="00344087"/>
    <w:rsid w:val="00352139"/>
    <w:rsid w:val="00352490"/>
    <w:rsid w:val="00352D1D"/>
    <w:rsid w:val="003533CA"/>
    <w:rsid w:val="00354394"/>
    <w:rsid w:val="0035493A"/>
    <w:rsid w:val="00360759"/>
    <w:rsid w:val="00361625"/>
    <w:rsid w:val="003617DE"/>
    <w:rsid w:val="003617DF"/>
    <w:rsid w:val="00361FA0"/>
    <w:rsid w:val="00362070"/>
    <w:rsid w:val="003646FD"/>
    <w:rsid w:val="00372153"/>
    <w:rsid w:val="0037284D"/>
    <w:rsid w:val="00373A1A"/>
    <w:rsid w:val="00373EA0"/>
    <w:rsid w:val="00374216"/>
    <w:rsid w:val="00377CF8"/>
    <w:rsid w:val="00380E64"/>
    <w:rsid w:val="0038103B"/>
    <w:rsid w:val="00383000"/>
    <w:rsid w:val="00384772"/>
    <w:rsid w:val="0038572E"/>
    <w:rsid w:val="00387729"/>
    <w:rsid w:val="0039063B"/>
    <w:rsid w:val="003911E4"/>
    <w:rsid w:val="00392E2D"/>
    <w:rsid w:val="00393903"/>
    <w:rsid w:val="003958D9"/>
    <w:rsid w:val="00397DF2"/>
    <w:rsid w:val="003A01F1"/>
    <w:rsid w:val="003A15F3"/>
    <w:rsid w:val="003A19A5"/>
    <w:rsid w:val="003A2034"/>
    <w:rsid w:val="003A269C"/>
    <w:rsid w:val="003A2A9D"/>
    <w:rsid w:val="003A447E"/>
    <w:rsid w:val="003A4E06"/>
    <w:rsid w:val="003A6A3B"/>
    <w:rsid w:val="003B0AAE"/>
    <w:rsid w:val="003B0E35"/>
    <w:rsid w:val="003B1937"/>
    <w:rsid w:val="003B2293"/>
    <w:rsid w:val="003B6150"/>
    <w:rsid w:val="003B660D"/>
    <w:rsid w:val="003B74E4"/>
    <w:rsid w:val="003C013D"/>
    <w:rsid w:val="003C03EB"/>
    <w:rsid w:val="003C0A0E"/>
    <w:rsid w:val="003C0A77"/>
    <w:rsid w:val="003C1BA1"/>
    <w:rsid w:val="003C2311"/>
    <w:rsid w:val="003C25E9"/>
    <w:rsid w:val="003C5DAD"/>
    <w:rsid w:val="003C628B"/>
    <w:rsid w:val="003C638B"/>
    <w:rsid w:val="003C69D5"/>
    <w:rsid w:val="003C7BEC"/>
    <w:rsid w:val="003D0217"/>
    <w:rsid w:val="003D1E2E"/>
    <w:rsid w:val="003D4283"/>
    <w:rsid w:val="003D5157"/>
    <w:rsid w:val="003D6219"/>
    <w:rsid w:val="003D6FA8"/>
    <w:rsid w:val="003E022B"/>
    <w:rsid w:val="003E269D"/>
    <w:rsid w:val="003E2B20"/>
    <w:rsid w:val="003E6644"/>
    <w:rsid w:val="003F1027"/>
    <w:rsid w:val="003F2222"/>
    <w:rsid w:val="003F43FE"/>
    <w:rsid w:val="003F6CA9"/>
    <w:rsid w:val="003F7CD0"/>
    <w:rsid w:val="0040017D"/>
    <w:rsid w:val="004008C7"/>
    <w:rsid w:val="004011BA"/>
    <w:rsid w:val="0040181A"/>
    <w:rsid w:val="0040200B"/>
    <w:rsid w:val="00402586"/>
    <w:rsid w:val="00403823"/>
    <w:rsid w:val="00403AB5"/>
    <w:rsid w:val="00404731"/>
    <w:rsid w:val="00404CE4"/>
    <w:rsid w:val="004053D4"/>
    <w:rsid w:val="00411503"/>
    <w:rsid w:val="004115B6"/>
    <w:rsid w:val="00411EF2"/>
    <w:rsid w:val="00413868"/>
    <w:rsid w:val="00413F6B"/>
    <w:rsid w:val="00415126"/>
    <w:rsid w:val="00415956"/>
    <w:rsid w:val="004164B0"/>
    <w:rsid w:val="004172AE"/>
    <w:rsid w:val="00417A6F"/>
    <w:rsid w:val="004205EF"/>
    <w:rsid w:val="00421306"/>
    <w:rsid w:val="00422328"/>
    <w:rsid w:val="00422BB7"/>
    <w:rsid w:val="00423CCC"/>
    <w:rsid w:val="00424D3E"/>
    <w:rsid w:val="0042557B"/>
    <w:rsid w:val="0042563A"/>
    <w:rsid w:val="004260B2"/>
    <w:rsid w:val="00426BF8"/>
    <w:rsid w:val="00427671"/>
    <w:rsid w:val="004318DC"/>
    <w:rsid w:val="00433150"/>
    <w:rsid w:val="00433F16"/>
    <w:rsid w:val="004353C2"/>
    <w:rsid w:val="00436726"/>
    <w:rsid w:val="00436DF5"/>
    <w:rsid w:val="00436E04"/>
    <w:rsid w:val="00440231"/>
    <w:rsid w:val="00440F44"/>
    <w:rsid w:val="00442D03"/>
    <w:rsid w:val="00442F21"/>
    <w:rsid w:val="004456CC"/>
    <w:rsid w:val="00445CDC"/>
    <w:rsid w:val="00447187"/>
    <w:rsid w:val="00450702"/>
    <w:rsid w:val="004508F6"/>
    <w:rsid w:val="00450E0A"/>
    <w:rsid w:val="00450E4A"/>
    <w:rsid w:val="00450FF8"/>
    <w:rsid w:val="004533ED"/>
    <w:rsid w:val="004539A5"/>
    <w:rsid w:val="00454DE2"/>
    <w:rsid w:val="004552A2"/>
    <w:rsid w:val="00456D91"/>
    <w:rsid w:val="004615F5"/>
    <w:rsid w:val="00461C8E"/>
    <w:rsid w:val="00461CE9"/>
    <w:rsid w:val="004640D1"/>
    <w:rsid w:val="0046717F"/>
    <w:rsid w:val="00467B00"/>
    <w:rsid w:val="0047036B"/>
    <w:rsid w:val="00470721"/>
    <w:rsid w:val="00470B99"/>
    <w:rsid w:val="0047149D"/>
    <w:rsid w:val="00472115"/>
    <w:rsid w:val="004721B8"/>
    <w:rsid w:val="004731C4"/>
    <w:rsid w:val="00473CC4"/>
    <w:rsid w:val="00475C39"/>
    <w:rsid w:val="0047613C"/>
    <w:rsid w:val="004803E5"/>
    <w:rsid w:val="004809A4"/>
    <w:rsid w:val="00482A22"/>
    <w:rsid w:val="00484068"/>
    <w:rsid w:val="00486626"/>
    <w:rsid w:val="00487311"/>
    <w:rsid w:val="00487D2C"/>
    <w:rsid w:val="00487DB5"/>
    <w:rsid w:val="00487F0F"/>
    <w:rsid w:val="00491A39"/>
    <w:rsid w:val="0049414B"/>
    <w:rsid w:val="004954AA"/>
    <w:rsid w:val="004968C2"/>
    <w:rsid w:val="0049767B"/>
    <w:rsid w:val="004977DE"/>
    <w:rsid w:val="004A2245"/>
    <w:rsid w:val="004A2F6F"/>
    <w:rsid w:val="004A6AAD"/>
    <w:rsid w:val="004A6C22"/>
    <w:rsid w:val="004B10F5"/>
    <w:rsid w:val="004B1A46"/>
    <w:rsid w:val="004B26D5"/>
    <w:rsid w:val="004B26EB"/>
    <w:rsid w:val="004B2700"/>
    <w:rsid w:val="004B2728"/>
    <w:rsid w:val="004B48AF"/>
    <w:rsid w:val="004B4F0B"/>
    <w:rsid w:val="004B4F9E"/>
    <w:rsid w:val="004B50BC"/>
    <w:rsid w:val="004B6187"/>
    <w:rsid w:val="004B7FFA"/>
    <w:rsid w:val="004C0182"/>
    <w:rsid w:val="004C18B7"/>
    <w:rsid w:val="004C21BB"/>
    <w:rsid w:val="004C232C"/>
    <w:rsid w:val="004C2EB3"/>
    <w:rsid w:val="004C37C9"/>
    <w:rsid w:val="004C3CC3"/>
    <w:rsid w:val="004C4418"/>
    <w:rsid w:val="004C625A"/>
    <w:rsid w:val="004C64D9"/>
    <w:rsid w:val="004C6864"/>
    <w:rsid w:val="004C697F"/>
    <w:rsid w:val="004C7910"/>
    <w:rsid w:val="004D43D2"/>
    <w:rsid w:val="004D4656"/>
    <w:rsid w:val="004D652E"/>
    <w:rsid w:val="004D6AB5"/>
    <w:rsid w:val="004D6FA3"/>
    <w:rsid w:val="004E0529"/>
    <w:rsid w:val="004E0A50"/>
    <w:rsid w:val="004E0CAD"/>
    <w:rsid w:val="004E1EBB"/>
    <w:rsid w:val="004E3959"/>
    <w:rsid w:val="004E5EA3"/>
    <w:rsid w:val="004E66FE"/>
    <w:rsid w:val="004E7F7D"/>
    <w:rsid w:val="004F0DFD"/>
    <w:rsid w:val="004F112A"/>
    <w:rsid w:val="004F1B89"/>
    <w:rsid w:val="004F319D"/>
    <w:rsid w:val="004F3B07"/>
    <w:rsid w:val="004F42DC"/>
    <w:rsid w:val="004F6CE4"/>
    <w:rsid w:val="004F7B1D"/>
    <w:rsid w:val="00500BCA"/>
    <w:rsid w:val="00502FF7"/>
    <w:rsid w:val="005030E2"/>
    <w:rsid w:val="00503B45"/>
    <w:rsid w:val="0050428E"/>
    <w:rsid w:val="00505D79"/>
    <w:rsid w:val="00510952"/>
    <w:rsid w:val="00511253"/>
    <w:rsid w:val="00512224"/>
    <w:rsid w:val="00516452"/>
    <w:rsid w:val="00520DF3"/>
    <w:rsid w:val="005223FD"/>
    <w:rsid w:val="00522675"/>
    <w:rsid w:val="00522C6F"/>
    <w:rsid w:val="00523FC2"/>
    <w:rsid w:val="00525303"/>
    <w:rsid w:val="00527304"/>
    <w:rsid w:val="00527EE6"/>
    <w:rsid w:val="0053137B"/>
    <w:rsid w:val="005325D0"/>
    <w:rsid w:val="00532BFB"/>
    <w:rsid w:val="00533145"/>
    <w:rsid w:val="00534769"/>
    <w:rsid w:val="0053619E"/>
    <w:rsid w:val="005365E0"/>
    <w:rsid w:val="005373CA"/>
    <w:rsid w:val="0054033D"/>
    <w:rsid w:val="005408E8"/>
    <w:rsid w:val="00540F9A"/>
    <w:rsid w:val="00542479"/>
    <w:rsid w:val="0054291B"/>
    <w:rsid w:val="00542DE9"/>
    <w:rsid w:val="00544362"/>
    <w:rsid w:val="005458FD"/>
    <w:rsid w:val="005468AF"/>
    <w:rsid w:val="00547CA9"/>
    <w:rsid w:val="00550256"/>
    <w:rsid w:val="00553F1C"/>
    <w:rsid w:val="00557D15"/>
    <w:rsid w:val="00560034"/>
    <w:rsid w:val="00560171"/>
    <w:rsid w:val="00560863"/>
    <w:rsid w:val="00560BE3"/>
    <w:rsid w:val="00560F36"/>
    <w:rsid w:val="0056179B"/>
    <w:rsid w:val="005632C6"/>
    <w:rsid w:val="0056448B"/>
    <w:rsid w:val="00565F92"/>
    <w:rsid w:val="0056736D"/>
    <w:rsid w:val="0056783B"/>
    <w:rsid w:val="00567D64"/>
    <w:rsid w:val="00567EF1"/>
    <w:rsid w:val="005706EE"/>
    <w:rsid w:val="00571E75"/>
    <w:rsid w:val="00572ACE"/>
    <w:rsid w:val="00573408"/>
    <w:rsid w:val="00573E0F"/>
    <w:rsid w:val="00574408"/>
    <w:rsid w:val="005749D7"/>
    <w:rsid w:val="0057679B"/>
    <w:rsid w:val="00576ED0"/>
    <w:rsid w:val="00576F0D"/>
    <w:rsid w:val="00580BDF"/>
    <w:rsid w:val="00583EC7"/>
    <w:rsid w:val="00586C72"/>
    <w:rsid w:val="00587C8F"/>
    <w:rsid w:val="005926C7"/>
    <w:rsid w:val="00593217"/>
    <w:rsid w:val="0059367E"/>
    <w:rsid w:val="0059499A"/>
    <w:rsid w:val="0059565B"/>
    <w:rsid w:val="005959F9"/>
    <w:rsid w:val="005A0D15"/>
    <w:rsid w:val="005A18D7"/>
    <w:rsid w:val="005A2A86"/>
    <w:rsid w:val="005A4466"/>
    <w:rsid w:val="005A492A"/>
    <w:rsid w:val="005A540F"/>
    <w:rsid w:val="005A6891"/>
    <w:rsid w:val="005B0B2F"/>
    <w:rsid w:val="005B13C4"/>
    <w:rsid w:val="005B154A"/>
    <w:rsid w:val="005B315F"/>
    <w:rsid w:val="005B3729"/>
    <w:rsid w:val="005B5ADE"/>
    <w:rsid w:val="005B65E8"/>
    <w:rsid w:val="005B695D"/>
    <w:rsid w:val="005C069F"/>
    <w:rsid w:val="005C154E"/>
    <w:rsid w:val="005C31A0"/>
    <w:rsid w:val="005C35BE"/>
    <w:rsid w:val="005C4952"/>
    <w:rsid w:val="005C5505"/>
    <w:rsid w:val="005C5A9C"/>
    <w:rsid w:val="005C63F7"/>
    <w:rsid w:val="005C74C9"/>
    <w:rsid w:val="005D0EE2"/>
    <w:rsid w:val="005D2355"/>
    <w:rsid w:val="005D2565"/>
    <w:rsid w:val="005D39B2"/>
    <w:rsid w:val="005D4CE8"/>
    <w:rsid w:val="005D6CD2"/>
    <w:rsid w:val="005D6E23"/>
    <w:rsid w:val="005D7362"/>
    <w:rsid w:val="005E05E3"/>
    <w:rsid w:val="005E11FC"/>
    <w:rsid w:val="005E16F9"/>
    <w:rsid w:val="005E28FB"/>
    <w:rsid w:val="005E5130"/>
    <w:rsid w:val="005E5EC7"/>
    <w:rsid w:val="005E6294"/>
    <w:rsid w:val="005E6D8B"/>
    <w:rsid w:val="005F1009"/>
    <w:rsid w:val="005F1298"/>
    <w:rsid w:val="005F1970"/>
    <w:rsid w:val="005F1DE0"/>
    <w:rsid w:val="005F21D1"/>
    <w:rsid w:val="005F337F"/>
    <w:rsid w:val="005F3A0E"/>
    <w:rsid w:val="005F5ACC"/>
    <w:rsid w:val="005F5C68"/>
    <w:rsid w:val="005F61C6"/>
    <w:rsid w:val="005F6288"/>
    <w:rsid w:val="005F69CC"/>
    <w:rsid w:val="005F76B2"/>
    <w:rsid w:val="00605DDD"/>
    <w:rsid w:val="00605E06"/>
    <w:rsid w:val="00607663"/>
    <w:rsid w:val="006104D6"/>
    <w:rsid w:val="006109E9"/>
    <w:rsid w:val="00610CFE"/>
    <w:rsid w:val="00611D57"/>
    <w:rsid w:val="00613278"/>
    <w:rsid w:val="00614B75"/>
    <w:rsid w:val="00615252"/>
    <w:rsid w:val="006158A4"/>
    <w:rsid w:val="00615D59"/>
    <w:rsid w:val="00615E95"/>
    <w:rsid w:val="006178A6"/>
    <w:rsid w:val="00617B32"/>
    <w:rsid w:val="0062031D"/>
    <w:rsid w:val="006231E7"/>
    <w:rsid w:val="0062389F"/>
    <w:rsid w:val="006244DA"/>
    <w:rsid w:val="0062473C"/>
    <w:rsid w:val="00625B25"/>
    <w:rsid w:val="0062690C"/>
    <w:rsid w:val="006318AE"/>
    <w:rsid w:val="0063416A"/>
    <w:rsid w:val="00634850"/>
    <w:rsid w:val="0063582D"/>
    <w:rsid w:val="00635D66"/>
    <w:rsid w:val="00640940"/>
    <w:rsid w:val="00640AF8"/>
    <w:rsid w:val="00640DAD"/>
    <w:rsid w:val="00640F10"/>
    <w:rsid w:val="0064190A"/>
    <w:rsid w:val="00642DBA"/>
    <w:rsid w:val="00644C5A"/>
    <w:rsid w:val="00645592"/>
    <w:rsid w:val="00645DBB"/>
    <w:rsid w:val="00650891"/>
    <w:rsid w:val="006510E4"/>
    <w:rsid w:val="006603C1"/>
    <w:rsid w:val="00662536"/>
    <w:rsid w:val="006638B0"/>
    <w:rsid w:val="006663BD"/>
    <w:rsid w:val="00667677"/>
    <w:rsid w:val="00667D85"/>
    <w:rsid w:val="00670210"/>
    <w:rsid w:val="006724CC"/>
    <w:rsid w:val="00674463"/>
    <w:rsid w:val="006774CB"/>
    <w:rsid w:val="0068391C"/>
    <w:rsid w:val="00683D7C"/>
    <w:rsid w:val="006859F7"/>
    <w:rsid w:val="0069019B"/>
    <w:rsid w:val="006902E7"/>
    <w:rsid w:val="00690C7A"/>
    <w:rsid w:val="00690DC1"/>
    <w:rsid w:val="00693363"/>
    <w:rsid w:val="00693D92"/>
    <w:rsid w:val="0069476D"/>
    <w:rsid w:val="0069518F"/>
    <w:rsid w:val="00695CCF"/>
    <w:rsid w:val="00696A94"/>
    <w:rsid w:val="00697A4F"/>
    <w:rsid w:val="006A14C7"/>
    <w:rsid w:val="006A386A"/>
    <w:rsid w:val="006A41AF"/>
    <w:rsid w:val="006A5E3E"/>
    <w:rsid w:val="006A797E"/>
    <w:rsid w:val="006B36DA"/>
    <w:rsid w:val="006B4380"/>
    <w:rsid w:val="006B7D84"/>
    <w:rsid w:val="006C1B88"/>
    <w:rsid w:val="006C38AD"/>
    <w:rsid w:val="006C4505"/>
    <w:rsid w:val="006C59B7"/>
    <w:rsid w:val="006C5B58"/>
    <w:rsid w:val="006C6B74"/>
    <w:rsid w:val="006C7D29"/>
    <w:rsid w:val="006D0544"/>
    <w:rsid w:val="006D09EF"/>
    <w:rsid w:val="006D4284"/>
    <w:rsid w:val="006D4840"/>
    <w:rsid w:val="006D4B39"/>
    <w:rsid w:val="006D4D41"/>
    <w:rsid w:val="006D5684"/>
    <w:rsid w:val="006D5862"/>
    <w:rsid w:val="006E0ECA"/>
    <w:rsid w:val="006E1CDB"/>
    <w:rsid w:val="006E35F7"/>
    <w:rsid w:val="006E6527"/>
    <w:rsid w:val="006E6A18"/>
    <w:rsid w:val="006E79B4"/>
    <w:rsid w:val="006F050F"/>
    <w:rsid w:val="006F2940"/>
    <w:rsid w:val="006F2CC8"/>
    <w:rsid w:val="006F3537"/>
    <w:rsid w:val="006F3F1B"/>
    <w:rsid w:val="006F513F"/>
    <w:rsid w:val="007005CD"/>
    <w:rsid w:val="00703EBF"/>
    <w:rsid w:val="007055B2"/>
    <w:rsid w:val="00712ED5"/>
    <w:rsid w:val="00715B8C"/>
    <w:rsid w:val="007162A5"/>
    <w:rsid w:val="00716E35"/>
    <w:rsid w:val="0071762D"/>
    <w:rsid w:val="00722A50"/>
    <w:rsid w:val="0072344C"/>
    <w:rsid w:val="00725BC0"/>
    <w:rsid w:val="00726797"/>
    <w:rsid w:val="00726CB4"/>
    <w:rsid w:val="00727A8E"/>
    <w:rsid w:val="00730A6A"/>
    <w:rsid w:val="00733700"/>
    <w:rsid w:val="007360B9"/>
    <w:rsid w:val="00737AB9"/>
    <w:rsid w:val="00737FA4"/>
    <w:rsid w:val="00740005"/>
    <w:rsid w:val="0074020C"/>
    <w:rsid w:val="00740422"/>
    <w:rsid w:val="00740DF8"/>
    <w:rsid w:val="007471C7"/>
    <w:rsid w:val="00750F7C"/>
    <w:rsid w:val="007527B8"/>
    <w:rsid w:val="00753381"/>
    <w:rsid w:val="00753AFC"/>
    <w:rsid w:val="0075427A"/>
    <w:rsid w:val="00754D1A"/>
    <w:rsid w:val="00761000"/>
    <w:rsid w:val="007614D3"/>
    <w:rsid w:val="00762B13"/>
    <w:rsid w:val="0076304F"/>
    <w:rsid w:val="0076396D"/>
    <w:rsid w:val="00763DA1"/>
    <w:rsid w:val="00764BCB"/>
    <w:rsid w:val="007665C1"/>
    <w:rsid w:val="00766966"/>
    <w:rsid w:val="0077046D"/>
    <w:rsid w:val="00773899"/>
    <w:rsid w:val="0077570F"/>
    <w:rsid w:val="00781CD3"/>
    <w:rsid w:val="00784B86"/>
    <w:rsid w:val="00791216"/>
    <w:rsid w:val="00792CEB"/>
    <w:rsid w:val="00797654"/>
    <w:rsid w:val="00797D39"/>
    <w:rsid w:val="007A05B7"/>
    <w:rsid w:val="007A3332"/>
    <w:rsid w:val="007A3E56"/>
    <w:rsid w:val="007A5771"/>
    <w:rsid w:val="007A69C1"/>
    <w:rsid w:val="007B139E"/>
    <w:rsid w:val="007B2559"/>
    <w:rsid w:val="007B3B54"/>
    <w:rsid w:val="007B3BE2"/>
    <w:rsid w:val="007B5566"/>
    <w:rsid w:val="007B6A76"/>
    <w:rsid w:val="007B711A"/>
    <w:rsid w:val="007C1DEC"/>
    <w:rsid w:val="007C3F49"/>
    <w:rsid w:val="007C434F"/>
    <w:rsid w:val="007C5B64"/>
    <w:rsid w:val="007C5EFC"/>
    <w:rsid w:val="007C65D4"/>
    <w:rsid w:val="007C6885"/>
    <w:rsid w:val="007C6F7F"/>
    <w:rsid w:val="007C76E0"/>
    <w:rsid w:val="007C7ED1"/>
    <w:rsid w:val="007D0647"/>
    <w:rsid w:val="007D0E21"/>
    <w:rsid w:val="007D14F3"/>
    <w:rsid w:val="007D2AC1"/>
    <w:rsid w:val="007D532E"/>
    <w:rsid w:val="007D5A35"/>
    <w:rsid w:val="007D608A"/>
    <w:rsid w:val="007D7069"/>
    <w:rsid w:val="007E023E"/>
    <w:rsid w:val="007E0F70"/>
    <w:rsid w:val="007E257F"/>
    <w:rsid w:val="007E3D0A"/>
    <w:rsid w:val="007E47AA"/>
    <w:rsid w:val="007E68E9"/>
    <w:rsid w:val="007F07CA"/>
    <w:rsid w:val="007F1CDA"/>
    <w:rsid w:val="007F4404"/>
    <w:rsid w:val="007F44BE"/>
    <w:rsid w:val="007F4C48"/>
    <w:rsid w:val="007F55CB"/>
    <w:rsid w:val="00802108"/>
    <w:rsid w:val="008021B1"/>
    <w:rsid w:val="0080262C"/>
    <w:rsid w:val="0080265C"/>
    <w:rsid w:val="00802A51"/>
    <w:rsid w:val="00802CA7"/>
    <w:rsid w:val="00804BE3"/>
    <w:rsid w:val="00806377"/>
    <w:rsid w:val="00806EFF"/>
    <w:rsid w:val="0081147F"/>
    <w:rsid w:val="00812355"/>
    <w:rsid w:val="00812AAD"/>
    <w:rsid w:val="00815207"/>
    <w:rsid w:val="00815EF0"/>
    <w:rsid w:val="0082056F"/>
    <w:rsid w:val="00821537"/>
    <w:rsid w:val="00825C08"/>
    <w:rsid w:val="00826A1C"/>
    <w:rsid w:val="008277CF"/>
    <w:rsid w:val="0083058C"/>
    <w:rsid w:val="00831C4F"/>
    <w:rsid w:val="0083363C"/>
    <w:rsid w:val="008344FF"/>
    <w:rsid w:val="00834ACA"/>
    <w:rsid w:val="00834B1C"/>
    <w:rsid w:val="00835053"/>
    <w:rsid w:val="00835688"/>
    <w:rsid w:val="00835DE7"/>
    <w:rsid w:val="00836304"/>
    <w:rsid w:val="0083631A"/>
    <w:rsid w:val="00840444"/>
    <w:rsid w:val="00840E08"/>
    <w:rsid w:val="0084540A"/>
    <w:rsid w:val="00845838"/>
    <w:rsid w:val="0084586A"/>
    <w:rsid w:val="0084591A"/>
    <w:rsid w:val="00846097"/>
    <w:rsid w:val="00846F61"/>
    <w:rsid w:val="008474A2"/>
    <w:rsid w:val="00847534"/>
    <w:rsid w:val="0084761D"/>
    <w:rsid w:val="00850F11"/>
    <w:rsid w:val="00852A83"/>
    <w:rsid w:val="00852CAE"/>
    <w:rsid w:val="00853473"/>
    <w:rsid w:val="00853A52"/>
    <w:rsid w:val="00853E1F"/>
    <w:rsid w:val="008549DA"/>
    <w:rsid w:val="00854D3E"/>
    <w:rsid w:val="00854F65"/>
    <w:rsid w:val="00855C2C"/>
    <w:rsid w:val="008573F3"/>
    <w:rsid w:val="00861A4C"/>
    <w:rsid w:val="00861D20"/>
    <w:rsid w:val="00865478"/>
    <w:rsid w:val="00865F30"/>
    <w:rsid w:val="00866871"/>
    <w:rsid w:val="00872E19"/>
    <w:rsid w:val="00874776"/>
    <w:rsid w:val="00874AAE"/>
    <w:rsid w:val="00875181"/>
    <w:rsid w:val="00875BF1"/>
    <w:rsid w:val="00875E89"/>
    <w:rsid w:val="0087652D"/>
    <w:rsid w:val="00877FD8"/>
    <w:rsid w:val="00881A97"/>
    <w:rsid w:val="00883C26"/>
    <w:rsid w:val="0088407D"/>
    <w:rsid w:val="00884124"/>
    <w:rsid w:val="00884504"/>
    <w:rsid w:val="00885F8A"/>
    <w:rsid w:val="008879D4"/>
    <w:rsid w:val="00890346"/>
    <w:rsid w:val="00890C68"/>
    <w:rsid w:val="00891979"/>
    <w:rsid w:val="00893202"/>
    <w:rsid w:val="0089433D"/>
    <w:rsid w:val="008A2027"/>
    <w:rsid w:val="008A2CD6"/>
    <w:rsid w:val="008A343E"/>
    <w:rsid w:val="008A4054"/>
    <w:rsid w:val="008A5088"/>
    <w:rsid w:val="008A5590"/>
    <w:rsid w:val="008A58A6"/>
    <w:rsid w:val="008A61F2"/>
    <w:rsid w:val="008A7C6F"/>
    <w:rsid w:val="008B033B"/>
    <w:rsid w:val="008B0A07"/>
    <w:rsid w:val="008B0D6E"/>
    <w:rsid w:val="008B0EEF"/>
    <w:rsid w:val="008B20CD"/>
    <w:rsid w:val="008B2617"/>
    <w:rsid w:val="008B4328"/>
    <w:rsid w:val="008B4B63"/>
    <w:rsid w:val="008B5529"/>
    <w:rsid w:val="008B64B5"/>
    <w:rsid w:val="008B72CA"/>
    <w:rsid w:val="008B7312"/>
    <w:rsid w:val="008B797D"/>
    <w:rsid w:val="008B7AD6"/>
    <w:rsid w:val="008B7F9F"/>
    <w:rsid w:val="008C1769"/>
    <w:rsid w:val="008C1818"/>
    <w:rsid w:val="008C1A63"/>
    <w:rsid w:val="008C28BE"/>
    <w:rsid w:val="008C2E84"/>
    <w:rsid w:val="008C3057"/>
    <w:rsid w:val="008C38B7"/>
    <w:rsid w:val="008C3EF1"/>
    <w:rsid w:val="008C41FB"/>
    <w:rsid w:val="008C51BD"/>
    <w:rsid w:val="008C5E09"/>
    <w:rsid w:val="008C5EA2"/>
    <w:rsid w:val="008C6DD8"/>
    <w:rsid w:val="008D11A2"/>
    <w:rsid w:val="008D5426"/>
    <w:rsid w:val="008D735B"/>
    <w:rsid w:val="008D7D31"/>
    <w:rsid w:val="008E1721"/>
    <w:rsid w:val="008E21B3"/>
    <w:rsid w:val="008E33E5"/>
    <w:rsid w:val="008E3865"/>
    <w:rsid w:val="008E3CD2"/>
    <w:rsid w:val="008E3D9E"/>
    <w:rsid w:val="008E559B"/>
    <w:rsid w:val="008E55FF"/>
    <w:rsid w:val="008F11A3"/>
    <w:rsid w:val="008F17AC"/>
    <w:rsid w:val="008F23FF"/>
    <w:rsid w:val="008F3744"/>
    <w:rsid w:val="008F7D15"/>
    <w:rsid w:val="008F7F78"/>
    <w:rsid w:val="0090183B"/>
    <w:rsid w:val="00902544"/>
    <w:rsid w:val="0090425B"/>
    <w:rsid w:val="00905A43"/>
    <w:rsid w:val="00905C0A"/>
    <w:rsid w:val="00907060"/>
    <w:rsid w:val="00907274"/>
    <w:rsid w:val="00907971"/>
    <w:rsid w:val="00907FDC"/>
    <w:rsid w:val="0091088A"/>
    <w:rsid w:val="00910C5A"/>
    <w:rsid w:val="009132E3"/>
    <w:rsid w:val="009148AC"/>
    <w:rsid w:val="00914C1D"/>
    <w:rsid w:val="00916699"/>
    <w:rsid w:val="00920C5D"/>
    <w:rsid w:val="00921B83"/>
    <w:rsid w:val="00922B6C"/>
    <w:rsid w:val="00924C31"/>
    <w:rsid w:val="00927553"/>
    <w:rsid w:val="00930A96"/>
    <w:rsid w:val="009333F1"/>
    <w:rsid w:val="00934CC8"/>
    <w:rsid w:val="0093720E"/>
    <w:rsid w:val="009374BF"/>
    <w:rsid w:val="00937832"/>
    <w:rsid w:val="009378E3"/>
    <w:rsid w:val="00940849"/>
    <w:rsid w:val="00940D05"/>
    <w:rsid w:val="00941F1D"/>
    <w:rsid w:val="00942F8B"/>
    <w:rsid w:val="00943829"/>
    <w:rsid w:val="009441ED"/>
    <w:rsid w:val="00944508"/>
    <w:rsid w:val="00945910"/>
    <w:rsid w:val="0094622B"/>
    <w:rsid w:val="00946E17"/>
    <w:rsid w:val="00953239"/>
    <w:rsid w:val="009542C8"/>
    <w:rsid w:val="009556F7"/>
    <w:rsid w:val="00955AD3"/>
    <w:rsid w:val="0095617C"/>
    <w:rsid w:val="0095678A"/>
    <w:rsid w:val="00960FE0"/>
    <w:rsid w:val="00961BC6"/>
    <w:rsid w:val="00962C8B"/>
    <w:rsid w:val="00963193"/>
    <w:rsid w:val="00964194"/>
    <w:rsid w:val="00964D25"/>
    <w:rsid w:val="0096507D"/>
    <w:rsid w:val="00966A2E"/>
    <w:rsid w:val="00966E35"/>
    <w:rsid w:val="009671C8"/>
    <w:rsid w:val="009738D6"/>
    <w:rsid w:val="00973AF4"/>
    <w:rsid w:val="00973FB5"/>
    <w:rsid w:val="009758D8"/>
    <w:rsid w:val="00977A52"/>
    <w:rsid w:val="0098041E"/>
    <w:rsid w:val="00980834"/>
    <w:rsid w:val="00981B3D"/>
    <w:rsid w:val="00982072"/>
    <w:rsid w:val="00983694"/>
    <w:rsid w:val="0098446C"/>
    <w:rsid w:val="0098465E"/>
    <w:rsid w:val="0098674A"/>
    <w:rsid w:val="00986804"/>
    <w:rsid w:val="00990F9E"/>
    <w:rsid w:val="00992BD3"/>
    <w:rsid w:val="00993829"/>
    <w:rsid w:val="00993BAE"/>
    <w:rsid w:val="00994A94"/>
    <w:rsid w:val="0099546D"/>
    <w:rsid w:val="009960F9"/>
    <w:rsid w:val="0099770C"/>
    <w:rsid w:val="00997A56"/>
    <w:rsid w:val="009A2BB4"/>
    <w:rsid w:val="009A3853"/>
    <w:rsid w:val="009A4913"/>
    <w:rsid w:val="009A51E7"/>
    <w:rsid w:val="009A690F"/>
    <w:rsid w:val="009B029F"/>
    <w:rsid w:val="009B0520"/>
    <w:rsid w:val="009B09CB"/>
    <w:rsid w:val="009B19FF"/>
    <w:rsid w:val="009B4220"/>
    <w:rsid w:val="009B5BAB"/>
    <w:rsid w:val="009B785D"/>
    <w:rsid w:val="009C2A3C"/>
    <w:rsid w:val="009C3057"/>
    <w:rsid w:val="009C3D48"/>
    <w:rsid w:val="009C3F40"/>
    <w:rsid w:val="009C4561"/>
    <w:rsid w:val="009C4CAC"/>
    <w:rsid w:val="009C5490"/>
    <w:rsid w:val="009C5B73"/>
    <w:rsid w:val="009C5B87"/>
    <w:rsid w:val="009C5CA8"/>
    <w:rsid w:val="009C69D2"/>
    <w:rsid w:val="009C7A2A"/>
    <w:rsid w:val="009D07EF"/>
    <w:rsid w:val="009D23E9"/>
    <w:rsid w:val="009D2536"/>
    <w:rsid w:val="009D2BC0"/>
    <w:rsid w:val="009D2F28"/>
    <w:rsid w:val="009D31C9"/>
    <w:rsid w:val="009D327F"/>
    <w:rsid w:val="009D3731"/>
    <w:rsid w:val="009D56D7"/>
    <w:rsid w:val="009D58DA"/>
    <w:rsid w:val="009D6502"/>
    <w:rsid w:val="009D7F5D"/>
    <w:rsid w:val="009E0F78"/>
    <w:rsid w:val="009E182E"/>
    <w:rsid w:val="009E41D3"/>
    <w:rsid w:val="009E58E4"/>
    <w:rsid w:val="009E5E25"/>
    <w:rsid w:val="009E5F50"/>
    <w:rsid w:val="009E6708"/>
    <w:rsid w:val="009E77F2"/>
    <w:rsid w:val="009F0579"/>
    <w:rsid w:val="009F2A26"/>
    <w:rsid w:val="009F2F22"/>
    <w:rsid w:val="009F2FF9"/>
    <w:rsid w:val="009F3DF5"/>
    <w:rsid w:val="009F41CA"/>
    <w:rsid w:val="009F4851"/>
    <w:rsid w:val="009F6BC4"/>
    <w:rsid w:val="00A0022A"/>
    <w:rsid w:val="00A00B28"/>
    <w:rsid w:val="00A0156A"/>
    <w:rsid w:val="00A02972"/>
    <w:rsid w:val="00A02A7B"/>
    <w:rsid w:val="00A0493F"/>
    <w:rsid w:val="00A05C28"/>
    <w:rsid w:val="00A06C96"/>
    <w:rsid w:val="00A072AE"/>
    <w:rsid w:val="00A10889"/>
    <w:rsid w:val="00A109D4"/>
    <w:rsid w:val="00A12126"/>
    <w:rsid w:val="00A12D70"/>
    <w:rsid w:val="00A1430A"/>
    <w:rsid w:val="00A15D7C"/>
    <w:rsid w:val="00A16656"/>
    <w:rsid w:val="00A2117E"/>
    <w:rsid w:val="00A21B50"/>
    <w:rsid w:val="00A22088"/>
    <w:rsid w:val="00A2215A"/>
    <w:rsid w:val="00A2275D"/>
    <w:rsid w:val="00A22E6A"/>
    <w:rsid w:val="00A22F48"/>
    <w:rsid w:val="00A241CF"/>
    <w:rsid w:val="00A25309"/>
    <w:rsid w:val="00A25569"/>
    <w:rsid w:val="00A25AA9"/>
    <w:rsid w:val="00A25AFB"/>
    <w:rsid w:val="00A26569"/>
    <w:rsid w:val="00A300E2"/>
    <w:rsid w:val="00A31C8A"/>
    <w:rsid w:val="00A32495"/>
    <w:rsid w:val="00A3483B"/>
    <w:rsid w:val="00A35739"/>
    <w:rsid w:val="00A36B6F"/>
    <w:rsid w:val="00A36C35"/>
    <w:rsid w:val="00A37A93"/>
    <w:rsid w:val="00A4116A"/>
    <w:rsid w:val="00A438B7"/>
    <w:rsid w:val="00A44995"/>
    <w:rsid w:val="00A44D65"/>
    <w:rsid w:val="00A45F83"/>
    <w:rsid w:val="00A463BE"/>
    <w:rsid w:val="00A47635"/>
    <w:rsid w:val="00A479B3"/>
    <w:rsid w:val="00A47EAA"/>
    <w:rsid w:val="00A5168E"/>
    <w:rsid w:val="00A51C30"/>
    <w:rsid w:val="00A5361C"/>
    <w:rsid w:val="00A541CE"/>
    <w:rsid w:val="00A54248"/>
    <w:rsid w:val="00A5704A"/>
    <w:rsid w:val="00A57D2F"/>
    <w:rsid w:val="00A60278"/>
    <w:rsid w:val="00A60423"/>
    <w:rsid w:val="00A60B87"/>
    <w:rsid w:val="00A61231"/>
    <w:rsid w:val="00A6297F"/>
    <w:rsid w:val="00A65515"/>
    <w:rsid w:val="00A65B93"/>
    <w:rsid w:val="00A700D8"/>
    <w:rsid w:val="00A71876"/>
    <w:rsid w:val="00A73361"/>
    <w:rsid w:val="00A745B6"/>
    <w:rsid w:val="00A75A39"/>
    <w:rsid w:val="00A76247"/>
    <w:rsid w:val="00A76D9B"/>
    <w:rsid w:val="00A77752"/>
    <w:rsid w:val="00A832A0"/>
    <w:rsid w:val="00A84B33"/>
    <w:rsid w:val="00A84ECC"/>
    <w:rsid w:val="00A867C2"/>
    <w:rsid w:val="00A87317"/>
    <w:rsid w:val="00A87481"/>
    <w:rsid w:val="00A9055F"/>
    <w:rsid w:val="00A9068C"/>
    <w:rsid w:val="00A91411"/>
    <w:rsid w:val="00A93681"/>
    <w:rsid w:val="00A93EA0"/>
    <w:rsid w:val="00A94647"/>
    <w:rsid w:val="00A960F1"/>
    <w:rsid w:val="00A96A57"/>
    <w:rsid w:val="00A96F97"/>
    <w:rsid w:val="00A97530"/>
    <w:rsid w:val="00AA0612"/>
    <w:rsid w:val="00AA1B7B"/>
    <w:rsid w:val="00AA2D57"/>
    <w:rsid w:val="00AA3F14"/>
    <w:rsid w:val="00AA3F39"/>
    <w:rsid w:val="00AA6325"/>
    <w:rsid w:val="00AA79D0"/>
    <w:rsid w:val="00AB29C7"/>
    <w:rsid w:val="00AB538B"/>
    <w:rsid w:val="00AB6D11"/>
    <w:rsid w:val="00AB75B8"/>
    <w:rsid w:val="00AC1718"/>
    <w:rsid w:val="00AC2FD9"/>
    <w:rsid w:val="00AC47C6"/>
    <w:rsid w:val="00AC6AAF"/>
    <w:rsid w:val="00AC72F0"/>
    <w:rsid w:val="00AD0573"/>
    <w:rsid w:val="00AD07BB"/>
    <w:rsid w:val="00AD0E7C"/>
    <w:rsid w:val="00AD29E4"/>
    <w:rsid w:val="00AD2AC6"/>
    <w:rsid w:val="00AD32D0"/>
    <w:rsid w:val="00AD3A50"/>
    <w:rsid w:val="00AD4B71"/>
    <w:rsid w:val="00AD51CE"/>
    <w:rsid w:val="00AD5BCE"/>
    <w:rsid w:val="00AD735D"/>
    <w:rsid w:val="00AD7650"/>
    <w:rsid w:val="00AE25C3"/>
    <w:rsid w:val="00AE51CF"/>
    <w:rsid w:val="00AE531B"/>
    <w:rsid w:val="00AE565F"/>
    <w:rsid w:val="00AE7959"/>
    <w:rsid w:val="00AF0DFA"/>
    <w:rsid w:val="00AF2942"/>
    <w:rsid w:val="00AF327F"/>
    <w:rsid w:val="00AF76B9"/>
    <w:rsid w:val="00AF7737"/>
    <w:rsid w:val="00AF77F7"/>
    <w:rsid w:val="00B005E5"/>
    <w:rsid w:val="00B01724"/>
    <w:rsid w:val="00B04623"/>
    <w:rsid w:val="00B0474F"/>
    <w:rsid w:val="00B05F83"/>
    <w:rsid w:val="00B06900"/>
    <w:rsid w:val="00B07BC7"/>
    <w:rsid w:val="00B07D3A"/>
    <w:rsid w:val="00B1020F"/>
    <w:rsid w:val="00B107DE"/>
    <w:rsid w:val="00B11307"/>
    <w:rsid w:val="00B1368B"/>
    <w:rsid w:val="00B138D6"/>
    <w:rsid w:val="00B13B6B"/>
    <w:rsid w:val="00B15CA5"/>
    <w:rsid w:val="00B221AD"/>
    <w:rsid w:val="00B2331E"/>
    <w:rsid w:val="00B27371"/>
    <w:rsid w:val="00B30162"/>
    <w:rsid w:val="00B3129C"/>
    <w:rsid w:val="00B31461"/>
    <w:rsid w:val="00B31649"/>
    <w:rsid w:val="00B31CCE"/>
    <w:rsid w:val="00B31E0C"/>
    <w:rsid w:val="00B352C5"/>
    <w:rsid w:val="00B37B7F"/>
    <w:rsid w:val="00B43E2A"/>
    <w:rsid w:val="00B44D4B"/>
    <w:rsid w:val="00B45347"/>
    <w:rsid w:val="00B4550A"/>
    <w:rsid w:val="00B46B1C"/>
    <w:rsid w:val="00B50C38"/>
    <w:rsid w:val="00B53589"/>
    <w:rsid w:val="00B55023"/>
    <w:rsid w:val="00B550E7"/>
    <w:rsid w:val="00B55488"/>
    <w:rsid w:val="00B556AC"/>
    <w:rsid w:val="00B56443"/>
    <w:rsid w:val="00B57539"/>
    <w:rsid w:val="00B601F2"/>
    <w:rsid w:val="00B61283"/>
    <w:rsid w:val="00B61432"/>
    <w:rsid w:val="00B615F9"/>
    <w:rsid w:val="00B62F4D"/>
    <w:rsid w:val="00B63232"/>
    <w:rsid w:val="00B632B4"/>
    <w:rsid w:val="00B636DC"/>
    <w:rsid w:val="00B6493B"/>
    <w:rsid w:val="00B64B1F"/>
    <w:rsid w:val="00B668E7"/>
    <w:rsid w:val="00B66D05"/>
    <w:rsid w:val="00B673C6"/>
    <w:rsid w:val="00B72075"/>
    <w:rsid w:val="00B73CD8"/>
    <w:rsid w:val="00B749C9"/>
    <w:rsid w:val="00B751A7"/>
    <w:rsid w:val="00B75AB6"/>
    <w:rsid w:val="00B772F2"/>
    <w:rsid w:val="00B81D6A"/>
    <w:rsid w:val="00B81FCB"/>
    <w:rsid w:val="00B8349E"/>
    <w:rsid w:val="00B867DD"/>
    <w:rsid w:val="00B90EA0"/>
    <w:rsid w:val="00B914D3"/>
    <w:rsid w:val="00B91FE6"/>
    <w:rsid w:val="00B92312"/>
    <w:rsid w:val="00B92A45"/>
    <w:rsid w:val="00B9375A"/>
    <w:rsid w:val="00B949E1"/>
    <w:rsid w:val="00B96747"/>
    <w:rsid w:val="00B96DAB"/>
    <w:rsid w:val="00B978A5"/>
    <w:rsid w:val="00BA0CE8"/>
    <w:rsid w:val="00BA0D7B"/>
    <w:rsid w:val="00BA19BE"/>
    <w:rsid w:val="00BA2283"/>
    <w:rsid w:val="00BA557C"/>
    <w:rsid w:val="00BA5DB0"/>
    <w:rsid w:val="00BA70B3"/>
    <w:rsid w:val="00BB1D59"/>
    <w:rsid w:val="00BB391D"/>
    <w:rsid w:val="00BB4E99"/>
    <w:rsid w:val="00BB677C"/>
    <w:rsid w:val="00BB7164"/>
    <w:rsid w:val="00BB749B"/>
    <w:rsid w:val="00BC06B0"/>
    <w:rsid w:val="00BC0B49"/>
    <w:rsid w:val="00BC5528"/>
    <w:rsid w:val="00BC63F3"/>
    <w:rsid w:val="00BC7A44"/>
    <w:rsid w:val="00BD142A"/>
    <w:rsid w:val="00BD2E15"/>
    <w:rsid w:val="00BD570E"/>
    <w:rsid w:val="00BD5939"/>
    <w:rsid w:val="00BD751C"/>
    <w:rsid w:val="00BE090A"/>
    <w:rsid w:val="00BE12AA"/>
    <w:rsid w:val="00BE46AC"/>
    <w:rsid w:val="00BE639D"/>
    <w:rsid w:val="00BE67ED"/>
    <w:rsid w:val="00BF44C4"/>
    <w:rsid w:val="00BF5C66"/>
    <w:rsid w:val="00BF5CE1"/>
    <w:rsid w:val="00BF6891"/>
    <w:rsid w:val="00BF6BE2"/>
    <w:rsid w:val="00BF7D83"/>
    <w:rsid w:val="00C02F16"/>
    <w:rsid w:val="00C04619"/>
    <w:rsid w:val="00C05A4F"/>
    <w:rsid w:val="00C05E5B"/>
    <w:rsid w:val="00C061E3"/>
    <w:rsid w:val="00C07D6A"/>
    <w:rsid w:val="00C10215"/>
    <w:rsid w:val="00C110C2"/>
    <w:rsid w:val="00C119C2"/>
    <w:rsid w:val="00C11D81"/>
    <w:rsid w:val="00C122D5"/>
    <w:rsid w:val="00C12B1C"/>
    <w:rsid w:val="00C14967"/>
    <w:rsid w:val="00C15639"/>
    <w:rsid w:val="00C1627A"/>
    <w:rsid w:val="00C22F4C"/>
    <w:rsid w:val="00C23789"/>
    <w:rsid w:val="00C23DBC"/>
    <w:rsid w:val="00C24770"/>
    <w:rsid w:val="00C26866"/>
    <w:rsid w:val="00C26E47"/>
    <w:rsid w:val="00C2750C"/>
    <w:rsid w:val="00C3083F"/>
    <w:rsid w:val="00C311EB"/>
    <w:rsid w:val="00C333CF"/>
    <w:rsid w:val="00C33404"/>
    <w:rsid w:val="00C34A8C"/>
    <w:rsid w:val="00C41927"/>
    <w:rsid w:val="00C42CE4"/>
    <w:rsid w:val="00C43BDE"/>
    <w:rsid w:val="00C446BD"/>
    <w:rsid w:val="00C4579F"/>
    <w:rsid w:val="00C502B8"/>
    <w:rsid w:val="00C50794"/>
    <w:rsid w:val="00C537D1"/>
    <w:rsid w:val="00C53EDB"/>
    <w:rsid w:val="00C6047A"/>
    <w:rsid w:val="00C61138"/>
    <w:rsid w:val="00C62334"/>
    <w:rsid w:val="00C6415B"/>
    <w:rsid w:val="00C6509F"/>
    <w:rsid w:val="00C676E5"/>
    <w:rsid w:val="00C7079D"/>
    <w:rsid w:val="00C71638"/>
    <w:rsid w:val="00C71A96"/>
    <w:rsid w:val="00C7374A"/>
    <w:rsid w:val="00C81B02"/>
    <w:rsid w:val="00C81D29"/>
    <w:rsid w:val="00C831BA"/>
    <w:rsid w:val="00C86566"/>
    <w:rsid w:val="00C87017"/>
    <w:rsid w:val="00C90B2A"/>
    <w:rsid w:val="00C915EE"/>
    <w:rsid w:val="00C917EB"/>
    <w:rsid w:val="00C926AD"/>
    <w:rsid w:val="00C92ADF"/>
    <w:rsid w:val="00C92CFB"/>
    <w:rsid w:val="00C93193"/>
    <w:rsid w:val="00C97FF4"/>
    <w:rsid w:val="00CA0ADF"/>
    <w:rsid w:val="00CA1895"/>
    <w:rsid w:val="00CA38DF"/>
    <w:rsid w:val="00CA3A14"/>
    <w:rsid w:val="00CA40CF"/>
    <w:rsid w:val="00CA5938"/>
    <w:rsid w:val="00CA5EBF"/>
    <w:rsid w:val="00CA6C07"/>
    <w:rsid w:val="00CA7CD8"/>
    <w:rsid w:val="00CA7D81"/>
    <w:rsid w:val="00CB027B"/>
    <w:rsid w:val="00CB04F8"/>
    <w:rsid w:val="00CB0764"/>
    <w:rsid w:val="00CB4B7E"/>
    <w:rsid w:val="00CB5CB4"/>
    <w:rsid w:val="00CB642F"/>
    <w:rsid w:val="00CB7600"/>
    <w:rsid w:val="00CB7F0D"/>
    <w:rsid w:val="00CC1DF7"/>
    <w:rsid w:val="00CC28C6"/>
    <w:rsid w:val="00CC45B5"/>
    <w:rsid w:val="00CC4808"/>
    <w:rsid w:val="00CC4C0C"/>
    <w:rsid w:val="00CC523E"/>
    <w:rsid w:val="00CD1B6F"/>
    <w:rsid w:val="00CD30AA"/>
    <w:rsid w:val="00CD3D90"/>
    <w:rsid w:val="00CD4A55"/>
    <w:rsid w:val="00CD4DBC"/>
    <w:rsid w:val="00CD56F8"/>
    <w:rsid w:val="00CD5923"/>
    <w:rsid w:val="00CD5A29"/>
    <w:rsid w:val="00CD6260"/>
    <w:rsid w:val="00CD67E1"/>
    <w:rsid w:val="00CE0D2C"/>
    <w:rsid w:val="00CE0EFD"/>
    <w:rsid w:val="00CE1174"/>
    <w:rsid w:val="00CE1B8A"/>
    <w:rsid w:val="00CE1E8D"/>
    <w:rsid w:val="00CE28AE"/>
    <w:rsid w:val="00CE369F"/>
    <w:rsid w:val="00CE44A4"/>
    <w:rsid w:val="00CE4936"/>
    <w:rsid w:val="00CE5A65"/>
    <w:rsid w:val="00CE5BE1"/>
    <w:rsid w:val="00CE667B"/>
    <w:rsid w:val="00CF0867"/>
    <w:rsid w:val="00CF2E26"/>
    <w:rsid w:val="00CF32F4"/>
    <w:rsid w:val="00CF34A0"/>
    <w:rsid w:val="00CF3600"/>
    <w:rsid w:val="00CF59E4"/>
    <w:rsid w:val="00CF65B7"/>
    <w:rsid w:val="00D003B0"/>
    <w:rsid w:val="00D03610"/>
    <w:rsid w:val="00D04E0E"/>
    <w:rsid w:val="00D056CD"/>
    <w:rsid w:val="00D058AB"/>
    <w:rsid w:val="00D05FDB"/>
    <w:rsid w:val="00D06F27"/>
    <w:rsid w:val="00D07271"/>
    <w:rsid w:val="00D104D6"/>
    <w:rsid w:val="00D140C1"/>
    <w:rsid w:val="00D14EC0"/>
    <w:rsid w:val="00D15644"/>
    <w:rsid w:val="00D15807"/>
    <w:rsid w:val="00D15FC3"/>
    <w:rsid w:val="00D1723F"/>
    <w:rsid w:val="00D17563"/>
    <w:rsid w:val="00D20F92"/>
    <w:rsid w:val="00D23416"/>
    <w:rsid w:val="00D24520"/>
    <w:rsid w:val="00D24AE3"/>
    <w:rsid w:val="00D262EA"/>
    <w:rsid w:val="00D312C9"/>
    <w:rsid w:val="00D31595"/>
    <w:rsid w:val="00D31DFE"/>
    <w:rsid w:val="00D3203A"/>
    <w:rsid w:val="00D378A3"/>
    <w:rsid w:val="00D404A8"/>
    <w:rsid w:val="00D40AAD"/>
    <w:rsid w:val="00D40DEC"/>
    <w:rsid w:val="00D429DC"/>
    <w:rsid w:val="00D4403D"/>
    <w:rsid w:val="00D4526A"/>
    <w:rsid w:val="00D454E8"/>
    <w:rsid w:val="00D47045"/>
    <w:rsid w:val="00D47ACC"/>
    <w:rsid w:val="00D51066"/>
    <w:rsid w:val="00D51FE7"/>
    <w:rsid w:val="00D52F32"/>
    <w:rsid w:val="00D53831"/>
    <w:rsid w:val="00D55800"/>
    <w:rsid w:val="00D57C6A"/>
    <w:rsid w:val="00D60807"/>
    <w:rsid w:val="00D60879"/>
    <w:rsid w:val="00D60B7F"/>
    <w:rsid w:val="00D61332"/>
    <w:rsid w:val="00D62292"/>
    <w:rsid w:val="00D6240C"/>
    <w:rsid w:val="00D644CE"/>
    <w:rsid w:val="00D64D1F"/>
    <w:rsid w:val="00D66519"/>
    <w:rsid w:val="00D7160E"/>
    <w:rsid w:val="00D72CE4"/>
    <w:rsid w:val="00D73280"/>
    <w:rsid w:val="00D735FF"/>
    <w:rsid w:val="00D73A3C"/>
    <w:rsid w:val="00D7496C"/>
    <w:rsid w:val="00D74FF1"/>
    <w:rsid w:val="00D8017E"/>
    <w:rsid w:val="00D8124F"/>
    <w:rsid w:val="00D82E72"/>
    <w:rsid w:val="00D8417A"/>
    <w:rsid w:val="00D85A4F"/>
    <w:rsid w:val="00D903A6"/>
    <w:rsid w:val="00D90701"/>
    <w:rsid w:val="00D9098B"/>
    <w:rsid w:val="00D91BC7"/>
    <w:rsid w:val="00D9288B"/>
    <w:rsid w:val="00D9360A"/>
    <w:rsid w:val="00D938F7"/>
    <w:rsid w:val="00D93A62"/>
    <w:rsid w:val="00D953AA"/>
    <w:rsid w:val="00D961B4"/>
    <w:rsid w:val="00DA0765"/>
    <w:rsid w:val="00DA3060"/>
    <w:rsid w:val="00DA6009"/>
    <w:rsid w:val="00DA6F20"/>
    <w:rsid w:val="00DB17ED"/>
    <w:rsid w:val="00DB2D8C"/>
    <w:rsid w:val="00DB325E"/>
    <w:rsid w:val="00DB33D5"/>
    <w:rsid w:val="00DB40A5"/>
    <w:rsid w:val="00DB5B5B"/>
    <w:rsid w:val="00DC012D"/>
    <w:rsid w:val="00DC23FB"/>
    <w:rsid w:val="00DC2D7A"/>
    <w:rsid w:val="00DC444B"/>
    <w:rsid w:val="00DD14E1"/>
    <w:rsid w:val="00DD7E4D"/>
    <w:rsid w:val="00DE0959"/>
    <w:rsid w:val="00DE1245"/>
    <w:rsid w:val="00DE129A"/>
    <w:rsid w:val="00DE27FF"/>
    <w:rsid w:val="00DE3A75"/>
    <w:rsid w:val="00DE3ADC"/>
    <w:rsid w:val="00DF0031"/>
    <w:rsid w:val="00DF0E82"/>
    <w:rsid w:val="00DF4865"/>
    <w:rsid w:val="00DF53D7"/>
    <w:rsid w:val="00DF54C2"/>
    <w:rsid w:val="00DF5787"/>
    <w:rsid w:val="00E019D5"/>
    <w:rsid w:val="00E02748"/>
    <w:rsid w:val="00E02771"/>
    <w:rsid w:val="00E02DF9"/>
    <w:rsid w:val="00E03E14"/>
    <w:rsid w:val="00E06474"/>
    <w:rsid w:val="00E10763"/>
    <w:rsid w:val="00E10948"/>
    <w:rsid w:val="00E1106F"/>
    <w:rsid w:val="00E112BE"/>
    <w:rsid w:val="00E13770"/>
    <w:rsid w:val="00E138B2"/>
    <w:rsid w:val="00E13A95"/>
    <w:rsid w:val="00E1446D"/>
    <w:rsid w:val="00E14F64"/>
    <w:rsid w:val="00E15FD6"/>
    <w:rsid w:val="00E1630A"/>
    <w:rsid w:val="00E16787"/>
    <w:rsid w:val="00E16AED"/>
    <w:rsid w:val="00E205B3"/>
    <w:rsid w:val="00E2203D"/>
    <w:rsid w:val="00E22DA3"/>
    <w:rsid w:val="00E23208"/>
    <w:rsid w:val="00E237B8"/>
    <w:rsid w:val="00E24A15"/>
    <w:rsid w:val="00E24F4E"/>
    <w:rsid w:val="00E275CC"/>
    <w:rsid w:val="00E3023E"/>
    <w:rsid w:val="00E30979"/>
    <w:rsid w:val="00E31166"/>
    <w:rsid w:val="00E32B91"/>
    <w:rsid w:val="00E338FA"/>
    <w:rsid w:val="00E33CB2"/>
    <w:rsid w:val="00E34B78"/>
    <w:rsid w:val="00E363EC"/>
    <w:rsid w:val="00E365C4"/>
    <w:rsid w:val="00E37CBC"/>
    <w:rsid w:val="00E42723"/>
    <w:rsid w:val="00E4288A"/>
    <w:rsid w:val="00E428F6"/>
    <w:rsid w:val="00E429D7"/>
    <w:rsid w:val="00E43D1F"/>
    <w:rsid w:val="00E44B8C"/>
    <w:rsid w:val="00E44CC6"/>
    <w:rsid w:val="00E44F83"/>
    <w:rsid w:val="00E45E7E"/>
    <w:rsid w:val="00E46EFB"/>
    <w:rsid w:val="00E46F71"/>
    <w:rsid w:val="00E47019"/>
    <w:rsid w:val="00E50A43"/>
    <w:rsid w:val="00E50A44"/>
    <w:rsid w:val="00E51FE7"/>
    <w:rsid w:val="00E52C7E"/>
    <w:rsid w:val="00E53AD3"/>
    <w:rsid w:val="00E541F2"/>
    <w:rsid w:val="00E5461D"/>
    <w:rsid w:val="00E56364"/>
    <w:rsid w:val="00E56A2C"/>
    <w:rsid w:val="00E61FBD"/>
    <w:rsid w:val="00E62220"/>
    <w:rsid w:val="00E6281F"/>
    <w:rsid w:val="00E62D6D"/>
    <w:rsid w:val="00E62F25"/>
    <w:rsid w:val="00E63C9E"/>
    <w:rsid w:val="00E64569"/>
    <w:rsid w:val="00E710BE"/>
    <w:rsid w:val="00E72046"/>
    <w:rsid w:val="00E72983"/>
    <w:rsid w:val="00E7366F"/>
    <w:rsid w:val="00E7468E"/>
    <w:rsid w:val="00E74926"/>
    <w:rsid w:val="00E7585E"/>
    <w:rsid w:val="00E760B6"/>
    <w:rsid w:val="00E7692F"/>
    <w:rsid w:val="00E76ED8"/>
    <w:rsid w:val="00E77D94"/>
    <w:rsid w:val="00E8056B"/>
    <w:rsid w:val="00E8228A"/>
    <w:rsid w:val="00E8626D"/>
    <w:rsid w:val="00E87593"/>
    <w:rsid w:val="00E90C3D"/>
    <w:rsid w:val="00E9168C"/>
    <w:rsid w:val="00E91729"/>
    <w:rsid w:val="00E94E1B"/>
    <w:rsid w:val="00E95091"/>
    <w:rsid w:val="00E95FC2"/>
    <w:rsid w:val="00E96A18"/>
    <w:rsid w:val="00E96AA4"/>
    <w:rsid w:val="00EA0DFD"/>
    <w:rsid w:val="00EA1831"/>
    <w:rsid w:val="00EA2204"/>
    <w:rsid w:val="00EA2574"/>
    <w:rsid w:val="00EA2746"/>
    <w:rsid w:val="00EA3251"/>
    <w:rsid w:val="00EA47E4"/>
    <w:rsid w:val="00EA6D70"/>
    <w:rsid w:val="00EB0C47"/>
    <w:rsid w:val="00EB0E80"/>
    <w:rsid w:val="00EB1545"/>
    <w:rsid w:val="00EB39FF"/>
    <w:rsid w:val="00EB3C30"/>
    <w:rsid w:val="00EB52D8"/>
    <w:rsid w:val="00EB61D5"/>
    <w:rsid w:val="00EC1FD8"/>
    <w:rsid w:val="00EC33D3"/>
    <w:rsid w:val="00EC3571"/>
    <w:rsid w:val="00EC387C"/>
    <w:rsid w:val="00EC4EDF"/>
    <w:rsid w:val="00EC6498"/>
    <w:rsid w:val="00EC6D45"/>
    <w:rsid w:val="00EC78CA"/>
    <w:rsid w:val="00EC7FDA"/>
    <w:rsid w:val="00ED06E4"/>
    <w:rsid w:val="00ED0B80"/>
    <w:rsid w:val="00ED1CCF"/>
    <w:rsid w:val="00ED1DB0"/>
    <w:rsid w:val="00ED2995"/>
    <w:rsid w:val="00ED41E0"/>
    <w:rsid w:val="00ED582F"/>
    <w:rsid w:val="00ED6831"/>
    <w:rsid w:val="00EE07EE"/>
    <w:rsid w:val="00EE1242"/>
    <w:rsid w:val="00EE3A4F"/>
    <w:rsid w:val="00EE4129"/>
    <w:rsid w:val="00EE4228"/>
    <w:rsid w:val="00EE719C"/>
    <w:rsid w:val="00EF0672"/>
    <w:rsid w:val="00EF333C"/>
    <w:rsid w:val="00EF4035"/>
    <w:rsid w:val="00EF5E98"/>
    <w:rsid w:val="00EF6894"/>
    <w:rsid w:val="00EF6EED"/>
    <w:rsid w:val="00EF7070"/>
    <w:rsid w:val="00EF7FEA"/>
    <w:rsid w:val="00F00BBD"/>
    <w:rsid w:val="00F019AA"/>
    <w:rsid w:val="00F03431"/>
    <w:rsid w:val="00F050A9"/>
    <w:rsid w:val="00F0610C"/>
    <w:rsid w:val="00F06E9C"/>
    <w:rsid w:val="00F105BF"/>
    <w:rsid w:val="00F16C2D"/>
    <w:rsid w:val="00F17E6F"/>
    <w:rsid w:val="00F17EC7"/>
    <w:rsid w:val="00F20633"/>
    <w:rsid w:val="00F21CE8"/>
    <w:rsid w:val="00F23BAD"/>
    <w:rsid w:val="00F23F7C"/>
    <w:rsid w:val="00F24101"/>
    <w:rsid w:val="00F24DA7"/>
    <w:rsid w:val="00F25716"/>
    <w:rsid w:val="00F26132"/>
    <w:rsid w:val="00F26CFA"/>
    <w:rsid w:val="00F26D5F"/>
    <w:rsid w:val="00F27234"/>
    <w:rsid w:val="00F278BB"/>
    <w:rsid w:val="00F30A86"/>
    <w:rsid w:val="00F326CB"/>
    <w:rsid w:val="00F32BD9"/>
    <w:rsid w:val="00F33008"/>
    <w:rsid w:val="00F35A01"/>
    <w:rsid w:val="00F362C3"/>
    <w:rsid w:val="00F36D2A"/>
    <w:rsid w:val="00F36F01"/>
    <w:rsid w:val="00F37828"/>
    <w:rsid w:val="00F43511"/>
    <w:rsid w:val="00F46CD0"/>
    <w:rsid w:val="00F475EC"/>
    <w:rsid w:val="00F506FD"/>
    <w:rsid w:val="00F51B8C"/>
    <w:rsid w:val="00F52310"/>
    <w:rsid w:val="00F53C59"/>
    <w:rsid w:val="00F54011"/>
    <w:rsid w:val="00F5536C"/>
    <w:rsid w:val="00F566B1"/>
    <w:rsid w:val="00F56935"/>
    <w:rsid w:val="00F60F5F"/>
    <w:rsid w:val="00F617C8"/>
    <w:rsid w:val="00F637DB"/>
    <w:rsid w:val="00F64209"/>
    <w:rsid w:val="00F65943"/>
    <w:rsid w:val="00F662E2"/>
    <w:rsid w:val="00F66A3C"/>
    <w:rsid w:val="00F70859"/>
    <w:rsid w:val="00F7274E"/>
    <w:rsid w:val="00F729E0"/>
    <w:rsid w:val="00F748B9"/>
    <w:rsid w:val="00F74A6D"/>
    <w:rsid w:val="00F769BB"/>
    <w:rsid w:val="00F80E00"/>
    <w:rsid w:val="00F82591"/>
    <w:rsid w:val="00F839CF"/>
    <w:rsid w:val="00F83C66"/>
    <w:rsid w:val="00F83E5B"/>
    <w:rsid w:val="00F85530"/>
    <w:rsid w:val="00F8601F"/>
    <w:rsid w:val="00F91F03"/>
    <w:rsid w:val="00F94414"/>
    <w:rsid w:val="00F9546E"/>
    <w:rsid w:val="00F971D6"/>
    <w:rsid w:val="00F973F0"/>
    <w:rsid w:val="00F977A5"/>
    <w:rsid w:val="00FA1E1F"/>
    <w:rsid w:val="00FA26A5"/>
    <w:rsid w:val="00FA4F10"/>
    <w:rsid w:val="00FA4F33"/>
    <w:rsid w:val="00FA6653"/>
    <w:rsid w:val="00FB043A"/>
    <w:rsid w:val="00FB2A62"/>
    <w:rsid w:val="00FB2CC5"/>
    <w:rsid w:val="00FB3029"/>
    <w:rsid w:val="00FB3E18"/>
    <w:rsid w:val="00FB5163"/>
    <w:rsid w:val="00FB64C5"/>
    <w:rsid w:val="00FC0EFA"/>
    <w:rsid w:val="00FC1688"/>
    <w:rsid w:val="00FC3859"/>
    <w:rsid w:val="00FC561A"/>
    <w:rsid w:val="00FC5B3D"/>
    <w:rsid w:val="00FC5DD5"/>
    <w:rsid w:val="00FC734D"/>
    <w:rsid w:val="00FD1B33"/>
    <w:rsid w:val="00FD2838"/>
    <w:rsid w:val="00FD2E25"/>
    <w:rsid w:val="00FD4C85"/>
    <w:rsid w:val="00FD681D"/>
    <w:rsid w:val="00FD7C3C"/>
    <w:rsid w:val="00FE1321"/>
    <w:rsid w:val="00FE178B"/>
    <w:rsid w:val="00FE2DB8"/>
    <w:rsid w:val="00FE31E5"/>
    <w:rsid w:val="00FE57DC"/>
    <w:rsid w:val="00FF01F1"/>
    <w:rsid w:val="00FF114D"/>
    <w:rsid w:val="00FF197F"/>
    <w:rsid w:val="00FF3F1D"/>
    <w:rsid w:val="00FF4F15"/>
    <w:rsid w:val="00FF5E59"/>
    <w:rsid w:val="00FF5EBB"/>
    <w:rsid w:val="00FF6962"/>
    <w:rsid w:val="00FF6A2B"/>
    <w:rsid w:val="00FF7F6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7A"/>
    <w:rPr>
      <w:sz w:val="22"/>
      <w:szCs w:val="22"/>
      <w:lang w:eastAsia="en-US"/>
    </w:rPr>
  </w:style>
  <w:style w:type="paragraph" w:styleId="Heading1">
    <w:name w:val="heading 1"/>
    <w:aliases w:val="ATA Submission Heading 1"/>
    <w:basedOn w:val="Normal"/>
    <w:next w:val="Normal"/>
    <w:link w:val="Heading1Char"/>
    <w:uiPriority w:val="99"/>
    <w:qFormat/>
    <w:rsid w:val="003B74E4"/>
    <w:pPr>
      <w:numPr>
        <w:numId w:val="1"/>
      </w:numPr>
      <w:outlineLvl w:val="0"/>
    </w:pPr>
    <w:rPr>
      <w:rFonts w:ascii="Arial" w:hAnsi="Arial" w:cs="Arial"/>
      <w:b/>
      <w:color w:val="000064"/>
      <w:sz w:val="28"/>
      <w:szCs w:val="28"/>
    </w:rPr>
  </w:style>
  <w:style w:type="paragraph" w:styleId="Heading2">
    <w:name w:val="heading 2"/>
    <w:basedOn w:val="Normal"/>
    <w:next w:val="Normal"/>
    <w:link w:val="Heading2Char"/>
    <w:semiHidden/>
    <w:unhideWhenUsed/>
    <w:qFormat/>
    <w:locked/>
    <w:rsid w:val="00685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F53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locked/>
    <w:rsid w:val="003B74E4"/>
    <w:rPr>
      <w:rFonts w:ascii="Arial" w:hAnsi="Arial" w:cs="Arial"/>
      <w:b/>
      <w:color w:val="000064"/>
      <w:sz w:val="28"/>
      <w:szCs w:val="28"/>
      <w:lang w:eastAsia="en-US"/>
    </w:rPr>
  </w:style>
  <w:style w:type="character" w:customStyle="1" w:styleId="Heading2Char">
    <w:name w:val="Heading 2 Char"/>
    <w:basedOn w:val="DefaultParagraphFont"/>
    <w:link w:val="Heading2"/>
    <w:semiHidden/>
    <w:rsid w:val="006859F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locked/>
    <w:rsid w:val="000F53C2"/>
    <w:rPr>
      <w:rFonts w:ascii="Cambria" w:hAnsi="Cambria" w:cs="Times New Roman"/>
      <w:b/>
      <w:bCs/>
      <w:sz w:val="26"/>
      <w:szCs w:val="26"/>
      <w:lang w:eastAsia="en-US"/>
    </w:rPr>
  </w:style>
  <w:style w:type="table" w:styleId="TableGrid">
    <w:name w:val="Table Grid"/>
    <w:basedOn w:val="TableNormal"/>
    <w:uiPriority w:val="59"/>
    <w:rsid w:val="00C162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4B6187"/>
    <w:rPr>
      <w:rFonts w:ascii="Arial" w:eastAsia="Times New Roman" w:hAnsi="Arial" w:cs="Arial"/>
      <w:b/>
      <w:bCs/>
      <w:szCs w:val="20"/>
    </w:rPr>
  </w:style>
  <w:style w:type="character" w:customStyle="1" w:styleId="BodyText2Char">
    <w:name w:val="Body Text 2 Char"/>
    <w:basedOn w:val="DefaultParagraphFont"/>
    <w:link w:val="BodyText2"/>
    <w:uiPriority w:val="99"/>
    <w:semiHidden/>
    <w:locked/>
    <w:rsid w:val="004B6187"/>
    <w:rPr>
      <w:rFonts w:ascii="Arial" w:hAnsi="Arial" w:cs="Arial"/>
      <w:b/>
      <w:bCs/>
      <w:sz w:val="20"/>
      <w:szCs w:val="20"/>
    </w:rPr>
  </w:style>
  <w:style w:type="paragraph" w:styleId="Header">
    <w:name w:val="header"/>
    <w:basedOn w:val="Normal"/>
    <w:link w:val="HeaderChar"/>
    <w:uiPriority w:val="99"/>
    <w:rsid w:val="000F3D9F"/>
    <w:pPr>
      <w:tabs>
        <w:tab w:val="center" w:pos="4513"/>
        <w:tab w:val="right" w:pos="9026"/>
      </w:tabs>
    </w:pPr>
  </w:style>
  <w:style w:type="character" w:customStyle="1" w:styleId="HeaderChar">
    <w:name w:val="Header Char"/>
    <w:basedOn w:val="DefaultParagraphFont"/>
    <w:link w:val="Header"/>
    <w:uiPriority w:val="99"/>
    <w:locked/>
    <w:rsid w:val="000F3D9F"/>
    <w:rPr>
      <w:rFonts w:cs="Times New Roman"/>
      <w:sz w:val="22"/>
      <w:szCs w:val="22"/>
      <w:lang w:eastAsia="en-US"/>
    </w:rPr>
  </w:style>
  <w:style w:type="paragraph" w:styleId="Footer">
    <w:name w:val="footer"/>
    <w:basedOn w:val="Normal"/>
    <w:link w:val="FooterChar"/>
    <w:uiPriority w:val="99"/>
    <w:rsid w:val="000F3D9F"/>
    <w:pPr>
      <w:tabs>
        <w:tab w:val="center" w:pos="4513"/>
        <w:tab w:val="right" w:pos="9026"/>
      </w:tabs>
    </w:pPr>
  </w:style>
  <w:style w:type="character" w:customStyle="1" w:styleId="FooterChar">
    <w:name w:val="Footer Char"/>
    <w:basedOn w:val="DefaultParagraphFont"/>
    <w:link w:val="Footer"/>
    <w:uiPriority w:val="99"/>
    <w:locked/>
    <w:rsid w:val="000F3D9F"/>
    <w:rPr>
      <w:rFonts w:cs="Times New Roman"/>
      <w:sz w:val="22"/>
      <w:szCs w:val="22"/>
      <w:lang w:eastAsia="en-US"/>
    </w:rPr>
  </w:style>
  <w:style w:type="paragraph" w:styleId="ListParagraph">
    <w:name w:val="List Paragraph"/>
    <w:basedOn w:val="Normal"/>
    <w:uiPriority w:val="34"/>
    <w:qFormat/>
    <w:rsid w:val="000F53C2"/>
    <w:pPr>
      <w:spacing w:after="200" w:line="276" w:lineRule="auto"/>
      <w:ind w:left="720"/>
      <w:contextualSpacing/>
    </w:pPr>
  </w:style>
  <w:style w:type="paragraph" w:styleId="FootnoteText">
    <w:name w:val="footnote text"/>
    <w:basedOn w:val="Normal"/>
    <w:link w:val="FootnoteTextChar"/>
    <w:uiPriority w:val="99"/>
    <w:semiHidden/>
    <w:rsid w:val="000F53C2"/>
    <w:rPr>
      <w:sz w:val="20"/>
      <w:szCs w:val="20"/>
    </w:rPr>
  </w:style>
  <w:style w:type="character" w:customStyle="1" w:styleId="FootnoteTextChar">
    <w:name w:val="Footnote Text Char"/>
    <w:basedOn w:val="DefaultParagraphFont"/>
    <w:link w:val="FootnoteText"/>
    <w:uiPriority w:val="99"/>
    <w:semiHidden/>
    <w:locked/>
    <w:rsid w:val="000F53C2"/>
    <w:rPr>
      <w:rFonts w:cs="Times New Roman"/>
      <w:lang w:eastAsia="en-US"/>
    </w:rPr>
  </w:style>
  <w:style w:type="character" w:styleId="FootnoteReference">
    <w:name w:val="footnote reference"/>
    <w:basedOn w:val="DefaultParagraphFont"/>
    <w:uiPriority w:val="99"/>
    <w:semiHidden/>
    <w:rsid w:val="000F53C2"/>
    <w:rPr>
      <w:rFonts w:cs="Times New Roman"/>
      <w:vertAlign w:val="superscript"/>
    </w:rPr>
  </w:style>
  <w:style w:type="paragraph" w:customStyle="1" w:styleId="Default">
    <w:name w:val="Default"/>
    <w:link w:val="DefaultChar"/>
    <w:rsid w:val="000F53C2"/>
    <w:pPr>
      <w:autoSpaceDE w:val="0"/>
      <w:autoSpaceDN w:val="0"/>
      <w:adjustRightInd w:val="0"/>
    </w:pPr>
    <w:rPr>
      <w:rFonts w:ascii="Times New Roman" w:hAnsi="Times New Roman"/>
      <w:color w:val="000000"/>
      <w:sz w:val="24"/>
      <w:szCs w:val="24"/>
    </w:rPr>
  </w:style>
  <w:style w:type="character" w:customStyle="1" w:styleId="DefaultChar">
    <w:name w:val="Default Char"/>
    <w:basedOn w:val="DefaultParagraphFont"/>
    <w:link w:val="Default"/>
    <w:uiPriority w:val="99"/>
    <w:locked/>
    <w:rsid w:val="000F53C2"/>
    <w:rPr>
      <w:rFonts w:ascii="Times New Roman" w:hAnsi="Times New Roman"/>
      <w:color w:val="000000"/>
      <w:sz w:val="24"/>
      <w:szCs w:val="24"/>
      <w:lang w:val="en-AU" w:eastAsia="en-AU" w:bidi="ar-SA"/>
    </w:rPr>
  </w:style>
  <w:style w:type="paragraph" w:customStyle="1" w:styleId="ATAHeading2">
    <w:name w:val="ATA Heading 2"/>
    <w:basedOn w:val="Normal"/>
    <w:link w:val="ATAHeading2Char"/>
    <w:uiPriority w:val="99"/>
    <w:rsid w:val="00B13B6B"/>
    <w:pPr>
      <w:numPr>
        <w:ilvl w:val="1"/>
        <w:numId w:val="1"/>
      </w:numPr>
      <w:spacing w:before="120" w:after="120" w:line="276" w:lineRule="auto"/>
    </w:pPr>
    <w:rPr>
      <w:rFonts w:ascii="Arial" w:hAnsi="Arial" w:cs="Arial"/>
      <w:b/>
      <w:color w:val="000064"/>
      <w:sz w:val="26"/>
      <w:szCs w:val="26"/>
    </w:rPr>
  </w:style>
  <w:style w:type="character" w:customStyle="1" w:styleId="ATAHeading2Char">
    <w:name w:val="ATA Heading 2 Char"/>
    <w:basedOn w:val="DefaultParagraphFont"/>
    <w:link w:val="ATAHeading2"/>
    <w:uiPriority w:val="99"/>
    <w:locked/>
    <w:rsid w:val="00B13B6B"/>
    <w:rPr>
      <w:rFonts w:ascii="Arial" w:hAnsi="Arial" w:cs="Arial"/>
      <w:b/>
      <w:color w:val="000064"/>
      <w:sz w:val="26"/>
      <w:szCs w:val="26"/>
      <w:lang w:eastAsia="en-US"/>
    </w:rPr>
  </w:style>
  <w:style w:type="paragraph" w:customStyle="1" w:styleId="ATAHeading3">
    <w:name w:val="ATA Heading 3"/>
    <w:basedOn w:val="ATAHeading2"/>
    <w:link w:val="ATAHeading3Char"/>
    <w:uiPriority w:val="99"/>
    <w:rsid w:val="00D40AAD"/>
    <w:pPr>
      <w:numPr>
        <w:ilvl w:val="2"/>
      </w:numPr>
      <w:tabs>
        <w:tab w:val="left" w:pos="992"/>
      </w:tabs>
    </w:pPr>
    <w:rPr>
      <w:i/>
      <w:color w:val="0D0D0D" w:themeColor="text1" w:themeTint="F2"/>
      <w:sz w:val="22"/>
      <w:szCs w:val="22"/>
    </w:rPr>
  </w:style>
  <w:style w:type="character" w:customStyle="1" w:styleId="ATAHeading3Char">
    <w:name w:val="ATA Heading 3 Char"/>
    <w:basedOn w:val="DefaultParagraphFont"/>
    <w:link w:val="ATAHeading3"/>
    <w:uiPriority w:val="99"/>
    <w:locked/>
    <w:rsid w:val="00D40AAD"/>
    <w:rPr>
      <w:rFonts w:ascii="Arial" w:hAnsi="Arial" w:cs="Arial"/>
      <w:b/>
      <w:i/>
      <w:color w:val="0D0D0D" w:themeColor="text1" w:themeTint="F2"/>
      <w:sz w:val="22"/>
      <w:szCs w:val="22"/>
      <w:lang w:eastAsia="en-US"/>
    </w:rPr>
  </w:style>
  <w:style w:type="paragraph" w:customStyle="1" w:styleId="Quotes">
    <w:name w:val="Quotes"/>
    <w:basedOn w:val="Default"/>
    <w:link w:val="QuotesChar"/>
    <w:uiPriority w:val="99"/>
    <w:rsid w:val="000F53C2"/>
    <w:pPr>
      <w:ind w:left="851"/>
    </w:pPr>
    <w:rPr>
      <w:sz w:val="22"/>
      <w:szCs w:val="22"/>
    </w:rPr>
  </w:style>
  <w:style w:type="character" w:customStyle="1" w:styleId="QuotesChar">
    <w:name w:val="Quotes Char"/>
    <w:basedOn w:val="DefaultChar"/>
    <w:link w:val="Quotes"/>
    <w:uiPriority w:val="99"/>
    <w:locked/>
    <w:rsid w:val="000F53C2"/>
    <w:rPr>
      <w:sz w:val="22"/>
      <w:szCs w:val="22"/>
    </w:rPr>
  </w:style>
  <w:style w:type="paragraph" w:customStyle="1" w:styleId="ATARecommendationHeading">
    <w:name w:val="ATA Recommendation Heading"/>
    <w:basedOn w:val="Normal"/>
    <w:link w:val="ATARecommendationHeadingChar"/>
    <w:uiPriority w:val="99"/>
    <w:rsid w:val="00740005"/>
    <w:rPr>
      <w:rFonts w:ascii="Arial" w:hAnsi="Arial" w:cs="Arial"/>
      <w:i/>
    </w:rPr>
  </w:style>
  <w:style w:type="character" w:customStyle="1" w:styleId="ATARecommendationHeadingChar">
    <w:name w:val="ATA Recommendation Heading Char"/>
    <w:basedOn w:val="DefaultParagraphFont"/>
    <w:link w:val="ATARecommendationHeading"/>
    <w:uiPriority w:val="99"/>
    <w:rsid w:val="006859F7"/>
    <w:rPr>
      <w:rFonts w:ascii="Arial" w:hAnsi="Arial" w:cs="Arial"/>
      <w:i/>
      <w:sz w:val="22"/>
      <w:szCs w:val="22"/>
      <w:lang w:eastAsia="en-US"/>
    </w:rPr>
  </w:style>
  <w:style w:type="paragraph" w:styleId="BalloonText">
    <w:name w:val="Balloon Text"/>
    <w:basedOn w:val="Normal"/>
    <w:link w:val="BalloonTextChar"/>
    <w:uiPriority w:val="99"/>
    <w:semiHidden/>
    <w:rsid w:val="00740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005"/>
    <w:rPr>
      <w:rFonts w:ascii="Tahoma" w:hAnsi="Tahoma" w:cs="Tahoma"/>
      <w:sz w:val="16"/>
      <w:szCs w:val="16"/>
      <w:lang w:eastAsia="en-US"/>
    </w:rPr>
  </w:style>
  <w:style w:type="character" w:styleId="Strong">
    <w:name w:val="Strong"/>
    <w:basedOn w:val="DefaultParagraphFont"/>
    <w:uiPriority w:val="22"/>
    <w:qFormat/>
    <w:locked/>
    <w:rsid w:val="00960FE0"/>
    <w:rPr>
      <w:b/>
      <w:bCs/>
    </w:rPr>
  </w:style>
  <w:style w:type="paragraph" w:styleId="EndnoteText">
    <w:name w:val="endnote text"/>
    <w:basedOn w:val="Normal"/>
    <w:link w:val="EndnoteTextChar"/>
    <w:uiPriority w:val="99"/>
    <w:semiHidden/>
    <w:unhideWhenUsed/>
    <w:rsid w:val="00EE4129"/>
    <w:rPr>
      <w:sz w:val="20"/>
      <w:szCs w:val="20"/>
    </w:rPr>
  </w:style>
  <w:style w:type="character" w:customStyle="1" w:styleId="EndnoteTextChar">
    <w:name w:val="Endnote Text Char"/>
    <w:basedOn w:val="DefaultParagraphFont"/>
    <w:link w:val="EndnoteText"/>
    <w:uiPriority w:val="99"/>
    <w:semiHidden/>
    <w:rsid w:val="00EE4129"/>
    <w:rPr>
      <w:lang w:eastAsia="en-US"/>
    </w:rPr>
  </w:style>
  <w:style w:type="character" w:styleId="EndnoteReference">
    <w:name w:val="endnote reference"/>
    <w:basedOn w:val="DefaultParagraphFont"/>
    <w:uiPriority w:val="99"/>
    <w:semiHidden/>
    <w:unhideWhenUsed/>
    <w:rsid w:val="00EE4129"/>
    <w:rPr>
      <w:vertAlign w:val="superscript"/>
    </w:rPr>
  </w:style>
  <w:style w:type="paragraph" w:styleId="TOC1">
    <w:name w:val="toc 1"/>
    <w:basedOn w:val="Normal"/>
    <w:next w:val="Normal"/>
    <w:autoRedefine/>
    <w:uiPriority w:val="39"/>
    <w:locked/>
    <w:rsid w:val="00511253"/>
    <w:pPr>
      <w:tabs>
        <w:tab w:val="left" w:pos="442"/>
        <w:tab w:val="right" w:leader="dot" w:pos="9628"/>
      </w:tabs>
      <w:spacing w:before="240"/>
    </w:pPr>
    <w:rPr>
      <w:rFonts w:ascii="Arial" w:hAnsi="Arial"/>
      <w:b/>
      <w:noProof/>
      <w:color w:val="000000" w:themeColor="text1"/>
      <w:sz w:val="20"/>
      <w:szCs w:val="20"/>
    </w:rPr>
  </w:style>
  <w:style w:type="paragraph" w:styleId="TOC2">
    <w:name w:val="toc 2"/>
    <w:basedOn w:val="Normal"/>
    <w:next w:val="Normal"/>
    <w:autoRedefine/>
    <w:uiPriority w:val="39"/>
    <w:locked/>
    <w:rsid w:val="00C86566"/>
    <w:pPr>
      <w:tabs>
        <w:tab w:val="left" w:pos="880"/>
        <w:tab w:val="right" w:leader="dot" w:pos="9628"/>
      </w:tabs>
      <w:spacing w:after="120"/>
      <w:ind w:left="851" w:hanging="630"/>
    </w:pPr>
    <w:rPr>
      <w:rFonts w:ascii="Arial" w:hAnsi="Arial"/>
      <w:sz w:val="20"/>
    </w:rPr>
  </w:style>
  <w:style w:type="paragraph" w:customStyle="1" w:styleId="RecommendationStyle">
    <w:name w:val="Recommendation Style"/>
    <w:basedOn w:val="ATARecommendationHeading"/>
    <w:link w:val="RecommendationStyleChar"/>
    <w:qFormat/>
    <w:rsid w:val="00907971"/>
    <w:pPr>
      <w:numPr>
        <w:numId w:val="2"/>
      </w:numPr>
      <w:tabs>
        <w:tab w:val="left" w:pos="2098"/>
      </w:tabs>
      <w:spacing w:before="240" w:after="120"/>
    </w:pPr>
    <w:rPr>
      <w:b/>
      <w:sz w:val="20"/>
      <w:szCs w:val="20"/>
    </w:rPr>
  </w:style>
  <w:style w:type="character" w:customStyle="1" w:styleId="RecommendationStyleChar">
    <w:name w:val="Recommendation Style Char"/>
    <w:basedOn w:val="ATARecommendationHeadingChar"/>
    <w:link w:val="RecommendationStyle"/>
    <w:rsid w:val="00907971"/>
    <w:rPr>
      <w:b/>
      <w:i/>
    </w:rPr>
  </w:style>
  <w:style w:type="paragraph" w:customStyle="1" w:styleId="RecommendationStyle2">
    <w:name w:val="Recommendation Style 2"/>
    <w:basedOn w:val="Normal"/>
    <w:link w:val="RecommendationStyle2Char"/>
    <w:qFormat/>
    <w:rsid w:val="006859F7"/>
    <w:pPr>
      <w:jc w:val="both"/>
    </w:pPr>
    <w:rPr>
      <w:rFonts w:ascii="Arial" w:hAnsi="Arial" w:cs="Arial"/>
      <w:b/>
      <w:sz w:val="20"/>
      <w:szCs w:val="20"/>
    </w:rPr>
  </w:style>
  <w:style w:type="character" w:customStyle="1" w:styleId="RecommendationStyle2Char">
    <w:name w:val="Recommendation Style 2 Char"/>
    <w:basedOn w:val="DefaultParagraphFont"/>
    <w:link w:val="RecommendationStyle2"/>
    <w:rsid w:val="006859F7"/>
    <w:rPr>
      <w:rFonts w:ascii="Arial" w:hAnsi="Arial" w:cs="Arial"/>
      <w:b/>
      <w:lang w:eastAsia="en-US"/>
    </w:rPr>
  </w:style>
  <w:style w:type="character" w:styleId="Hyperlink">
    <w:name w:val="Hyperlink"/>
    <w:basedOn w:val="DefaultParagraphFont"/>
    <w:uiPriority w:val="99"/>
    <w:unhideWhenUsed/>
    <w:rsid w:val="009E77F2"/>
    <w:rPr>
      <w:color w:val="0000FF" w:themeColor="hyperlink"/>
      <w:u w:val="single"/>
    </w:rPr>
  </w:style>
  <w:style w:type="paragraph" w:customStyle="1" w:styleId="RecommendationStyle3">
    <w:name w:val="Recommendation Style 3"/>
    <w:basedOn w:val="RecommendationStyle2"/>
    <w:link w:val="RecommendationStyle3Char"/>
    <w:qFormat/>
    <w:rsid w:val="00907971"/>
    <w:rPr>
      <w:color w:val="FFFFFF" w:themeColor="background1"/>
    </w:rPr>
  </w:style>
  <w:style w:type="paragraph" w:styleId="TOC3">
    <w:name w:val="toc 3"/>
    <w:basedOn w:val="Normal"/>
    <w:next w:val="Normal"/>
    <w:autoRedefine/>
    <w:uiPriority w:val="39"/>
    <w:locked/>
    <w:rsid w:val="00907971"/>
    <w:pPr>
      <w:tabs>
        <w:tab w:val="right" w:leader="dot" w:pos="9628"/>
      </w:tabs>
      <w:ind w:left="442"/>
    </w:pPr>
    <w:rPr>
      <w:noProof/>
      <w:color w:val="FFFFFF" w:themeColor="background1"/>
    </w:rPr>
  </w:style>
  <w:style w:type="character" w:customStyle="1" w:styleId="RecommendationStyle3Char">
    <w:name w:val="Recommendation Style 3 Char"/>
    <w:basedOn w:val="RecommendationStyle2Char"/>
    <w:link w:val="RecommendationStyle3"/>
    <w:rsid w:val="00907971"/>
    <w:rPr>
      <w:color w:val="FFFFFF" w:themeColor="background1"/>
    </w:rPr>
  </w:style>
  <w:style w:type="paragraph" w:customStyle="1" w:styleId="ATASubHead1">
    <w:name w:val="ATASubHead1"/>
    <w:basedOn w:val="Normal"/>
    <w:link w:val="ATASubHead1Char"/>
    <w:qFormat/>
    <w:rsid w:val="004008C7"/>
    <w:pPr>
      <w:tabs>
        <w:tab w:val="left" w:pos="851"/>
      </w:tabs>
      <w:spacing w:before="240" w:after="120"/>
    </w:pPr>
    <w:rPr>
      <w:rFonts w:ascii="Arial" w:hAnsi="Arial" w:cs="Arial"/>
      <w:b/>
      <w:color w:val="000064"/>
      <w:sz w:val="28"/>
      <w:szCs w:val="28"/>
    </w:rPr>
  </w:style>
  <w:style w:type="character" w:customStyle="1" w:styleId="ATASubHead1Char">
    <w:name w:val="ATASubHead1 Char"/>
    <w:link w:val="ATASubHead1"/>
    <w:rsid w:val="004008C7"/>
    <w:rPr>
      <w:rFonts w:ascii="Arial" w:hAnsi="Arial" w:cs="Arial"/>
      <w:b/>
      <w:color w:val="000064"/>
      <w:sz w:val="28"/>
      <w:szCs w:val="28"/>
      <w:lang w:eastAsia="en-US"/>
    </w:rPr>
  </w:style>
  <w:style w:type="table" w:customStyle="1" w:styleId="LightList-Accent11">
    <w:name w:val="Light List - Accent 11"/>
    <w:basedOn w:val="TableNormal"/>
    <w:uiPriority w:val="61"/>
    <w:rsid w:val="004008C7"/>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yle61">
    <w:name w:val="style61"/>
    <w:basedOn w:val="DefaultParagraphFont"/>
    <w:rsid w:val="0004192B"/>
    <w:rPr>
      <w:i/>
      <w:iCs/>
      <w:color w:val="333333"/>
    </w:rPr>
  </w:style>
  <w:style w:type="character" w:styleId="CommentReference">
    <w:name w:val="annotation reference"/>
    <w:basedOn w:val="DefaultParagraphFont"/>
    <w:uiPriority w:val="99"/>
    <w:semiHidden/>
    <w:unhideWhenUsed/>
    <w:rsid w:val="000E408F"/>
    <w:rPr>
      <w:sz w:val="16"/>
      <w:szCs w:val="16"/>
    </w:rPr>
  </w:style>
  <w:style w:type="paragraph" w:styleId="CommentText">
    <w:name w:val="annotation text"/>
    <w:basedOn w:val="Normal"/>
    <w:link w:val="CommentTextChar"/>
    <w:uiPriority w:val="99"/>
    <w:semiHidden/>
    <w:unhideWhenUsed/>
    <w:rsid w:val="000E408F"/>
    <w:rPr>
      <w:sz w:val="20"/>
      <w:szCs w:val="20"/>
    </w:rPr>
  </w:style>
  <w:style w:type="character" w:customStyle="1" w:styleId="CommentTextChar">
    <w:name w:val="Comment Text Char"/>
    <w:basedOn w:val="DefaultParagraphFont"/>
    <w:link w:val="CommentText"/>
    <w:uiPriority w:val="99"/>
    <w:semiHidden/>
    <w:rsid w:val="000E408F"/>
    <w:rPr>
      <w:lang w:eastAsia="en-US"/>
    </w:rPr>
  </w:style>
  <w:style w:type="paragraph" w:styleId="CommentSubject">
    <w:name w:val="annotation subject"/>
    <w:basedOn w:val="CommentText"/>
    <w:next w:val="CommentText"/>
    <w:link w:val="CommentSubjectChar"/>
    <w:uiPriority w:val="99"/>
    <w:semiHidden/>
    <w:unhideWhenUsed/>
    <w:rsid w:val="000E408F"/>
    <w:rPr>
      <w:b/>
      <w:bCs/>
    </w:rPr>
  </w:style>
  <w:style w:type="character" w:customStyle="1" w:styleId="CommentSubjectChar">
    <w:name w:val="Comment Subject Char"/>
    <w:basedOn w:val="CommentTextChar"/>
    <w:link w:val="CommentSubject"/>
    <w:uiPriority w:val="99"/>
    <w:semiHidden/>
    <w:rsid w:val="000E408F"/>
    <w:rPr>
      <w:b/>
      <w:bCs/>
    </w:rPr>
  </w:style>
  <w:style w:type="paragraph" w:styleId="Quote">
    <w:name w:val="Quote"/>
    <w:basedOn w:val="Normal"/>
    <w:next w:val="Normal"/>
    <w:link w:val="QuoteChar"/>
    <w:uiPriority w:val="29"/>
    <w:qFormat/>
    <w:rsid w:val="00A45F83"/>
    <w:pPr>
      <w:ind w:left="567" w:right="1230"/>
    </w:pPr>
    <w:rPr>
      <w:rFonts w:asciiTheme="minorHAnsi" w:eastAsiaTheme="minorHAnsi" w:hAnsiTheme="minorHAnsi" w:cstheme="minorBidi"/>
      <w:iCs/>
      <w:color w:val="000000" w:themeColor="text1"/>
      <w:sz w:val="21"/>
      <w:szCs w:val="21"/>
    </w:rPr>
  </w:style>
  <w:style w:type="character" w:customStyle="1" w:styleId="QuoteChar">
    <w:name w:val="Quote Char"/>
    <w:basedOn w:val="DefaultParagraphFont"/>
    <w:link w:val="Quote"/>
    <w:uiPriority w:val="29"/>
    <w:rsid w:val="00A45F83"/>
    <w:rPr>
      <w:rFonts w:asciiTheme="minorHAnsi" w:eastAsiaTheme="minorHAnsi" w:hAnsiTheme="minorHAnsi" w:cstheme="minorBidi"/>
      <w:iCs/>
      <w:color w:val="000000" w:themeColor="text1"/>
      <w:sz w:val="21"/>
      <w:szCs w:val="21"/>
      <w:lang w:eastAsia="en-US"/>
    </w:rPr>
  </w:style>
  <w:style w:type="character" w:customStyle="1" w:styleId="st">
    <w:name w:val="st"/>
    <w:basedOn w:val="DefaultParagraphFont"/>
    <w:rsid w:val="000A3F4E"/>
  </w:style>
  <w:style w:type="character" w:styleId="FollowedHyperlink">
    <w:name w:val="FollowedHyperlink"/>
    <w:basedOn w:val="DefaultParagraphFont"/>
    <w:uiPriority w:val="99"/>
    <w:semiHidden/>
    <w:unhideWhenUsed/>
    <w:rsid w:val="0062389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3735435">
      <w:bodyDiv w:val="1"/>
      <w:marLeft w:val="0"/>
      <w:marRight w:val="0"/>
      <w:marTop w:val="0"/>
      <w:marBottom w:val="0"/>
      <w:divBdr>
        <w:top w:val="none" w:sz="0" w:space="0" w:color="auto"/>
        <w:left w:val="none" w:sz="0" w:space="0" w:color="auto"/>
        <w:bottom w:val="none" w:sz="0" w:space="0" w:color="auto"/>
        <w:right w:val="none" w:sz="0" w:space="0" w:color="auto"/>
      </w:divBdr>
    </w:div>
    <w:div w:id="251940546">
      <w:bodyDiv w:val="1"/>
      <w:marLeft w:val="0"/>
      <w:marRight w:val="0"/>
      <w:marTop w:val="0"/>
      <w:marBottom w:val="0"/>
      <w:divBdr>
        <w:top w:val="none" w:sz="0" w:space="0" w:color="auto"/>
        <w:left w:val="none" w:sz="0" w:space="0" w:color="auto"/>
        <w:bottom w:val="none" w:sz="0" w:space="0" w:color="auto"/>
        <w:right w:val="none" w:sz="0" w:space="0" w:color="auto"/>
      </w:divBdr>
    </w:div>
    <w:div w:id="255597494">
      <w:bodyDiv w:val="1"/>
      <w:marLeft w:val="0"/>
      <w:marRight w:val="0"/>
      <w:marTop w:val="0"/>
      <w:marBottom w:val="0"/>
      <w:divBdr>
        <w:top w:val="none" w:sz="0" w:space="0" w:color="auto"/>
        <w:left w:val="none" w:sz="0" w:space="0" w:color="auto"/>
        <w:bottom w:val="none" w:sz="0" w:space="0" w:color="auto"/>
        <w:right w:val="none" w:sz="0" w:space="0" w:color="auto"/>
      </w:divBdr>
    </w:div>
    <w:div w:id="349381134">
      <w:bodyDiv w:val="1"/>
      <w:marLeft w:val="0"/>
      <w:marRight w:val="0"/>
      <w:marTop w:val="0"/>
      <w:marBottom w:val="0"/>
      <w:divBdr>
        <w:top w:val="none" w:sz="0" w:space="0" w:color="auto"/>
        <w:left w:val="none" w:sz="0" w:space="0" w:color="auto"/>
        <w:bottom w:val="none" w:sz="0" w:space="0" w:color="auto"/>
        <w:right w:val="none" w:sz="0" w:space="0" w:color="auto"/>
      </w:divBdr>
    </w:div>
    <w:div w:id="412705156">
      <w:bodyDiv w:val="1"/>
      <w:marLeft w:val="0"/>
      <w:marRight w:val="0"/>
      <w:marTop w:val="0"/>
      <w:marBottom w:val="0"/>
      <w:divBdr>
        <w:top w:val="none" w:sz="0" w:space="0" w:color="auto"/>
        <w:left w:val="none" w:sz="0" w:space="0" w:color="auto"/>
        <w:bottom w:val="none" w:sz="0" w:space="0" w:color="auto"/>
        <w:right w:val="none" w:sz="0" w:space="0" w:color="auto"/>
      </w:divBdr>
    </w:div>
    <w:div w:id="430786656">
      <w:bodyDiv w:val="1"/>
      <w:marLeft w:val="0"/>
      <w:marRight w:val="0"/>
      <w:marTop w:val="0"/>
      <w:marBottom w:val="0"/>
      <w:divBdr>
        <w:top w:val="none" w:sz="0" w:space="0" w:color="auto"/>
        <w:left w:val="none" w:sz="0" w:space="0" w:color="auto"/>
        <w:bottom w:val="none" w:sz="0" w:space="0" w:color="auto"/>
        <w:right w:val="none" w:sz="0" w:space="0" w:color="auto"/>
      </w:divBdr>
    </w:div>
    <w:div w:id="479808035">
      <w:bodyDiv w:val="1"/>
      <w:marLeft w:val="0"/>
      <w:marRight w:val="0"/>
      <w:marTop w:val="0"/>
      <w:marBottom w:val="0"/>
      <w:divBdr>
        <w:top w:val="none" w:sz="0" w:space="0" w:color="auto"/>
        <w:left w:val="none" w:sz="0" w:space="0" w:color="auto"/>
        <w:bottom w:val="none" w:sz="0" w:space="0" w:color="auto"/>
        <w:right w:val="none" w:sz="0" w:space="0" w:color="auto"/>
      </w:divBdr>
    </w:div>
    <w:div w:id="565264019">
      <w:bodyDiv w:val="1"/>
      <w:marLeft w:val="0"/>
      <w:marRight w:val="0"/>
      <w:marTop w:val="0"/>
      <w:marBottom w:val="0"/>
      <w:divBdr>
        <w:top w:val="none" w:sz="0" w:space="0" w:color="auto"/>
        <w:left w:val="none" w:sz="0" w:space="0" w:color="auto"/>
        <w:bottom w:val="none" w:sz="0" w:space="0" w:color="auto"/>
        <w:right w:val="none" w:sz="0" w:space="0" w:color="auto"/>
      </w:divBdr>
    </w:div>
    <w:div w:id="568002639">
      <w:bodyDiv w:val="1"/>
      <w:marLeft w:val="0"/>
      <w:marRight w:val="0"/>
      <w:marTop w:val="0"/>
      <w:marBottom w:val="0"/>
      <w:divBdr>
        <w:top w:val="none" w:sz="0" w:space="0" w:color="auto"/>
        <w:left w:val="none" w:sz="0" w:space="0" w:color="auto"/>
        <w:bottom w:val="none" w:sz="0" w:space="0" w:color="auto"/>
        <w:right w:val="none" w:sz="0" w:space="0" w:color="auto"/>
      </w:divBdr>
    </w:div>
    <w:div w:id="819469156">
      <w:bodyDiv w:val="1"/>
      <w:marLeft w:val="0"/>
      <w:marRight w:val="0"/>
      <w:marTop w:val="0"/>
      <w:marBottom w:val="0"/>
      <w:divBdr>
        <w:top w:val="none" w:sz="0" w:space="0" w:color="auto"/>
        <w:left w:val="none" w:sz="0" w:space="0" w:color="auto"/>
        <w:bottom w:val="none" w:sz="0" w:space="0" w:color="auto"/>
        <w:right w:val="none" w:sz="0" w:space="0" w:color="auto"/>
      </w:divBdr>
    </w:div>
    <w:div w:id="895626239">
      <w:bodyDiv w:val="1"/>
      <w:marLeft w:val="0"/>
      <w:marRight w:val="0"/>
      <w:marTop w:val="0"/>
      <w:marBottom w:val="0"/>
      <w:divBdr>
        <w:top w:val="none" w:sz="0" w:space="0" w:color="auto"/>
        <w:left w:val="none" w:sz="0" w:space="0" w:color="auto"/>
        <w:bottom w:val="none" w:sz="0" w:space="0" w:color="auto"/>
        <w:right w:val="none" w:sz="0" w:space="0" w:color="auto"/>
      </w:divBdr>
    </w:div>
    <w:div w:id="1033768610">
      <w:bodyDiv w:val="1"/>
      <w:marLeft w:val="0"/>
      <w:marRight w:val="0"/>
      <w:marTop w:val="0"/>
      <w:marBottom w:val="0"/>
      <w:divBdr>
        <w:top w:val="none" w:sz="0" w:space="0" w:color="auto"/>
        <w:left w:val="none" w:sz="0" w:space="0" w:color="auto"/>
        <w:bottom w:val="none" w:sz="0" w:space="0" w:color="auto"/>
        <w:right w:val="none" w:sz="0" w:space="0" w:color="auto"/>
      </w:divBdr>
    </w:div>
    <w:div w:id="1055546090">
      <w:bodyDiv w:val="1"/>
      <w:marLeft w:val="0"/>
      <w:marRight w:val="0"/>
      <w:marTop w:val="0"/>
      <w:marBottom w:val="0"/>
      <w:divBdr>
        <w:top w:val="none" w:sz="0" w:space="0" w:color="auto"/>
        <w:left w:val="none" w:sz="0" w:space="0" w:color="auto"/>
        <w:bottom w:val="none" w:sz="0" w:space="0" w:color="auto"/>
        <w:right w:val="none" w:sz="0" w:space="0" w:color="auto"/>
      </w:divBdr>
    </w:div>
    <w:div w:id="1124082810">
      <w:marLeft w:val="0"/>
      <w:marRight w:val="0"/>
      <w:marTop w:val="0"/>
      <w:marBottom w:val="0"/>
      <w:divBdr>
        <w:top w:val="none" w:sz="0" w:space="0" w:color="auto"/>
        <w:left w:val="none" w:sz="0" w:space="0" w:color="auto"/>
        <w:bottom w:val="none" w:sz="0" w:space="0" w:color="auto"/>
        <w:right w:val="none" w:sz="0" w:space="0" w:color="auto"/>
      </w:divBdr>
    </w:div>
    <w:div w:id="1124082811">
      <w:marLeft w:val="0"/>
      <w:marRight w:val="0"/>
      <w:marTop w:val="0"/>
      <w:marBottom w:val="0"/>
      <w:divBdr>
        <w:top w:val="none" w:sz="0" w:space="0" w:color="auto"/>
        <w:left w:val="none" w:sz="0" w:space="0" w:color="auto"/>
        <w:bottom w:val="none" w:sz="0" w:space="0" w:color="auto"/>
        <w:right w:val="none" w:sz="0" w:space="0" w:color="auto"/>
      </w:divBdr>
    </w:div>
    <w:div w:id="1215896090">
      <w:bodyDiv w:val="1"/>
      <w:marLeft w:val="0"/>
      <w:marRight w:val="0"/>
      <w:marTop w:val="0"/>
      <w:marBottom w:val="0"/>
      <w:divBdr>
        <w:top w:val="none" w:sz="0" w:space="0" w:color="auto"/>
        <w:left w:val="none" w:sz="0" w:space="0" w:color="auto"/>
        <w:bottom w:val="none" w:sz="0" w:space="0" w:color="auto"/>
        <w:right w:val="none" w:sz="0" w:space="0" w:color="auto"/>
      </w:divBdr>
    </w:div>
    <w:div w:id="1301036078">
      <w:bodyDiv w:val="1"/>
      <w:marLeft w:val="0"/>
      <w:marRight w:val="0"/>
      <w:marTop w:val="0"/>
      <w:marBottom w:val="0"/>
      <w:divBdr>
        <w:top w:val="none" w:sz="0" w:space="0" w:color="auto"/>
        <w:left w:val="none" w:sz="0" w:space="0" w:color="auto"/>
        <w:bottom w:val="none" w:sz="0" w:space="0" w:color="auto"/>
        <w:right w:val="none" w:sz="0" w:space="0" w:color="auto"/>
      </w:divBdr>
    </w:div>
    <w:div w:id="1324091239">
      <w:bodyDiv w:val="1"/>
      <w:marLeft w:val="0"/>
      <w:marRight w:val="0"/>
      <w:marTop w:val="0"/>
      <w:marBottom w:val="0"/>
      <w:divBdr>
        <w:top w:val="none" w:sz="0" w:space="0" w:color="auto"/>
        <w:left w:val="none" w:sz="0" w:space="0" w:color="auto"/>
        <w:bottom w:val="none" w:sz="0" w:space="0" w:color="auto"/>
        <w:right w:val="none" w:sz="0" w:space="0" w:color="auto"/>
      </w:divBdr>
    </w:div>
    <w:div w:id="1368337452">
      <w:bodyDiv w:val="1"/>
      <w:marLeft w:val="0"/>
      <w:marRight w:val="0"/>
      <w:marTop w:val="0"/>
      <w:marBottom w:val="0"/>
      <w:divBdr>
        <w:top w:val="none" w:sz="0" w:space="0" w:color="auto"/>
        <w:left w:val="none" w:sz="0" w:space="0" w:color="auto"/>
        <w:bottom w:val="none" w:sz="0" w:space="0" w:color="auto"/>
        <w:right w:val="none" w:sz="0" w:space="0" w:color="auto"/>
      </w:divBdr>
    </w:div>
    <w:div w:id="1523207717">
      <w:bodyDiv w:val="1"/>
      <w:marLeft w:val="0"/>
      <w:marRight w:val="0"/>
      <w:marTop w:val="0"/>
      <w:marBottom w:val="0"/>
      <w:divBdr>
        <w:top w:val="none" w:sz="0" w:space="0" w:color="auto"/>
        <w:left w:val="none" w:sz="0" w:space="0" w:color="auto"/>
        <w:bottom w:val="none" w:sz="0" w:space="0" w:color="auto"/>
        <w:right w:val="none" w:sz="0" w:space="0" w:color="auto"/>
      </w:divBdr>
    </w:div>
    <w:div w:id="1535532365">
      <w:bodyDiv w:val="1"/>
      <w:marLeft w:val="0"/>
      <w:marRight w:val="0"/>
      <w:marTop w:val="0"/>
      <w:marBottom w:val="0"/>
      <w:divBdr>
        <w:top w:val="none" w:sz="0" w:space="0" w:color="auto"/>
        <w:left w:val="none" w:sz="0" w:space="0" w:color="auto"/>
        <w:bottom w:val="none" w:sz="0" w:space="0" w:color="auto"/>
        <w:right w:val="none" w:sz="0" w:space="0" w:color="auto"/>
      </w:divBdr>
    </w:div>
    <w:div w:id="1538666175">
      <w:bodyDiv w:val="1"/>
      <w:marLeft w:val="0"/>
      <w:marRight w:val="0"/>
      <w:marTop w:val="0"/>
      <w:marBottom w:val="0"/>
      <w:divBdr>
        <w:top w:val="none" w:sz="0" w:space="0" w:color="auto"/>
        <w:left w:val="none" w:sz="0" w:space="0" w:color="auto"/>
        <w:bottom w:val="none" w:sz="0" w:space="0" w:color="auto"/>
        <w:right w:val="none" w:sz="0" w:space="0" w:color="auto"/>
      </w:divBdr>
    </w:div>
    <w:div w:id="1561860367">
      <w:bodyDiv w:val="1"/>
      <w:marLeft w:val="0"/>
      <w:marRight w:val="0"/>
      <w:marTop w:val="0"/>
      <w:marBottom w:val="0"/>
      <w:divBdr>
        <w:top w:val="none" w:sz="0" w:space="0" w:color="auto"/>
        <w:left w:val="none" w:sz="0" w:space="0" w:color="auto"/>
        <w:bottom w:val="none" w:sz="0" w:space="0" w:color="auto"/>
        <w:right w:val="none" w:sz="0" w:space="0" w:color="auto"/>
      </w:divBdr>
    </w:div>
    <w:div w:id="1691175791">
      <w:bodyDiv w:val="1"/>
      <w:marLeft w:val="0"/>
      <w:marRight w:val="0"/>
      <w:marTop w:val="0"/>
      <w:marBottom w:val="0"/>
      <w:divBdr>
        <w:top w:val="none" w:sz="0" w:space="0" w:color="auto"/>
        <w:left w:val="none" w:sz="0" w:space="0" w:color="auto"/>
        <w:bottom w:val="none" w:sz="0" w:space="0" w:color="auto"/>
        <w:right w:val="none" w:sz="0" w:space="0" w:color="auto"/>
      </w:divBdr>
    </w:div>
    <w:div w:id="1733774192">
      <w:bodyDiv w:val="1"/>
      <w:marLeft w:val="0"/>
      <w:marRight w:val="0"/>
      <w:marTop w:val="0"/>
      <w:marBottom w:val="0"/>
      <w:divBdr>
        <w:top w:val="none" w:sz="0" w:space="0" w:color="auto"/>
        <w:left w:val="none" w:sz="0" w:space="0" w:color="auto"/>
        <w:bottom w:val="none" w:sz="0" w:space="0" w:color="auto"/>
        <w:right w:val="none" w:sz="0" w:space="0" w:color="auto"/>
      </w:divBdr>
    </w:div>
    <w:div w:id="1872260726">
      <w:bodyDiv w:val="1"/>
      <w:marLeft w:val="0"/>
      <w:marRight w:val="0"/>
      <w:marTop w:val="0"/>
      <w:marBottom w:val="0"/>
      <w:divBdr>
        <w:top w:val="none" w:sz="0" w:space="0" w:color="auto"/>
        <w:left w:val="none" w:sz="0" w:space="0" w:color="auto"/>
        <w:bottom w:val="none" w:sz="0" w:space="0" w:color="auto"/>
        <w:right w:val="none" w:sz="0" w:space="0" w:color="auto"/>
      </w:divBdr>
    </w:div>
    <w:div w:id="1982342483">
      <w:bodyDiv w:val="1"/>
      <w:marLeft w:val="0"/>
      <w:marRight w:val="0"/>
      <w:marTop w:val="0"/>
      <w:marBottom w:val="0"/>
      <w:divBdr>
        <w:top w:val="none" w:sz="0" w:space="0" w:color="auto"/>
        <w:left w:val="none" w:sz="0" w:space="0" w:color="auto"/>
        <w:bottom w:val="none" w:sz="0" w:space="0" w:color="auto"/>
        <w:right w:val="none" w:sz="0" w:space="0" w:color="auto"/>
      </w:divBdr>
    </w:div>
    <w:div w:id="2076050704">
      <w:bodyDiv w:val="1"/>
      <w:marLeft w:val="0"/>
      <w:marRight w:val="0"/>
      <w:marTop w:val="0"/>
      <w:marBottom w:val="0"/>
      <w:divBdr>
        <w:top w:val="none" w:sz="0" w:space="0" w:color="auto"/>
        <w:left w:val="none" w:sz="0" w:space="0" w:color="auto"/>
        <w:bottom w:val="none" w:sz="0" w:space="0" w:color="auto"/>
        <w:right w:val="none" w:sz="0" w:space="0" w:color="auto"/>
      </w:divBdr>
    </w:div>
    <w:div w:id="213000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45982-8089-43FE-9B07-0CD774763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7</Pages>
  <Words>2509</Words>
  <Characters>14298</Characters>
  <Application>Microsoft Office Word</Application>
  <DocSecurity>0</DocSecurity>
  <Lines>119</Lines>
  <Paragraphs>33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SUBMISSION PROPOSED HEAVY VEHICLE NATIONAL LAWS</vt:lpstr>
      <vt:lpstr>Introduction</vt:lpstr>
      <vt:lpstr>Australian Trucking Association  </vt:lpstr>
      <vt:lpstr>Recommendations </vt:lpstr>
      <vt:lpstr>Industry issues </vt:lpstr>
      <vt:lpstr>TruckSafe® Heavy Vehicle Safety Accreditation Program</vt:lpstr>
      <vt:lpstr>A history of industry compliance </vt:lpstr>
      <vt:lpstr>Chain of Responsibility (COR) and a ‘culture of compliance’</vt:lpstr>
      <vt:lpstr>Infrastructure and regulatory compliance</vt:lpstr>
      <vt:lpstr>Conclusion</vt:lpstr>
    </vt:vector>
  </TitlesOfParts>
  <Company>HP</Company>
  <LinksUpToDate>false</LinksUpToDate>
  <CharactersWithSpaces>16774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PROPOSED HEAVY VEHICLE NATIONAL LAWS</dc:title>
  <dc:creator>loydelld</dc:creator>
  <cp:lastModifiedBy>rowena.mueller</cp:lastModifiedBy>
  <cp:revision>163</cp:revision>
  <cp:lastPrinted>2013-11-05T23:55:00Z</cp:lastPrinted>
  <dcterms:created xsi:type="dcterms:W3CDTF">2013-11-03T23:04:00Z</dcterms:created>
  <dcterms:modified xsi:type="dcterms:W3CDTF">2013-11-06T00:19:00Z</dcterms:modified>
</cp:coreProperties>
</file>