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660"/>
        <w:gridCol w:w="6379"/>
      </w:tblGrid>
      <w:tr w:rsidR="00D735FF" w:rsidRPr="00CF7294" w:rsidTr="000156D1">
        <w:trPr>
          <w:trHeight w:val="756"/>
        </w:trPr>
        <w:tc>
          <w:tcPr>
            <w:tcW w:w="2660" w:type="dxa"/>
            <w:vAlign w:val="center"/>
          </w:tcPr>
          <w:p w:rsidR="00D735FF" w:rsidRPr="00CF7294" w:rsidRDefault="00D735FF" w:rsidP="00AB24F2">
            <w:pPr>
              <w:pStyle w:val="Header"/>
              <w:rPr>
                <w:rFonts w:ascii="Arial" w:hAnsi="Arial" w:cs="Arial"/>
                <w:b/>
                <w:sz w:val="32"/>
              </w:rPr>
            </w:pPr>
            <w:bookmarkStart w:id="0" w:name="_GoBack"/>
            <w:bookmarkEnd w:id="0"/>
            <w:r w:rsidRPr="00CF7294">
              <w:rPr>
                <w:rFonts w:ascii="Arial" w:hAnsi="Arial" w:cs="Arial"/>
                <w:b/>
                <w:sz w:val="32"/>
              </w:rPr>
              <w:t>Submission to:</w:t>
            </w:r>
          </w:p>
        </w:tc>
        <w:tc>
          <w:tcPr>
            <w:tcW w:w="6379" w:type="dxa"/>
            <w:vAlign w:val="center"/>
          </w:tcPr>
          <w:p w:rsidR="00D735FF" w:rsidRPr="00CF7294" w:rsidRDefault="00623887" w:rsidP="00AB24F2">
            <w:pPr>
              <w:pStyle w:val="Header"/>
              <w:rPr>
                <w:rFonts w:ascii="Arial" w:hAnsi="Arial" w:cs="Arial"/>
                <w:sz w:val="32"/>
              </w:rPr>
            </w:pPr>
            <w:r w:rsidRPr="00CF7294">
              <w:rPr>
                <w:rFonts w:ascii="Arial" w:hAnsi="Arial" w:cs="Arial"/>
                <w:sz w:val="32"/>
              </w:rPr>
              <w:t>Australian Government</w:t>
            </w:r>
            <w:r w:rsidR="00F3294F" w:rsidRPr="00CF7294">
              <w:rPr>
                <w:rFonts w:ascii="Arial" w:hAnsi="Arial" w:cs="Arial"/>
                <w:sz w:val="32"/>
              </w:rPr>
              <w:t xml:space="preserve"> </w:t>
            </w:r>
            <w:r w:rsidR="00EA3322" w:rsidRPr="00CF7294">
              <w:rPr>
                <w:rFonts w:ascii="Arial" w:hAnsi="Arial" w:cs="Arial"/>
                <w:sz w:val="32"/>
              </w:rPr>
              <w:t xml:space="preserve"> </w:t>
            </w:r>
          </w:p>
        </w:tc>
      </w:tr>
      <w:tr w:rsidR="00D735FF" w:rsidRPr="00CF7294" w:rsidTr="000156D1">
        <w:trPr>
          <w:trHeight w:val="756"/>
        </w:trPr>
        <w:tc>
          <w:tcPr>
            <w:tcW w:w="2660" w:type="dxa"/>
            <w:vAlign w:val="center"/>
          </w:tcPr>
          <w:p w:rsidR="00D735FF" w:rsidRPr="00CF7294" w:rsidRDefault="00D735FF" w:rsidP="00AB24F2">
            <w:pPr>
              <w:pStyle w:val="Header"/>
              <w:rPr>
                <w:rFonts w:ascii="Arial" w:hAnsi="Arial" w:cs="Arial"/>
                <w:b/>
                <w:sz w:val="32"/>
              </w:rPr>
            </w:pPr>
            <w:r w:rsidRPr="00CF7294">
              <w:rPr>
                <w:rFonts w:ascii="Arial" w:hAnsi="Arial" w:cs="Arial"/>
                <w:b/>
                <w:sz w:val="32"/>
              </w:rPr>
              <w:t>Title:</w:t>
            </w:r>
          </w:p>
        </w:tc>
        <w:tc>
          <w:tcPr>
            <w:tcW w:w="6379" w:type="dxa"/>
            <w:vAlign w:val="center"/>
          </w:tcPr>
          <w:p w:rsidR="00D735FF" w:rsidRPr="00CF7294" w:rsidRDefault="005E25FA" w:rsidP="00AB24F2">
            <w:pPr>
              <w:pStyle w:val="Header"/>
              <w:rPr>
                <w:rFonts w:ascii="Arial" w:hAnsi="Arial" w:cs="Arial"/>
                <w:sz w:val="32"/>
              </w:rPr>
            </w:pPr>
            <w:r w:rsidRPr="00CF7294">
              <w:rPr>
                <w:rFonts w:ascii="Arial" w:hAnsi="Arial" w:cs="Arial"/>
                <w:sz w:val="32"/>
              </w:rPr>
              <w:t>Competition Policy Review: Final Report</w:t>
            </w:r>
          </w:p>
        </w:tc>
      </w:tr>
      <w:tr w:rsidR="00D735FF" w:rsidRPr="00CF7294" w:rsidTr="000156D1">
        <w:trPr>
          <w:trHeight w:val="756"/>
        </w:trPr>
        <w:tc>
          <w:tcPr>
            <w:tcW w:w="2660" w:type="dxa"/>
            <w:vAlign w:val="center"/>
          </w:tcPr>
          <w:p w:rsidR="00D735FF" w:rsidRPr="00CF7294" w:rsidRDefault="00D735FF" w:rsidP="00AB24F2">
            <w:pPr>
              <w:pStyle w:val="Header"/>
              <w:rPr>
                <w:rFonts w:ascii="Arial" w:hAnsi="Arial" w:cs="Arial"/>
                <w:b/>
                <w:sz w:val="32"/>
              </w:rPr>
            </w:pPr>
            <w:r w:rsidRPr="00CF7294">
              <w:rPr>
                <w:rFonts w:ascii="Arial" w:hAnsi="Arial" w:cs="Arial"/>
                <w:b/>
                <w:sz w:val="32"/>
              </w:rPr>
              <w:t>Date:</w:t>
            </w:r>
          </w:p>
        </w:tc>
        <w:tc>
          <w:tcPr>
            <w:tcW w:w="6379" w:type="dxa"/>
            <w:vAlign w:val="center"/>
          </w:tcPr>
          <w:p w:rsidR="00D735FF" w:rsidRPr="00CF7294" w:rsidRDefault="00776E81" w:rsidP="00AB24F2">
            <w:pPr>
              <w:pStyle w:val="Header"/>
              <w:rPr>
                <w:rFonts w:ascii="Arial" w:hAnsi="Arial" w:cs="Arial"/>
                <w:sz w:val="32"/>
              </w:rPr>
            </w:pPr>
            <w:r w:rsidRPr="00CF7294">
              <w:rPr>
                <w:rFonts w:ascii="Arial" w:hAnsi="Arial" w:cs="Arial"/>
                <w:sz w:val="32"/>
              </w:rPr>
              <w:t xml:space="preserve"> </w:t>
            </w:r>
            <w:r w:rsidR="00627DE0">
              <w:rPr>
                <w:rFonts w:ascii="Arial" w:hAnsi="Arial" w:cs="Arial"/>
                <w:sz w:val="32"/>
              </w:rPr>
              <w:t xml:space="preserve">26 May </w:t>
            </w:r>
            <w:r w:rsidRPr="00CF7294">
              <w:rPr>
                <w:rFonts w:ascii="Arial" w:hAnsi="Arial" w:cs="Arial"/>
                <w:sz w:val="32"/>
              </w:rPr>
              <w:t>2015</w:t>
            </w:r>
          </w:p>
        </w:tc>
      </w:tr>
    </w:tbl>
    <w:p w:rsidR="00D735FF" w:rsidRPr="00CF7294" w:rsidRDefault="00D735FF" w:rsidP="00AB24F2">
      <w:pPr>
        <w:pStyle w:val="Header"/>
        <w:rPr>
          <w:rFonts w:ascii="Arial" w:hAnsi="Arial" w:cs="Arial"/>
          <w:sz w:val="32"/>
        </w:rPr>
      </w:pPr>
    </w:p>
    <w:p w:rsidR="00D735FF" w:rsidRPr="00CF7294" w:rsidRDefault="00D735FF" w:rsidP="00AB24F2">
      <w:pPr>
        <w:pStyle w:val="Header"/>
        <w:rPr>
          <w:rFonts w:ascii="Arial" w:hAnsi="Arial" w:cs="Arial"/>
          <w:sz w:val="32"/>
        </w:rPr>
      </w:pPr>
    </w:p>
    <w:p w:rsidR="00576ED0" w:rsidRPr="00CF7294" w:rsidRDefault="00576ED0" w:rsidP="00AB24F2">
      <w:pPr>
        <w:pStyle w:val="Header"/>
        <w:rPr>
          <w:rFonts w:ascii="Arial" w:hAnsi="Arial" w:cs="Arial"/>
          <w:sz w:val="32"/>
        </w:rPr>
      </w:pPr>
    </w:p>
    <w:p w:rsidR="00576ED0" w:rsidRPr="00CF7294" w:rsidRDefault="00576ED0" w:rsidP="00AB24F2">
      <w:pPr>
        <w:rPr>
          <w:rFonts w:ascii="Arial" w:hAnsi="Arial" w:cs="Arial"/>
        </w:rPr>
        <w:sectPr w:rsidR="00576ED0" w:rsidRPr="00CF7294" w:rsidSect="005F5ACC">
          <w:footerReference w:type="default" r:id="rId8"/>
          <w:headerReference w:type="first" r:id="rId9"/>
          <w:footerReference w:type="first" r:id="rId10"/>
          <w:pgSz w:w="11906" w:h="16838"/>
          <w:pgMar w:top="5103" w:right="1133" w:bottom="1418" w:left="1134" w:header="851" w:footer="651" w:gutter="0"/>
          <w:cols w:space="708"/>
          <w:docGrid w:linePitch="360"/>
        </w:sectPr>
      </w:pPr>
    </w:p>
    <w:p w:rsidR="00576ED0" w:rsidRPr="00CF7294" w:rsidRDefault="00576ED0" w:rsidP="00AB24F2">
      <w:pPr>
        <w:rPr>
          <w:rFonts w:ascii="Arial" w:hAnsi="Arial" w:cs="Arial"/>
        </w:rPr>
      </w:pPr>
    </w:p>
    <w:p w:rsidR="0035493A" w:rsidRPr="00CF7294" w:rsidRDefault="0035493A" w:rsidP="00AB24F2">
      <w:pPr>
        <w:rPr>
          <w:rFonts w:ascii="Arial" w:hAnsi="Arial" w:cs="Arial"/>
        </w:rPr>
      </w:pPr>
    </w:p>
    <w:p w:rsidR="0035493A" w:rsidRPr="00CF7294" w:rsidRDefault="0035493A" w:rsidP="00AB24F2">
      <w:pPr>
        <w:rPr>
          <w:rFonts w:ascii="Arial" w:hAnsi="Arial" w:cs="Arial"/>
        </w:rPr>
      </w:pPr>
    </w:p>
    <w:p w:rsidR="0035493A" w:rsidRPr="00CF7294" w:rsidRDefault="0035493A" w:rsidP="00AB24F2">
      <w:pPr>
        <w:rPr>
          <w:rFonts w:ascii="Arial" w:hAnsi="Arial" w:cs="Arial"/>
        </w:rPr>
      </w:pPr>
    </w:p>
    <w:p w:rsidR="0035493A" w:rsidRPr="00CF7294" w:rsidRDefault="0035493A" w:rsidP="00AB24F2">
      <w:pPr>
        <w:rPr>
          <w:rFonts w:ascii="Arial" w:hAnsi="Arial" w:cs="Arial"/>
        </w:rPr>
      </w:pPr>
    </w:p>
    <w:p w:rsidR="0035493A" w:rsidRPr="00CF7294" w:rsidRDefault="003B74E4" w:rsidP="00AB24F2">
      <w:pPr>
        <w:rPr>
          <w:rFonts w:ascii="Arial" w:hAnsi="Arial" w:cs="Arial"/>
          <w:b/>
          <w:color w:val="000064"/>
          <w:sz w:val="32"/>
        </w:rPr>
      </w:pPr>
      <w:r w:rsidRPr="00CF7294">
        <w:rPr>
          <w:rFonts w:ascii="Arial" w:hAnsi="Arial" w:cs="Arial"/>
          <w:b/>
          <w:color w:val="000064"/>
          <w:sz w:val="32"/>
        </w:rPr>
        <w:t>Contents</w:t>
      </w:r>
    </w:p>
    <w:p w:rsidR="00576ED0" w:rsidRPr="00CF7294" w:rsidRDefault="00576ED0" w:rsidP="00AB24F2">
      <w:pPr>
        <w:rPr>
          <w:rFonts w:ascii="Arial" w:hAnsi="Arial" w:cs="Arial"/>
        </w:rPr>
      </w:pPr>
    </w:p>
    <w:p w:rsidR="009B0520" w:rsidRPr="00CF7294" w:rsidRDefault="009B0520" w:rsidP="00AB24F2">
      <w:pPr>
        <w:rPr>
          <w:rFonts w:ascii="Arial" w:hAnsi="Arial" w:cs="Arial"/>
        </w:rPr>
      </w:pPr>
    </w:p>
    <w:p w:rsidR="00E34FE2" w:rsidRDefault="003B2024">
      <w:pPr>
        <w:pStyle w:val="TOC1"/>
        <w:tabs>
          <w:tab w:val="left" w:pos="442"/>
        </w:tabs>
        <w:rPr>
          <w:rFonts w:asciiTheme="minorHAnsi" w:eastAsiaTheme="minorEastAsia" w:hAnsiTheme="minorHAnsi" w:cstheme="minorBidi"/>
          <w:b w:val="0"/>
          <w:sz w:val="22"/>
          <w:szCs w:val="22"/>
          <w:lang w:eastAsia="en-AU"/>
        </w:rPr>
      </w:pPr>
      <w:r w:rsidRPr="00CF7294">
        <w:rPr>
          <w:sz w:val="22"/>
          <w:szCs w:val="22"/>
        </w:rPr>
        <w:fldChar w:fldCharType="begin"/>
      </w:r>
      <w:r w:rsidR="00BD49FC" w:rsidRPr="00CF7294">
        <w:rPr>
          <w:sz w:val="22"/>
          <w:szCs w:val="22"/>
        </w:rPr>
        <w:instrText xml:space="preserve"> TOC \o "1-2" \t "ATA Heading 2,2" </w:instrText>
      </w:r>
      <w:r w:rsidRPr="00CF7294">
        <w:rPr>
          <w:sz w:val="22"/>
          <w:szCs w:val="22"/>
        </w:rPr>
        <w:fldChar w:fldCharType="separate"/>
      </w:r>
      <w:r w:rsidR="00E34FE2" w:rsidRPr="007F454A">
        <w:rPr>
          <w:rFonts w:cs="Times New Roman"/>
        </w:rPr>
        <w:t>1.</w:t>
      </w:r>
      <w:r w:rsidR="00E34FE2">
        <w:rPr>
          <w:rFonts w:asciiTheme="minorHAnsi" w:eastAsiaTheme="minorEastAsia" w:hAnsiTheme="minorHAnsi" w:cstheme="minorBidi"/>
          <w:b w:val="0"/>
          <w:sz w:val="22"/>
          <w:szCs w:val="22"/>
          <w:lang w:eastAsia="en-AU"/>
        </w:rPr>
        <w:tab/>
      </w:r>
      <w:r w:rsidR="00E34FE2">
        <w:t>Australian Trucking Association</w:t>
      </w:r>
      <w:r w:rsidR="00E34FE2">
        <w:tab/>
      </w:r>
      <w:r w:rsidR="00E34FE2">
        <w:fldChar w:fldCharType="begin"/>
      </w:r>
      <w:r w:rsidR="00E34FE2">
        <w:instrText xml:space="preserve"> PAGEREF _Toc420051865 \h </w:instrText>
      </w:r>
      <w:r w:rsidR="00E34FE2">
        <w:fldChar w:fldCharType="separate"/>
      </w:r>
      <w:r w:rsidR="00407B99">
        <w:t>3</w:t>
      </w:r>
      <w:r w:rsidR="00E34FE2">
        <w:fldChar w:fldCharType="end"/>
      </w:r>
    </w:p>
    <w:p w:rsidR="00E34FE2" w:rsidRDefault="00E34FE2">
      <w:pPr>
        <w:pStyle w:val="TOC1"/>
        <w:tabs>
          <w:tab w:val="left" w:pos="442"/>
        </w:tabs>
        <w:rPr>
          <w:rFonts w:asciiTheme="minorHAnsi" w:eastAsiaTheme="minorEastAsia" w:hAnsiTheme="minorHAnsi" w:cstheme="minorBidi"/>
          <w:b w:val="0"/>
          <w:sz w:val="22"/>
          <w:szCs w:val="22"/>
          <w:lang w:eastAsia="en-AU"/>
        </w:rPr>
      </w:pPr>
      <w:r w:rsidRPr="007F454A">
        <w:rPr>
          <w:rFonts w:cs="Times New Roman"/>
        </w:rPr>
        <w:t>2.</w:t>
      </w:r>
      <w:r>
        <w:rPr>
          <w:rFonts w:asciiTheme="minorHAnsi" w:eastAsiaTheme="minorEastAsia" w:hAnsiTheme="minorHAnsi" w:cstheme="minorBidi"/>
          <w:b w:val="0"/>
          <w:sz w:val="22"/>
          <w:szCs w:val="22"/>
          <w:lang w:eastAsia="en-AU"/>
        </w:rPr>
        <w:tab/>
      </w:r>
      <w:r>
        <w:t>Summary of recommendations</w:t>
      </w:r>
      <w:r>
        <w:tab/>
      </w:r>
      <w:r>
        <w:fldChar w:fldCharType="begin"/>
      </w:r>
      <w:r>
        <w:instrText xml:space="preserve"> PAGEREF _Toc420051866 \h </w:instrText>
      </w:r>
      <w:r>
        <w:fldChar w:fldCharType="separate"/>
      </w:r>
      <w:r w:rsidR="00407B99">
        <w:t>3</w:t>
      </w:r>
      <w:r>
        <w:fldChar w:fldCharType="end"/>
      </w:r>
    </w:p>
    <w:p w:rsidR="00E34FE2" w:rsidRDefault="00E34FE2">
      <w:pPr>
        <w:pStyle w:val="TOC1"/>
        <w:tabs>
          <w:tab w:val="left" w:pos="442"/>
        </w:tabs>
        <w:rPr>
          <w:rFonts w:asciiTheme="minorHAnsi" w:eastAsiaTheme="minorEastAsia" w:hAnsiTheme="minorHAnsi" w:cstheme="minorBidi"/>
          <w:b w:val="0"/>
          <w:sz w:val="22"/>
          <w:szCs w:val="22"/>
          <w:lang w:eastAsia="en-AU"/>
        </w:rPr>
      </w:pPr>
      <w:r w:rsidRPr="007F454A">
        <w:rPr>
          <w:rFonts w:cs="Times New Roman"/>
        </w:rPr>
        <w:t>3.</w:t>
      </w:r>
      <w:r>
        <w:rPr>
          <w:rFonts w:asciiTheme="minorHAnsi" w:eastAsiaTheme="minorEastAsia" w:hAnsiTheme="minorHAnsi" w:cstheme="minorBidi"/>
          <w:b w:val="0"/>
          <w:sz w:val="22"/>
          <w:szCs w:val="22"/>
          <w:lang w:eastAsia="en-AU"/>
        </w:rPr>
        <w:tab/>
      </w:r>
      <w:r>
        <w:t>Introduction</w:t>
      </w:r>
      <w:r>
        <w:tab/>
      </w:r>
      <w:r>
        <w:fldChar w:fldCharType="begin"/>
      </w:r>
      <w:r>
        <w:instrText xml:space="preserve"> PAGEREF _Toc420051867 \h </w:instrText>
      </w:r>
      <w:r>
        <w:fldChar w:fldCharType="separate"/>
      </w:r>
      <w:r w:rsidR="00407B99">
        <w:t>4</w:t>
      </w:r>
      <w:r>
        <w:fldChar w:fldCharType="end"/>
      </w:r>
    </w:p>
    <w:p w:rsidR="00E34FE2" w:rsidRDefault="00E34FE2">
      <w:pPr>
        <w:pStyle w:val="TOC1"/>
        <w:tabs>
          <w:tab w:val="left" w:pos="442"/>
        </w:tabs>
        <w:rPr>
          <w:rFonts w:asciiTheme="minorHAnsi" w:eastAsiaTheme="minorEastAsia" w:hAnsiTheme="minorHAnsi" w:cstheme="minorBidi"/>
          <w:b w:val="0"/>
          <w:sz w:val="22"/>
          <w:szCs w:val="22"/>
          <w:lang w:eastAsia="en-AU"/>
        </w:rPr>
      </w:pPr>
      <w:r w:rsidRPr="007F454A">
        <w:rPr>
          <w:rFonts w:eastAsiaTheme="minorHAnsi" w:cs="Times New Roman"/>
        </w:rPr>
        <w:t>4.</w:t>
      </w:r>
      <w:r>
        <w:rPr>
          <w:rFonts w:asciiTheme="minorHAnsi" w:eastAsiaTheme="minorEastAsia" w:hAnsiTheme="minorHAnsi" w:cstheme="minorBidi"/>
          <w:b w:val="0"/>
          <w:sz w:val="22"/>
          <w:szCs w:val="22"/>
          <w:lang w:eastAsia="en-AU"/>
        </w:rPr>
        <w:tab/>
      </w:r>
      <w:r>
        <w:t>Optimising the competitiveness of the industry</w:t>
      </w:r>
      <w:r>
        <w:tab/>
      </w:r>
      <w:r>
        <w:fldChar w:fldCharType="begin"/>
      </w:r>
      <w:r>
        <w:instrText xml:space="preserve"> PAGEREF _Toc420051868 \h </w:instrText>
      </w:r>
      <w:r>
        <w:fldChar w:fldCharType="separate"/>
      </w:r>
      <w:r w:rsidR="00407B99">
        <w:t>4</w:t>
      </w:r>
      <w:r>
        <w:fldChar w:fldCharType="end"/>
      </w:r>
    </w:p>
    <w:p w:rsidR="00E34FE2" w:rsidRPr="00E34FE2" w:rsidRDefault="00E34FE2">
      <w:pPr>
        <w:pStyle w:val="TOC1"/>
        <w:rPr>
          <w:rFonts w:asciiTheme="minorHAnsi" w:eastAsiaTheme="minorEastAsia" w:hAnsiTheme="minorHAnsi" w:cstheme="minorBidi"/>
          <w:b w:val="0"/>
          <w:sz w:val="22"/>
          <w:szCs w:val="22"/>
          <w:lang w:eastAsia="en-AU"/>
        </w:rPr>
      </w:pPr>
      <w:r w:rsidRPr="00E34FE2">
        <w:rPr>
          <w:b w:val="0"/>
        </w:rPr>
        <w:t>4.1 Implement the supply side reforms recommended by the Productivity Commission</w:t>
      </w:r>
      <w:r w:rsidRPr="00E34FE2">
        <w:rPr>
          <w:b w:val="0"/>
        </w:rPr>
        <w:tab/>
      </w:r>
      <w:r w:rsidRPr="00E34FE2">
        <w:rPr>
          <w:b w:val="0"/>
        </w:rPr>
        <w:fldChar w:fldCharType="begin"/>
      </w:r>
      <w:r w:rsidRPr="00E34FE2">
        <w:rPr>
          <w:b w:val="0"/>
        </w:rPr>
        <w:instrText xml:space="preserve"> PAGEREF _Toc420051869 \h </w:instrText>
      </w:r>
      <w:r w:rsidRPr="00E34FE2">
        <w:rPr>
          <w:b w:val="0"/>
        </w:rPr>
      </w:r>
      <w:r w:rsidRPr="00E34FE2">
        <w:rPr>
          <w:b w:val="0"/>
        </w:rPr>
        <w:fldChar w:fldCharType="separate"/>
      </w:r>
      <w:r w:rsidR="00407B99">
        <w:rPr>
          <w:b w:val="0"/>
        </w:rPr>
        <w:t>4</w:t>
      </w:r>
      <w:r w:rsidRPr="00E34FE2">
        <w:rPr>
          <w:b w:val="0"/>
        </w:rPr>
        <w:fldChar w:fldCharType="end"/>
      </w:r>
    </w:p>
    <w:p w:rsidR="00E34FE2" w:rsidRPr="00E34FE2" w:rsidRDefault="00E34FE2">
      <w:pPr>
        <w:pStyle w:val="TOC1"/>
        <w:rPr>
          <w:rFonts w:asciiTheme="minorHAnsi" w:eastAsiaTheme="minorEastAsia" w:hAnsiTheme="minorHAnsi" w:cstheme="minorBidi"/>
          <w:b w:val="0"/>
          <w:sz w:val="22"/>
          <w:szCs w:val="22"/>
          <w:lang w:eastAsia="en-AU"/>
        </w:rPr>
      </w:pPr>
      <w:r w:rsidRPr="00E34FE2">
        <w:rPr>
          <w:b w:val="0"/>
        </w:rPr>
        <w:t>4.2 Do not implement direct road user charges until it can be proven that the system is revenue neutral, will improve road investment decision-making and does not burden the heavy vehicle industry</w:t>
      </w:r>
      <w:r w:rsidRPr="00E34FE2">
        <w:rPr>
          <w:b w:val="0"/>
        </w:rPr>
        <w:tab/>
      </w:r>
      <w:r w:rsidRPr="00E34FE2">
        <w:rPr>
          <w:b w:val="0"/>
        </w:rPr>
        <w:fldChar w:fldCharType="begin"/>
      </w:r>
      <w:r w:rsidRPr="00E34FE2">
        <w:rPr>
          <w:b w:val="0"/>
        </w:rPr>
        <w:instrText xml:space="preserve"> PAGEREF _Toc420051870 \h </w:instrText>
      </w:r>
      <w:r w:rsidRPr="00E34FE2">
        <w:rPr>
          <w:b w:val="0"/>
        </w:rPr>
      </w:r>
      <w:r w:rsidRPr="00E34FE2">
        <w:rPr>
          <w:b w:val="0"/>
        </w:rPr>
        <w:fldChar w:fldCharType="separate"/>
      </w:r>
      <w:r w:rsidR="00407B99">
        <w:rPr>
          <w:b w:val="0"/>
        </w:rPr>
        <w:t>7</w:t>
      </w:r>
      <w:r w:rsidRPr="00E34FE2">
        <w:rPr>
          <w:b w:val="0"/>
        </w:rPr>
        <w:fldChar w:fldCharType="end"/>
      </w:r>
    </w:p>
    <w:p w:rsidR="00E34FE2" w:rsidRPr="00E34FE2" w:rsidRDefault="00E34FE2">
      <w:pPr>
        <w:pStyle w:val="TOC1"/>
        <w:rPr>
          <w:rFonts w:asciiTheme="minorHAnsi" w:eastAsiaTheme="minorEastAsia" w:hAnsiTheme="minorHAnsi" w:cstheme="minorBidi"/>
          <w:b w:val="0"/>
          <w:sz w:val="22"/>
          <w:szCs w:val="22"/>
          <w:lang w:eastAsia="en-AU"/>
        </w:rPr>
      </w:pPr>
      <w:r w:rsidRPr="00E34FE2">
        <w:rPr>
          <w:b w:val="0"/>
        </w:rPr>
        <w:t>4.3 Support rail and road freight transport as complementary freight modes not competitors.</w:t>
      </w:r>
      <w:r w:rsidRPr="00E34FE2">
        <w:rPr>
          <w:b w:val="0"/>
        </w:rPr>
        <w:tab/>
      </w:r>
      <w:r w:rsidRPr="00E34FE2">
        <w:rPr>
          <w:b w:val="0"/>
        </w:rPr>
        <w:fldChar w:fldCharType="begin"/>
      </w:r>
      <w:r w:rsidRPr="00E34FE2">
        <w:rPr>
          <w:b w:val="0"/>
        </w:rPr>
        <w:instrText xml:space="preserve"> PAGEREF _Toc420051871 \h </w:instrText>
      </w:r>
      <w:r w:rsidRPr="00E34FE2">
        <w:rPr>
          <w:b w:val="0"/>
        </w:rPr>
      </w:r>
      <w:r w:rsidRPr="00E34FE2">
        <w:rPr>
          <w:b w:val="0"/>
        </w:rPr>
        <w:fldChar w:fldCharType="separate"/>
      </w:r>
      <w:r w:rsidR="00407B99">
        <w:rPr>
          <w:b w:val="0"/>
        </w:rPr>
        <w:t>9</w:t>
      </w:r>
      <w:r w:rsidRPr="00E34FE2">
        <w:rPr>
          <w:b w:val="0"/>
        </w:rPr>
        <w:fldChar w:fldCharType="end"/>
      </w:r>
    </w:p>
    <w:p w:rsidR="00E34FE2" w:rsidRPr="00E34FE2" w:rsidRDefault="00E34FE2">
      <w:pPr>
        <w:pStyle w:val="TOC1"/>
        <w:rPr>
          <w:rFonts w:asciiTheme="minorHAnsi" w:eastAsiaTheme="minorEastAsia" w:hAnsiTheme="minorHAnsi" w:cstheme="minorBidi"/>
          <w:b w:val="0"/>
          <w:sz w:val="22"/>
          <w:szCs w:val="22"/>
          <w:lang w:eastAsia="en-AU"/>
        </w:rPr>
      </w:pPr>
      <w:r w:rsidRPr="00E34FE2">
        <w:rPr>
          <w:b w:val="0"/>
        </w:rPr>
        <w:t>4.4 Support the implementation of the NTC 2014 heavy vehicle charging determination recommendation</w:t>
      </w:r>
      <w:r w:rsidRPr="00E34FE2">
        <w:rPr>
          <w:b w:val="0"/>
        </w:rPr>
        <w:tab/>
      </w:r>
      <w:r w:rsidRPr="00E34FE2">
        <w:rPr>
          <w:b w:val="0"/>
        </w:rPr>
        <w:fldChar w:fldCharType="begin"/>
      </w:r>
      <w:r w:rsidRPr="00E34FE2">
        <w:rPr>
          <w:b w:val="0"/>
        </w:rPr>
        <w:instrText xml:space="preserve"> PAGEREF _Toc420051872 \h </w:instrText>
      </w:r>
      <w:r w:rsidRPr="00E34FE2">
        <w:rPr>
          <w:b w:val="0"/>
        </w:rPr>
      </w:r>
      <w:r w:rsidRPr="00E34FE2">
        <w:rPr>
          <w:b w:val="0"/>
        </w:rPr>
        <w:fldChar w:fldCharType="separate"/>
      </w:r>
      <w:r w:rsidR="00407B99">
        <w:rPr>
          <w:b w:val="0"/>
        </w:rPr>
        <w:t>10</w:t>
      </w:r>
      <w:r w:rsidRPr="00E34FE2">
        <w:rPr>
          <w:b w:val="0"/>
        </w:rPr>
        <w:fldChar w:fldCharType="end"/>
      </w:r>
    </w:p>
    <w:p w:rsidR="00E34FE2" w:rsidRDefault="00E34FE2">
      <w:pPr>
        <w:pStyle w:val="TOC1"/>
        <w:rPr>
          <w:rFonts w:asciiTheme="minorHAnsi" w:eastAsiaTheme="minorEastAsia" w:hAnsiTheme="minorHAnsi" w:cstheme="minorBidi"/>
          <w:b w:val="0"/>
          <w:sz w:val="22"/>
          <w:szCs w:val="22"/>
          <w:lang w:eastAsia="en-AU"/>
        </w:rPr>
      </w:pPr>
      <w:r>
        <w:t>5. Ensuring competitive neutrality between the government and the industry</w:t>
      </w:r>
      <w:r>
        <w:tab/>
      </w:r>
      <w:r>
        <w:fldChar w:fldCharType="begin"/>
      </w:r>
      <w:r>
        <w:instrText xml:space="preserve"> PAGEREF _Toc420051873 \h </w:instrText>
      </w:r>
      <w:r>
        <w:fldChar w:fldCharType="separate"/>
      </w:r>
      <w:r w:rsidR="00407B99">
        <w:t>11</w:t>
      </w:r>
      <w:r>
        <w:fldChar w:fldCharType="end"/>
      </w:r>
    </w:p>
    <w:p w:rsidR="00241C15" w:rsidRPr="00CF7294" w:rsidRDefault="003B2024" w:rsidP="00AB24F2">
      <w:pPr>
        <w:tabs>
          <w:tab w:val="right" w:leader="dot" w:pos="9645"/>
        </w:tabs>
        <w:rPr>
          <w:rFonts w:ascii="Arial" w:hAnsi="Arial" w:cs="Arial"/>
        </w:rPr>
      </w:pPr>
      <w:r w:rsidRPr="00CF7294">
        <w:rPr>
          <w:rFonts w:ascii="Arial" w:hAnsi="Arial" w:cs="Arial"/>
          <w:b/>
          <w:noProof/>
        </w:rPr>
        <w:fldChar w:fldCharType="end"/>
      </w:r>
    </w:p>
    <w:p w:rsidR="00576ED0" w:rsidRPr="00CF7294" w:rsidRDefault="00576ED0" w:rsidP="00AB24F2">
      <w:pPr>
        <w:rPr>
          <w:rFonts w:ascii="Arial" w:hAnsi="Arial" w:cs="Arial"/>
        </w:rPr>
      </w:pPr>
      <w:r w:rsidRPr="00CF7294">
        <w:rPr>
          <w:rFonts w:ascii="Arial" w:hAnsi="Arial" w:cs="Arial"/>
        </w:rPr>
        <w:br w:type="page"/>
      </w:r>
    </w:p>
    <w:p w:rsidR="005B64D9" w:rsidRPr="00CF7294" w:rsidRDefault="005B64D9" w:rsidP="00AB24F2">
      <w:pPr>
        <w:pStyle w:val="Heading1"/>
        <w:rPr>
          <w:szCs w:val="22"/>
        </w:rPr>
      </w:pPr>
      <w:bookmarkStart w:id="1" w:name="_Toc420051865"/>
      <w:r w:rsidRPr="00CF7294">
        <w:rPr>
          <w:szCs w:val="22"/>
        </w:rPr>
        <w:lastRenderedPageBreak/>
        <w:t>Australian Trucking Association</w:t>
      </w:r>
      <w:bookmarkEnd w:id="1"/>
    </w:p>
    <w:p w:rsidR="005B64D9" w:rsidRPr="00CF7294" w:rsidRDefault="005B64D9" w:rsidP="00AB24F2">
      <w:pPr>
        <w:pStyle w:val="BodyText2"/>
        <w:rPr>
          <w:b w:val="0"/>
          <w:szCs w:val="22"/>
        </w:rPr>
      </w:pPr>
    </w:p>
    <w:p w:rsidR="005B64D9" w:rsidRPr="00CF7294" w:rsidRDefault="005B64D9" w:rsidP="00AB24F2">
      <w:pPr>
        <w:pStyle w:val="BodyText2"/>
        <w:rPr>
          <w:b w:val="0"/>
          <w:szCs w:val="22"/>
        </w:rPr>
      </w:pPr>
      <w:r w:rsidRPr="00CF7294">
        <w:rPr>
          <w:b w:val="0"/>
          <w:szCs w:val="22"/>
        </w:rPr>
        <w:t xml:space="preserve">The ATA is the peak body that represents the trucking industry. Its members include state and sector-based trucking associations, some of the nation’s largest transport companies, and businesses with leading expertise in truck technology. </w:t>
      </w:r>
    </w:p>
    <w:p w:rsidR="00E270A8" w:rsidRPr="00CF7294" w:rsidRDefault="00E270A8" w:rsidP="00AB24F2">
      <w:pPr>
        <w:pStyle w:val="BodyText2"/>
        <w:rPr>
          <w:b w:val="0"/>
          <w:szCs w:val="22"/>
        </w:rPr>
      </w:pPr>
    </w:p>
    <w:p w:rsidR="00E270A8" w:rsidRPr="00CF7294" w:rsidRDefault="00E270A8" w:rsidP="00AB24F2">
      <w:pPr>
        <w:pStyle w:val="BodyText2"/>
        <w:rPr>
          <w:b w:val="0"/>
          <w:szCs w:val="22"/>
        </w:rPr>
      </w:pPr>
    </w:p>
    <w:p w:rsidR="00E270A8" w:rsidRPr="00CF7294" w:rsidRDefault="00E270A8" w:rsidP="00AB24F2">
      <w:pPr>
        <w:pStyle w:val="Heading1"/>
        <w:rPr>
          <w:szCs w:val="22"/>
        </w:rPr>
      </w:pPr>
      <w:bookmarkStart w:id="2" w:name="_Toc420051866"/>
      <w:r w:rsidRPr="00CF7294">
        <w:rPr>
          <w:szCs w:val="22"/>
        </w:rPr>
        <w:t>Summary of recommendations</w:t>
      </w:r>
      <w:bookmarkEnd w:id="2"/>
    </w:p>
    <w:p w:rsidR="004D2EAD" w:rsidRPr="00CF7294" w:rsidRDefault="004D2EAD" w:rsidP="00AB24F2">
      <w:pPr>
        <w:pStyle w:val="BodyText2"/>
      </w:pPr>
    </w:p>
    <w:p w:rsidR="00E86F46" w:rsidRPr="00CF7294" w:rsidRDefault="00E86F46" w:rsidP="00AB24F2">
      <w:pPr>
        <w:rPr>
          <w:rFonts w:ascii="Arial" w:eastAsia="Times New Roman" w:hAnsi="Arial" w:cs="Arial"/>
          <w:b/>
          <w:iCs/>
          <w:lang w:eastAsia="en-AU"/>
        </w:rPr>
      </w:pPr>
      <w:r w:rsidRPr="00CF7294">
        <w:rPr>
          <w:rFonts w:ascii="Arial" w:eastAsia="Times New Roman" w:hAnsi="Arial" w:cs="Arial"/>
          <w:b/>
          <w:iCs/>
          <w:lang w:eastAsia="en-AU"/>
        </w:rPr>
        <w:t>Recommendation 1</w:t>
      </w:r>
    </w:p>
    <w:p w:rsidR="00E86F46" w:rsidRPr="00CF7294" w:rsidRDefault="00E86F46" w:rsidP="00AB24F2">
      <w:pPr>
        <w:rPr>
          <w:rFonts w:ascii="Arial" w:eastAsia="Times New Roman" w:hAnsi="Arial" w:cs="Arial"/>
          <w:iCs/>
          <w:lang w:eastAsia="en-AU"/>
        </w:rPr>
      </w:pPr>
    </w:p>
    <w:p w:rsidR="00E86F46" w:rsidRPr="00CF7294" w:rsidRDefault="00E86F46" w:rsidP="00AB24F2">
      <w:pPr>
        <w:rPr>
          <w:rFonts w:ascii="Arial" w:eastAsia="Times New Roman" w:hAnsi="Arial" w:cs="Arial"/>
          <w:iCs/>
          <w:lang w:eastAsia="en-AU"/>
        </w:rPr>
      </w:pPr>
      <w:r w:rsidRPr="00CF7294">
        <w:rPr>
          <w:rFonts w:ascii="Arial" w:eastAsia="Times New Roman" w:hAnsi="Arial" w:cs="Arial"/>
          <w:iCs/>
          <w:lang w:eastAsia="en-AU"/>
        </w:rPr>
        <w:t>The Government should implement the following Productivity Commission Public Infrastructure inquiry recommendations</w:t>
      </w:r>
      <w:r w:rsidR="00415CCB">
        <w:rPr>
          <w:rFonts w:ascii="Arial" w:eastAsia="Times New Roman" w:hAnsi="Arial" w:cs="Arial"/>
          <w:iCs/>
          <w:lang w:eastAsia="en-AU"/>
        </w:rPr>
        <w:t>,</w:t>
      </w:r>
      <w:r w:rsidRPr="00CF7294">
        <w:rPr>
          <w:rFonts w:ascii="Arial" w:eastAsia="Times New Roman" w:hAnsi="Arial" w:cs="Arial"/>
          <w:iCs/>
          <w:lang w:eastAsia="en-AU"/>
        </w:rPr>
        <w:t xml:space="preserve"> in order to increase productivity in supply side provision and </w:t>
      </w:r>
      <w:r w:rsidR="00415CCB" w:rsidRPr="00CF7294">
        <w:rPr>
          <w:rFonts w:ascii="Arial" w:eastAsia="Times New Roman" w:hAnsi="Arial" w:cs="Arial"/>
          <w:iCs/>
          <w:lang w:eastAsia="en-AU"/>
        </w:rPr>
        <w:t>consequently</w:t>
      </w:r>
      <w:r w:rsidRPr="00CF7294">
        <w:rPr>
          <w:rFonts w:ascii="Arial" w:eastAsia="Times New Roman" w:hAnsi="Arial" w:cs="Arial"/>
          <w:iCs/>
          <w:lang w:eastAsia="en-AU"/>
        </w:rPr>
        <w:t xml:space="preserve"> road users:</w:t>
      </w:r>
    </w:p>
    <w:p w:rsidR="00E86F46" w:rsidRPr="00CF7294" w:rsidRDefault="00E86F46" w:rsidP="00AB24F2">
      <w:pPr>
        <w:numPr>
          <w:ilvl w:val="0"/>
          <w:numId w:val="8"/>
        </w:numPr>
        <w:spacing w:after="200" w:line="276" w:lineRule="auto"/>
        <w:contextualSpacing/>
        <w:rPr>
          <w:rFonts w:ascii="Arial" w:eastAsiaTheme="minorHAnsi" w:hAnsi="Arial" w:cs="Arial"/>
        </w:rPr>
      </w:pPr>
      <w:r w:rsidRPr="00CF7294">
        <w:rPr>
          <w:rFonts w:ascii="Arial" w:eastAsiaTheme="minorHAnsi" w:hAnsi="Arial" w:cs="Arial"/>
        </w:rPr>
        <w:t>conditional funding for states</w:t>
      </w:r>
    </w:p>
    <w:p w:rsidR="00E86F46" w:rsidRPr="00CF7294" w:rsidRDefault="00E86F46" w:rsidP="00AB24F2">
      <w:pPr>
        <w:numPr>
          <w:ilvl w:val="0"/>
          <w:numId w:val="8"/>
        </w:numPr>
        <w:spacing w:after="200" w:line="276" w:lineRule="auto"/>
        <w:contextualSpacing/>
        <w:rPr>
          <w:rFonts w:ascii="Arial" w:eastAsiaTheme="minorHAnsi" w:hAnsi="Arial" w:cs="Arial"/>
        </w:rPr>
      </w:pPr>
      <w:r w:rsidRPr="00CF7294">
        <w:rPr>
          <w:rFonts w:ascii="Arial" w:eastAsiaTheme="minorHAnsi" w:hAnsi="Arial" w:cs="Arial"/>
        </w:rPr>
        <w:t>improved governance arrangements</w:t>
      </w:r>
    </w:p>
    <w:p w:rsidR="00E86F46" w:rsidRPr="00CF7294" w:rsidRDefault="00E86F46" w:rsidP="00AB24F2">
      <w:pPr>
        <w:numPr>
          <w:ilvl w:val="0"/>
          <w:numId w:val="8"/>
        </w:numPr>
        <w:spacing w:after="200" w:line="276" w:lineRule="auto"/>
        <w:contextualSpacing/>
        <w:rPr>
          <w:rFonts w:ascii="Arial" w:eastAsiaTheme="minorHAnsi" w:hAnsi="Arial" w:cs="Arial"/>
        </w:rPr>
      </w:pPr>
      <w:r w:rsidRPr="00CF7294">
        <w:rPr>
          <w:rFonts w:ascii="Arial" w:eastAsiaTheme="minorHAnsi" w:hAnsi="Arial" w:cs="Arial"/>
        </w:rPr>
        <w:t>project benchmarking</w:t>
      </w:r>
    </w:p>
    <w:p w:rsidR="00E86F46" w:rsidRPr="00CF7294" w:rsidRDefault="00700B1F" w:rsidP="00AB24F2">
      <w:pPr>
        <w:numPr>
          <w:ilvl w:val="0"/>
          <w:numId w:val="8"/>
        </w:numPr>
        <w:spacing w:after="200" w:line="276" w:lineRule="auto"/>
        <w:contextualSpacing/>
        <w:rPr>
          <w:rFonts w:ascii="Arial" w:eastAsiaTheme="minorHAnsi" w:hAnsi="Arial" w:cs="Arial"/>
        </w:rPr>
      </w:pPr>
      <w:r>
        <w:rPr>
          <w:rFonts w:ascii="Arial" w:eastAsiaTheme="minorHAnsi" w:hAnsi="Arial" w:cs="Arial"/>
        </w:rPr>
        <w:t>better project selection</w:t>
      </w:r>
      <w:r w:rsidR="00E86F46" w:rsidRPr="00CF7294">
        <w:rPr>
          <w:rFonts w:ascii="Arial" w:eastAsiaTheme="minorHAnsi" w:hAnsi="Arial" w:cs="Arial"/>
        </w:rPr>
        <w:t xml:space="preserve"> </w:t>
      </w:r>
    </w:p>
    <w:p w:rsidR="00E86F46" w:rsidRPr="00CF7294" w:rsidRDefault="00E86F46" w:rsidP="00AB24F2">
      <w:pPr>
        <w:numPr>
          <w:ilvl w:val="0"/>
          <w:numId w:val="8"/>
        </w:numPr>
        <w:spacing w:line="276" w:lineRule="auto"/>
        <w:contextualSpacing/>
        <w:rPr>
          <w:rFonts w:ascii="Arial" w:hAnsi="Arial" w:cs="Arial"/>
          <w:iCs/>
        </w:rPr>
      </w:pPr>
      <w:r w:rsidRPr="00CF7294">
        <w:rPr>
          <w:rFonts w:ascii="Arial" w:eastAsiaTheme="minorHAnsi" w:hAnsi="Arial" w:cs="Arial"/>
        </w:rPr>
        <w:t>improved cost benefit analysis.</w:t>
      </w:r>
    </w:p>
    <w:p w:rsidR="004D2EAD" w:rsidRPr="00CF7294" w:rsidRDefault="004D2EAD" w:rsidP="00AB24F2">
      <w:pPr>
        <w:pStyle w:val="NormalWeb"/>
        <w:spacing w:before="0" w:beforeAutospacing="0" w:after="0" w:afterAutospacing="0"/>
        <w:rPr>
          <w:rFonts w:ascii="Arial" w:hAnsi="Arial" w:cs="Arial"/>
          <w:b/>
          <w:i/>
          <w:iCs/>
          <w:sz w:val="22"/>
          <w:szCs w:val="22"/>
        </w:rPr>
      </w:pPr>
    </w:p>
    <w:p w:rsidR="006F0376" w:rsidRDefault="006F0376" w:rsidP="00AB24F2">
      <w:pPr>
        <w:rPr>
          <w:rFonts w:ascii="Arial" w:eastAsiaTheme="minorHAnsi" w:hAnsi="Arial" w:cs="Arial"/>
          <w:b/>
        </w:rPr>
      </w:pPr>
      <w:r>
        <w:rPr>
          <w:rFonts w:ascii="Arial" w:eastAsiaTheme="minorHAnsi" w:hAnsi="Arial" w:cs="Arial"/>
          <w:b/>
        </w:rPr>
        <w:t>Recommendation 2</w:t>
      </w:r>
    </w:p>
    <w:p w:rsidR="006F0376" w:rsidRDefault="006F0376" w:rsidP="00AB24F2">
      <w:pPr>
        <w:rPr>
          <w:rFonts w:ascii="Arial" w:eastAsiaTheme="minorHAnsi" w:hAnsi="Arial" w:cs="Arial"/>
          <w:b/>
        </w:rPr>
      </w:pPr>
    </w:p>
    <w:p w:rsidR="006F0376" w:rsidRDefault="00D534CA" w:rsidP="00AB24F2">
      <w:pPr>
        <w:rPr>
          <w:rFonts w:ascii="Arial" w:eastAsiaTheme="minorHAnsi" w:hAnsi="Arial" w:cs="Arial"/>
          <w:b/>
        </w:rPr>
      </w:pPr>
      <w:r w:rsidRPr="00D534CA">
        <w:rPr>
          <w:rFonts w:ascii="Arial" w:eastAsiaTheme="minorHAnsi" w:hAnsi="Arial" w:cs="Arial"/>
        </w:rPr>
        <w:t>The Government should not implement direct road user charges</w:t>
      </w:r>
      <w:r w:rsidR="006F70A2">
        <w:rPr>
          <w:rFonts w:ascii="Arial" w:eastAsiaTheme="minorHAnsi" w:hAnsi="Arial" w:cs="Arial"/>
        </w:rPr>
        <w:t>, as proposed in competition policy review recommendation 3,</w:t>
      </w:r>
      <w:r w:rsidRPr="00D534CA">
        <w:rPr>
          <w:rFonts w:ascii="Arial" w:eastAsiaTheme="minorHAnsi" w:hAnsi="Arial" w:cs="Arial"/>
        </w:rPr>
        <w:t xml:space="preserve"> until it can be proven that the exercise will be revenue neutral, will improve road investment decision-making and the warranted complexity does not burden the heavy vehicle industry</w:t>
      </w:r>
      <w:r w:rsidR="003A6FCB">
        <w:rPr>
          <w:rFonts w:ascii="Arial" w:eastAsiaTheme="minorHAnsi" w:hAnsi="Arial" w:cs="Arial"/>
        </w:rPr>
        <w:t>.</w:t>
      </w:r>
    </w:p>
    <w:p w:rsidR="00D534CA" w:rsidRDefault="00D534CA" w:rsidP="00AB24F2">
      <w:pPr>
        <w:rPr>
          <w:rFonts w:ascii="Arial" w:eastAsiaTheme="minorHAnsi" w:hAnsi="Arial" w:cs="Arial"/>
          <w:b/>
        </w:rPr>
      </w:pPr>
    </w:p>
    <w:p w:rsidR="00D534CA" w:rsidRPr="00CF7294" w:rsidRDefault="006F0376" w:rsidP="00AB24F2">
      <w:pPr>
        <w:rPr>
          <w:rFonts w:ascii="Arial" w:eastAsiaTheme="minorHAnsi" w:hAnsi="Arial" w:cs="Arial"/>
          <w:b/>
        </w:rPr>
      </w:pPr>
      <w:r>
        <w:rPr>
          <w:rFonts w:ascii="Arial" w:eastAsiaTheme="minorHAnsi" w:hAnsi="Arial" w:cs="Arial"/>
          <w:b/>
        </w:rPr>
        <w:t>Recommendation 3</w:t>
      </w:r>
    </w:p>
    <w:p w:rsidR="00E86F46" w:rsidRPr="00CF7294" w:rsidRDefault="00E86F46" w:rsidP="00AB24F2">
      <w:pPr>
        <w:rPr>
          <w:rFonts w:ascii="Arial" w:eastAsiaTheme="minorHAnsi" w:hAnsi="Arial" w:cs="Arial"/>
          <w:b/>
        </w:rPr>
      </w:pPr>
    </w:p>
    <w:p w:rsidR="00E86F46" w:rsidRPr="00CF7294" w:rsidRDefault="00E86F46" w:rsidP="00AB24F2">
      <w:pPr>
        <w:rPr>
          <w:rFonts w:ascii="Arial" w:eastAsiaTheme="minorHAnsi" w:hAnsi="Arial" w:cs="Arial"/>
        </w:rPr>
      </w:pPr>
      <w:r w:rsidRPr="00CF7294">
        <w:rPr>
          <w:rFonts w:ascii="Arial" w:eastAsiaTheme="minorHAnsi" w:hAnsi="Arial" w:cs="Arial"/>
        </w:rPr>
        <w:t xml:space="preserve">The Government should implement the short term recommendations </w:t>
      </w:r>
      <w:r w:rsidR="00700B1F">
        <w:rPr>
          <w:rFonts w:ascii="Arial" w:eastAsiaTheme="minorHAnsi" w:hAnsi="Arial" w:cs="Arial"/>
        </w:rPr>
        <w:t>developed</w:t>
      </w:r>
      <w:r w:rsidRPr="00CF7294">
        <w:rPr>
          <w:rFonts w:ascii="Arial" w:eastAsiaTheme="minorHAnsi" w:hAnsi="Arial" w:cs="Arial"/>
        </w:rPr>
        <w:t xml:space="preserve"> by PricewaterhouseCoopers to improve the performance of road agencies and subsequently road users.</w:t>
      </w:r>
    </w:p>
    <w:p w:rsidR="00E86F46" w:rsidRPr="00CF7294" w:rsidRDefault="00E86F46" w:rsidP="00AB24F2">
      <w:pPr>
        <w:pStyle w:val="NormalWeb"/>
        <w:spacing w:before="0" w:beforeAutospacing="0" w:after="0" w:afterAutospacing="0"/>
        <w:rPr>
          <w:rFonts w:ascii="Arial" w:hAnsi="Arial" w:cs="Arial"/>
          <w:b/>
          <w:i/>
          <w:iCs/>
          <w:sz w:val="22"/>
          <w:szCs w:val="22"/>
        </w:rPr>
      </w:pPr>
    </w:p>
    <w:p w:rsidR="00E86F46" w:rsidRPr="00CF7294" w:rsidRDefault="006F0376" w:rsidP="00AB24F2">
      <w:pPr>
        <w:pStyle w:val="NormalWeb"/>
        <w:spacing w:before="0" w:beforeAutospacing="0" w:after="0" w:afterAutospacing="0"/>
        <w:rPr>
          <w:rFonts w:ascii="Arial" w:hAnsi="Arial" w:cs="Arial"/>
          <w:b/>
          <w:sz w:val="22"/>
          <w:szCs w:val="22"/>
        </w:rPr>
      </w:pPr>
      <w:r>
        <w:rPr>
          <w:rFonts w:ascii="Arial" w:hAnsi="Arial" w:cs="Arial"/>
          <w:b/>
          <w:sz w:val="22"/>
          <w:szCs w:val="22"/>
        </w:rPr>
        <w:t>Recommendation 4</w:t>
      </w:r>
    </w:p>
    <w:p w:rsidR="00E86F46" w:rsidRPr="00CF7294" w:rsidRDefault="00E86F46" w:rsidP="00AB24F2">
      <w:pPr>
        <w:pStyle w:val="NormalWeb"/>
        <w:spacing w:before="0" w:beforeAutospacing="0" w:after="0" w:afterAutospacing="0"/>
        <w:rPr>
          <w:rFonts w:ascii="Arial" w:hAnsi="Arial" w:cs="Arial"/>
          <w:sz w:val="22"/>
          <w:szCs w:val="22"/>
        </w:rPr>
      </w:pPr>
    </w:p>
    <w:p w:rsidR="00E86F46" w:rsidRPr="00CF7294" w:rsidRDefault="00E86F46" w:rsidP="00AB24F2">
      <w:pPr>
        <w:pStyle w:val="NormalWeb"/>
        <w:spacing w:before="0" w:beforeAutospacing="0" w:after="0" w:afterAutospacing="0"/>
        <w:rPr>
          <w:rFonts w:ascii="Arial" w:hAnsi="Arial" w:cs="Arial"/>
          <w:sz w:val="22"/>
          <w:szCs w:val="22"/>
        </w:rPr>
      </w:pPr>
      <w:r w:rsidRPr="00CF7294">
        <w:rPr>
          <w:rFonts w:ascii="Arial" w:hAnsi="Arial" w:cs="Arial"/>
          <w:sz w:val="22"/>
          <w:szCs w:val="22"/>
        </w:rPr>
        <w:t>The Government should not penalise the trucking industry through initiating charges to make rail freight more attractive, as this will ultimately increase costs for consumers and unfairly tax the industry</w:t>
      </w:r>
      <w:r w:rsidR="00700B1F">
        <w:rPr>
          <w:rFonts w:ascii="Arial" w:hAnsi="Arial" w:cs="Arial"/>
          <w:sz w:val="22"/>
          <w:szCs w:val="22"/>
        </w:rPr>
        <w:t xml:space="preserve"> further. </w:t>
      </w:r>
    </w:p>
    <w:p w:rsidR="00E86F46" w:rsidRPr="00CF7294" w:rsidRDefault="00E86F46" w:rsidP="00AB24F2">
      <w:pPr>
        <w:rPr>
          <w:rFonts w:ascii="Arial" w:hAnsi="Arial" w:cs="Arial"/>
        </w:rPr>
      </w:pPr>
    </w:p>
    <w:p w:rsidR="00E86F46" w:rsidRPr="00E34FE2" w:rsidRDefault="00E86F46" w:rsidP="00AB24F2">
      <w:pPr>
        <w:rPr>
          <w:rFonts w:ascii="Arial" w:hAnsi="Arial" w:cs="Arial"/>
          <w:b/>
        </w:rPr>
      </w:pPr>
      <w:r w:rsidRPr="00CF7294">
        <w:rPr>
          <w:rFonts w:ascii="Arial" w:hAnsi="Arial" w:cs="Arial"/>
          <w:b/>
        </w:rPr>
        <w:t xml:space="preserve">Recommendation </w:t>
      </w:r>
      <w:r w:rsidR="006F0376">
        <w:rPr>
          <w:rFonts w:ascii="Arial" w:hAnsi="Arial" w:cs="Arial"/>
          <w:b/>
        </w:rPr>
        <w:t>5</w:t>
      </w:r>
    </w:p>
    <w:p w:rsidR="00E34FE2" w:rsidRPr="00E34FE2" w:rsidRDefault="00E34FE2" w:rsidP="00E34FE2">
      <w:pPr>
        <w:shd w:val="clear" w:color="auto" w:fill="FFFFFF"/>
        <w:spacing w:before="100" w:beforeAutospacing="1" w:after="100" w:afterAutospacing="1" w:line="279" w:lineRule="atLeast"/>
        <w:rPr>
          <w:rFonts w:ascii="Arial" w:hAnsi="Arial" w:cs="Arial"/>
        </w:rPr>
      </w:pPr>
      <w:r w:rsidRPr="00E34FE2">
        <w:rPr>
          <w:rFonts w:ascii="Arial" w:hAnsi="Arial" w:cs="Arial"/>
        </w:rPr>
        <w:t xml:space="preserve">The Government should support heavy vehicle charging option A, as set out in the NTC 2014 Heavy Vehicle Charges Determination RIS. The option should be implemented from 1 July 2016. The Government should then consider implementing Option B once state and Commonwealth revenue redistribution is agreed by ministers. </w:t>
      </w:r>
    </w:p>
    <w:p w:rsidR="00CF7294" w:rsidRPr="00CF7294" w:rsidRDefault="00CF7294" w:rsidP="00AB24F2">
      <w:pPr>
        <w:shd w:val="clear" w:color="auto" w:fill="FFFFFF"/>
        <w:spacing w:before="100" w:beforeAutospacing="1" w:after="100" w:afterAutospacing="1" w:line="279" w:lineRule="atLeast"/>
        <w:rPr>
          <w:rFonts w:ascii="Arial" w:eastAsia="Times New Roman" w:hAnsi="Arial" w:cs="Arial"/>
          <w:b/>
          <w:lang w:eastAsia="en-AU"/>
        </w:rPr>
      </w:pPr>
      <w:r w:rsidRPr="00CF7294">
        <w:rPr>
          <w:rFonts w:ascii="Arial" w:eastAsia="Times New Roman" w:hAnsi="Arial" w:cs="Arial"/>
          <w:b/>
          <w:lang w:eastAsia="en-AU"/>
        </w:rPr>
        <w:t xml:space="preserve">Recommendation </w:t>
      </w:r>
      <w:r w:rsidR="006F0376">
        <w:rPr>
          <w:rFonts w:ascii="Arial" w:eastAsia="Times New Roman" w:hAnsi="Arial" w:cs="Arial"/>
          <w:b/>
          <w:lang w:eastAsia="en-AU"/>
        </w:rPr>
        <w:t>6</w:t>
      </w:r>
    </w:p>
    <w:p w:rsidR="00D01230" w:rsidRDefault="00577C80" w:rsidP="00AB24F2">
      <w:pPr>
        <w:pStyle w:val="BodyText2"/>
        <w:rPr>
          <w:b w:val="0"/>
          <w:szCs w:val="22"/>
        </w:rPr>
      </w:pPr>
      <w:r w:rsidRPr="00577C80">
        <w:rPr>
          <w:b w:val="0"/>
          <w:bCs w:val="0"/>
          <w:szCs w:val="22"/>
          <w:lang w:eastAsia="en-AU"/>
        </w:rPr>
        <w:t>The Government should work with the state participants in the Heavy Vehicle National Law to extend the regulatory benefits afforded the Government National Heavy Vehicle Accreditation Scheme to industry accreditation schemes to address competitive neutrality.</w:t>
      </w:r>
    </w:p>
    <w:p w:rsidR="00CF7294" w:rsidRDefault="00CF7294" w:rsidP="00AB24F2">
      <w:pPr>
        <w:pStyle w:val="BodyText2"/>
        <w:rPr>
          <w:b w:val="0"/>
          <w:szCs w:val="22"/>
        </w:rPr>
      </w:pPr>
    </w:p>
    <w:p w:rsidR="00954EAA" w:rsidRDefault="00954EAA" w:rsidP="00AB24F2">
      <w:pPr>
        <w:pStyle w:val="BodyText2"/>
        <w:rPr>
          <w:b w:val="0"/>
          <w:szCs w:val="22"/>
        </w:rPr>
      </w:pPr>
    </w:p>
    <w:p w:rsidR="00954EAA" w:rsidRDefault="00954EAA" w:rsidP="00AB24F2">
      <w:pPr>
        <w:pStyle w:val="BodyText2"/>
        <w:rPr>
          <w:b w:val="0"/>
          <w:szCs w:val="22"/>
        </w:rPr>
      </w:pPr>
    </w:p>
    <w:p w:rsidR="00577C80" w:rsidRDefault="00577C80" w:rsidP="00AB24F2">
      <w:pPr>
        <w:pStyle w:val="BodyText2"/>
        <w:rPr>
          <w:b w:val="0"/>
          <w:szCs w:val="22"/>
        </w:rPr>
      </w:pPr>
    </w:p>
    <w:p w:rsidR="00954EAA" w:rsidRDefault="00954EAA" w:rsidP="00AB24F2">
      <w:pPr>
        <w:pStyle w:val="BodyText2"/>
        <w:rPr>
          <w:b w:val="0"/>
          <w:szCs w:val="22"/>
        </w:rPr>
      </w:pPr>
    </w:p>
    <w:p w:rsidR="00954EAA" w:rsidRDefault="00954EAA" w:rsidP="00AB24F2">
      <w:pPr>
        <w:pStyle w:val="BodyText2"/>
        <w:rPr>
          <w:b w:val="0"/>
          <w:szCs w:val="22"/>
        </w:rPr>
      </w:pPr>
    </w:p>
    <w:p w:rsidR="00600132" w:rsidRPr="00CF7294" w:rsidRDefault="00576ED0" w:rsidP="00AB24F2">
      <w:pPr>
        <w:pStyle w:val="Heading1"/>
        <w:rPr>
          <w:szCs w:val="22"/>
        </w:rPr>
      </w:pPr>
      <w:bookmarkStart w:id="3" w:name="_Toc420051867"/>
      <w:r w:rsidRPr="00CF7294">
        <w:rPr>
          <w:szCs w:val="22"/>
        </w:rPr>
        <w:lastRenderedPageBreak/>
        <w:t>Introduction</w:t>
      </w:r>
      <w:bookmarkEnd w:id="3"/>
    </w:p>
    <w:p w:rsidR="00C322A1" w:rsidRPr="00CF7294" w:rsidRDefault="00C322A1" w:rsidP="00AB24F2">
      <w:pPr>
        <w:rPr>
          <w:rFonts w:ascii="Arial" w:eastAsia="Times New Roman" w:hAnsi="Arial" w:cs="Arial"/>
          <w:bCs/>
        </w:rPr>
      </w:pPr>
    </w:p>
    <w:p w:rsidR="008C480A" w:rsidRPr="00CF7294" w:rsidRDefault="008C480A" w:rsidP="00AB24F2">
      <w:pPr>
        <w:rPr>
          <w:rFonts w:ascii="Arial" w:eastAsia="Times New Roman" w:hAnsi="Arial" w:cs="Arial"/>
          <w:bCs/>
        </w:rPr>
      </w:pPr>
      <w:r w:rsidRPr="00CF7294">
        <w:rPr>
          <w:rFonts w:ascii="Arial" w:eastAsia="Times New Roman" w:hAnsi="Arial" w:cs="Arial"/>
          <w:bCs/>
        </w:rPr>
        <w:t xml:space="preserve">Australia has experienced a sustained period of competitive output with a strong supply of </w:t>
      </w:r>
      <w:r w:rsidR="00755E69" w:rsidRPr="00CF7294">
        <w:rPr>
          <w:rFonts w:ascii="Arial" w:eastAsia="Times New Roman" w:hAnsi="Arial" w:cs="Arial"/>
          <w:bCs/>
        </w:rPr>
        <w:t xml:space="preserve">favourably priced </w:t>
      </w:r>
      <w:r w:rsidRPr="00CF7294">
        <w:rPr>
          <w:rFonts w:ascii="Arial" w:eastAsia="Times New Roman" w:hAnsi="Arial" w:cs="Arial"/>
          <w:bCs/>
        </w:rPr>
        <w:t>commodities buoying the economy for recent decades. However, while focus has been on commodity markets other sectors of Australian business have been constrained by over-regulation and poor decision making by policy makers</w:t>
      </w:r>
      <w:r w:rsidR="00755E69" w:rsidRPr="00CF7294">
        <w:rPr>
          <w:rFonts w:ascii="Arial" w:eastAsia="Times New Roman" w:hAnsi="Arial" w:cs="Arial"/>
          <w:bCs/>
        </w:rPr>
        <w:t>. T</w:t>
      </w:r>
      <w:r w:rsidR="004368C5" w:rsidRPr="00CF7294">
        <w:rPr>
          <w:rFonts w:ascii="Arial" w:eastAsia="Times New Roman" w:hAnsi="Arial" w:cs="Arial"/>
          <w:bCs/>
        </w:rPr>
        <w:t>he</w:t>
      </w:r>
      <w:r w:rsidR="000C340A">
        <w:rPr>
          <w:rFonts w:ascii="Arial" w:eastAsia="Times New Roman" w:hAnsi="Arial" w:cs="Arial"/>
          <w:bCs/>
        </w:rPr>
        <w:t xml:space="preserve"> c</w:t>
      </w:r>
      <w:r w:rsidR="00986D67">
        <w:rPr>
          <w:rFonts w:ascii="Arial" w:eastAsia="Times New Roman" w:hAnsi="Arial" w:cs="Arial"/>
          <w:bCs/>
        </w:rPr>
        <w:t>ompetition</w:t>
      </w:r>
      <w:r w:rsidR="004368C5" w:rsidRPr="00CF7294">
        <w:rPr>
          <w:rFonts w:ascii="Arial" w:eastAsia="Times New Roman" w:hAnsi="Arial" w:cs="Arial"/>
          <w:bCs/>
        </w:rPr>
        <w:t xml:space="preserve"> paper </w:t>
      </w:r>
      <w:r w:rsidR="00755E69" w:rsidRPr="00CF7294">
        <w:rPr>
          <w:rFonts w:ascii="Arial" w:eastAsia="Times New Roman" w:hAnsi="Arial" w:cs="Arial"/>
          <w:bCs/>
        </w:rPr>
        <w:t>states</w:t>
      </w:r>
      <w:r w:rsidR="004368C5" w:rsidRPr="00CF7294">
        <w:rPr>
          <w:rFonts w:ascii="Arial" w:eastAsia="Times New Roman" w:hAnsi="Arial" w:cs="Arial"/>
          <w:bCs/>
        </w:rPr>
        <w:t xml:space="preserve"> that multifactor productivity growth</w:t>
      </w:r>
      <w:r w:rsidR="004368C5" w:rsidRPr="00CF7294">
        <w:rPr>
          <w:rFonts w:ascii="Arial" w:hAnsi="Arial" w:cs="Arial"/>
        </w:rPr>
        <w:t xml:space="preserve"> </w:t>
      </w:r>
      <w:r w:rsidR="004368C5" w:rsidRPr="00CF7294">
        <w:rPr>
          <w:rFonts w:ascii="Arial" w:eastAsia="Times New Roman" w:hAnsi="Arial" w:cs="Arial"/>
          <w:bCs/>
        </w:rPr>
        <w:t xml:space="preserve">deteriorated markedly during this time and noted that </w:t>
      </w:r>
      <w:r w:rsidR="004368C5" w:rsidRPr="00CF7294">
        <w:rPr>
          <w:rFonts w:ascii="Arial" w:hAnsi="Arial" w:cs="Arial"/>
        </w:rPr>
        <w:t>much of this deterioration coincided with a stalling in Australia’s microeconomic reform effort</w:t>
      </w:r>
      <w:r w:rsidR="00986D67">
        <w:rPr>
          <w:rFonts w:ascii="Arial" w:hAnsi="Arial" w:cs="Arial"/>
        </w:rPr>
        <w:t>.</w:t>
      </w:r>
      <w:r w:rsidR="004368C5" w:rsidRPr="00CF7294">
        <w:rPr>
          <w:rStyle w:val="FootnoteReference"/>
          <w:rFonts w:ascii="Arial" w:hAnsi="Arial" w:cs="Arial"/>
        </w:rPr>
        <w:footnoteReference w:id="1"/>
      </w:r>
    </w:p>
    <w:p w:rsidR="008C480A" w:rsidRPr="00CF7294" w:rsidRDefault="008C480A" w:rsidP="00AB24F2">
      <w:pPr>
        <w:rPr>
          <w:rFonts w:ascii="Arial" w:eastAsia="Times New Roman" w:hAnsi="Arial" w:cs="Arial"/>
          <w:bCs/>
        </w:rPr>
      </w:pPr>
    </w:p>
    <w:p w:rsidR="00702F15" w:rsidRPr="00CF7294" w:rsidRDefault="004368C5" w:rsidP="00AB24F2">
      <w:pPr>
        <w:rPr>
          <w:rFonts w:ascii="Arial" w:hAnsi="Arial" w:cs="Arial"/>
        </w:rPr>
      </w:pPr>
      <w:r w:rsidRPr="00CF7294">
        <w:rPr>
          <w:rFonts w:ascii="Arial" w:eastAsia="Times New Roman" w:hAnsi="Arial" w:cs="Arial"/>
          <w:bCs/>
        </w:rPr>
        <w:t xml:space="preserve">It is important that Australia has competitive markets, providing the most efficient allocation of resources, low prices for consumers, </w:t>
      </w:r>
      <w:r w:rsidR="00702F15" w:rsidRPr="00CF7294">
        <w:rPr>
          <w:rFonts w:ascii="Arial" w:hAnsi="Arial" w:cs="Arial"/>
        </w:rPr>
        <w:t>higher incomes and job</w:t>
      </w:r>
      <w:r w:rsidR="00E510DD">
        <w:rPr>
          <w:rFonts w:ascii="Arial" w:hAnsi="Arial" w:cs="Arial"/>
        </w:rPr>
        <w:t>s</w:t>
      </w:r>
      <w:r w:rsidR="00702F15" w:rsidRPr="00CF7294">
        <w:rPr>
          <w:rFonts w:ascii="Arial" w:hAnsi="Arial" w:cs="Arial"/>
        </w:rPr>
        <w:t xml:space="preserve"> growth</w:t>
      </w:r>
      <w:r w:rsidRPr="00CF7294">
        <w:rPr>
          <w:rFonts w:ascii="Arial" w:hAnsi="Arial" w:cs="Arial"/>
        </w:rPr>
        <w:t>.</w:t>
      </w:r>
      <w:r w:rsidR="00702F15" w:rsidRPr="00CF7294">
        <w:rPr>
          <w:rStyle w:val="FootnoteReference"/>
          <w:rFonts w:ascii="Arial" w:hAnsi="Arial" w:cs="Arial"/>
        </w:rPr>
        <w:footnoteReference w:id="2"/>
      </w:r>
    </w:p>
    <w:p w:rsidR="00CA7E44" w:rsidRPr="00CF7294" w:rsidRDefault="00CA7E44" w:rsidP="00AB24F2">
      <w:pPr>
        <w:rPr>
          <w:rFonts w:ascii="Arial" w:eastAsiaTheme="minorHAnsi" w:hAnsi="Arial" w:cs="Arial"/>
        </w:rPr>
      </w:pPr>
    </w:p>
    <w:p w:rsidR="00CA7E44" w:rsidRPr="00CF7294" w:rsidRDefault="00CA7E44" w:rsidP="00AB24F2">
      <w:pPr>
        <w:rPr>
          <w:rFonts w:ascii="Arial" w:eastAsiaTheme="minorHAnsi" w:hAnsi="Arial" w:cs="Arial"/>
        </w:rPr>
      </w:pPr>
      <w:r w:rsidRPr="00CF7294">
        <w:rPr>
          <w:rFonts w:ascii="Arial" w:eastAsiaTheme="minorHAnsi" w:hAnsi="Arial" w:cs="Arial"/>
        </w:rPr>
        <w:t xml:space="preserve">Between 1971 and 2007 </w:t>
      </w:r>
      <w:r w:rsidR="00986D67">
        <w:rPr>
          <w:rFonts w:ascii="Arial" w:eastAsiaTheme="minorHAnsi" w:hAnsi="Arial" w:cs="Arial"/>
        </w:rPr>
        <w:t xml:space="preserve">trucking </w:t>
      </w:r>
      <w:r w:rsidRPr="00CF7294">
        <w:rPr>
          <w:rFonts w:ascii="Arial" w:eastAsiaTheme="minorHAnsi" w:hAnsi="Arial" w:cs="Arial"/>
        </w:rPr>
        <w:t>industry productivity increased six-fold.  This large increase occurred because of the uptake of high productivity vehicles like B-doubles. In this time period the average distance travelled by articulated trucks increased by almost 90 per cent and the average load they carried doubled.</w:t>
      </w:r>
      <w:r w:rsidRPr="00CF7294">
        <w:rPr>
          <w:rFonts w:ascii="Arial" w:eastAsiaTheme="minorHAnsi" w:hAnsi="Arial" w:cs="Arial"/>
          <w:vertAlign w:val="superscript"/>
        </w:rPr>
        <w:footnoteReference w:id="3"/>
      </w:r>
    </w:p>
    <w:p w:rsidR="00EC2FD2" w:rsidRPr="00CF7294" w:rsidRDefault="00EC2FD2" w:rsidP="00AB24F2">
      <w:pPr>
        <w:rPr>
          <w:rFonts w:ascii="Arial" w:eastAsiaTheme="minorHAnsi" w:hAnsi="Arial" w:cs="Arial"/>
        </w:rPr>
      </w:pPr>
    </w:p>
    <w:p w:rsidR="00CA7E44" w:rsidRPr="00CF7294" w:rsidRDefault="00700B1F" w:rsidP="00AB24F2">
      <w:pPr>
        <w:rPr>
          <w:rFonts w:ascii="Arial" w:eastAsiaTheme="minorHAnsi" w:hAnsi="Arial" w:cs="Arial"/>
        </w:rPr>
      </w:pPr>
      <w:r>
        <w:rPr>
          <w:rFonts w:ascii="Arial" w:eastAsiaTheme="minorHAnsi" w:hAnsi="Arial" w:cs="Arial"/>
        </w:rPr>
        <w:t>However, the industry’s</w:t>
      </w:r>
      <w:r w:rsidR="00EC2FD2" w:rsidRPr="00CF7294">
        <w:rPr>
          <w:rFonts w:ascii="Arial" w:eastAsiaTheme="minorHAnsi" w:hAnsi="Arial" w:cs="Arial"/>
        </w:rPr>
        <w:t xml:space="preserve"> productivity and competitiveness has plateaued </w:t>
      </w:r>
      <w:r w:rsidR="00CA7E44" w:rsidRPr="00CF7294">
        <w:rPr>
          <w:rFonts w:ascii="Arial" w:eastAsiaTheme="minorHAnsi" w:hAnsi="Arial" w:cs="Arial"/>
        </w:rPr>
        <w:t>due to government policy decisions and slow response to the industry’s desire to use safer, longer, higher productivity heavy vehicles.</w:t>
      </w:r>
    </w:p>
    <w:p w:rsidR="00CA7E44" w:rsidRPr="00CF7294" w:rsidRDefault="00CA7E44" w:rsidP="00AB24F2">
      <w:pPr>
        <w:rPr>
          <w:rFonts w:ascii="Arial" w:eastAsiaTheme="minorHAnsi" w:hAnsi="Arial" w:cs="Arial"/>
        </w:rPr>
      </w:pPr>
    </w:p>
    <w:p w:rsidR="00CA7E44" w:rsidRPr="00CF7294" w:rsidRDefault="00CA7E44" w:rsidP="00AB24F2">
      <w:pPr>
        <w:rPr>
          <w:rFonts w:ascii="Arial" w:eastAsiaTheme="minorHAnsi" w:hAnsi="Arial" w:cs="Arial"/>
        </w:rPr>
      </w:pPr>
      <w:r w:rsidRPr="00CF7294">
        <w:rPr>
          <w:rFonts w:ascii="Arial" w:eastAsiaTheme="minorHAnsi" w:hAnsi="Arial" w:cs="Arial"/>
        </w:rPr>
        <w:t>Having an efficient infrastructure network for freight is also essential for competitive exports</w:t>
      </w:r>
      <w:r w:rsidR="005D4ED9">
        <w:rPr>
          <w:rFonts w:ascii="Arial" w:eastAsiaTheme="minorHAnsi" w:hAnsi="Arial" w:cs="Arial"/>
        </w:rPr>
        <w:t>. T</w:t>
      </w:r>
      <w:r w:rsidRPr="00CF7294">
        <w:rPr>
          <w:rFonts w:ascii="Arial" w:eastAsiaTheme="minorHAnsi" w:hAnsi="Arial" w:cs="Arial"/>
        </w:rPr>
        <w:t>here is much that can be done to improve the productivity of the road network in Australia</w:t>
      </w:r>
      <w:r w:rsidR="0010292E">
        <w:rPr>
          <w:rFonts w:ascii="Arial" w:eastAsiaTheme="minorHAnsi" w:hAnsi="Arial" w:cs="Arial"/>
        </w:rPr>
        <w:t xml:space="preserve"> and</w:t>
      </w:r>
      <w:r w:rsidR="0010292E" w:rsidRPr="0010292E">
        <w:rPr>
          <w:rFonts w:ascii="Arial" w:eastAsiaTheme="minorHAnsi" w:hAnsi="Arial" w:cs="Arial"/>
        </w:rPr>
        <w:t xml:space="preserve"> </w:t>
      </w:r>
      <w:r w:rsidR="0010292E">
        <w:rPr>
          <w:rFonts w:ascii="Arial" w:eastAsiaTheme="minorHAnsi" w:hAnsi="Arial" w:cs="Arial"/>
        </w:rPr>
        <w:t xml:space="preserve">ultimately, any uncompetitive pricing or unnecessary increased cost will be passed on to consumers. </w:t>
      </w:r>
      <w:r w:rsidR="0010292E" w:rsidRPr="00CF7294">
        <w:rPr>
          <w:rFonts w:ascii="Arial" w:eastAsiaTheme="minorHAnsi" w:hAnsi="Arial" w:cs="Arial"/>
        </w:rPr>
        <w:t xml:space="preserve"> </w:t>
      </w:r>
    </w:p>
    <w:p w:rsidR="00700B1F" w:rsidRDefault="00700B1F" w:rsidP="00AB24F2">
      <w:pPr>
        <w:rPr>
          <w:rFonts w:ascii="Arial" w:eastAsiaTheme="minorHAnsi" w:hAnsi="Arial" w:cs="Arial"/>
        </w:rPr>
      </w:pPr>
    </w:p>
    <w:p w:rsidR="00700B1F" w:rsidRDefault="00700B1F" w:rsidP="00AB24F2">
      <w:pPr>
        <w:rPr>
          <w:rFonts w:ascii="Arial" w:eastAsiaTheme="minorHAnsi" w:hAnsi="Arial" w:cs="Arial"/>
        </w:rPr>
      </w:pPr>
    </w:p>
    <w:p w:rsidR="00D1143B" w:rsidRPr="00CF7294" w:rsidRDefault="008C7EC0" w:rsidP="00AB24F2">
      <w:pPr>
        <w:pStyle w:val="Heading1"/>
        <w:rPr>
          <w:rFonts w:eastAsiaTheme="minorHAnsi"/>
        </w:rPr>
      </w:pPr>
      <w:bookmarkStart w:id="4" w:name="_Toc420051868"/>
      <w:r w:rsidRPr="00CF7294">
        <w:rPr>
          <w:szCs w:val="22"/>
        </w:rPr>
        <w:t>Optimising the competitiveness of the industry</w:t>
      </w:r>
      <w:bookmarkEnd w:id="4"/>
      <w:r w:rsidRPr="00CF7294">
        <w:rPr>
          <w:szCs w:val="22"/>
        </w:rPr>
        <w:t xml:space="preserve"> </w:t>
      </w:r>
    </w:p>
    <w:p w:rsidR="00D1143B" w:rsidRPr="00CF7294" w:rsidRDefault="00D1143B" w:rsidP="00AB24F2">
      <w:pPr>
        <w:rPr>
          <w:rFonts w:ascii="Arial" w:eastAsiaTheme="minorHAnsi" w:hAnsi="Arial" w:cs="Arial"/>
        </w:rPr>
      </w:pPr>
    </w:p>
    <w:p w:rsidR="00D1143B" w:rsidRPr="00D534CA" w:rsidRDefault="00E34FE2" w:rsidP="00AB24F2">
      <w:pPr>
        <w:pStyle w:val="Heading1"/>
        <w:numPr>
          <w:ilvl w:val="0"/>
          <w:numId w:val="0"/>
        </w:numPr>
        <w:rPr>
          <w:sz w:val="24"/>
          <w:szCs w:val="22"/>
        </w:rPr>
      </w:pPr>
      <w:bookmarkStart w:id="5" w:name="_Toc420051869"/>
      <w:r>
        <w:rPr>
          <w:sz w:val="24"/>
          <w:szCs w:val="22"/>
        </w:rPr>
        <w:t>4</w:t>
      </w:r>
      <w:r w:rsidR="00D534CA" w:rsidRPr="00D534CA">
        <w:rPr>
          <w:sz w:val="24"/>
          <w:szCs w:val="22"/>
        </w:rPr>
        <w:t>.1 Implement the s</w:t>
      </w:r>
      <w:r w:rsidR="00D1143B" w:rsidRPr="00D534CA">
        <w:rPr>
          <w:sz w:val="24"/>
          <w:szCs w:val="22"/>
        </w:rPr>
        <w:t>upply side reforms recommended by the Productivity Commission</w:t>
      </w:r>
      <w:bookmarkEnd w:id="5"/>
    </w:p>
    <w:p w:rsidR="00D1143B" w:rsidRPr="00CF7294" w:rsidRDefault="00D1143B" w:rsidP="00AB24F2">
      <w:pPr>
        <w:rPr>
          <w:rFonts w:ascii="Arial" w:eastAsiaTheme="minorHAnsi" w:hAnsi="Arial" w:cs="Arial"/>
        </w:rPr>
      </w:pPr>
    </w:p>
    <w:p w:rsidR="00FC4F14" w:rsidRPr="00CF7294" w:rsidRDefault="00FC4F14" w:rsidP="00AB24F2">
      <w:pPr>
        <w:rPr>
          <w:rFonts w:ascii="Arial" w:eastAsiaTheme="minorHAnsi" w:hAnsi="Arial" w:cs="Arial"/>
        </w:rPr>
      </w:pPr>
      <w:r w:rsidRPr="00CF7294">
        <w:rPr>
          <w:rFonts w:ascii="Arial" w:eastAsiaTheme="minorHAnsi" w:hAnsi="Arial" w:cs="Arial"/>
        </w:rPr>
        <w:t xml:space="preserve">The panel identifies that the heavy vehicle industry is under intense regulatory oversight </w:t>
      </w:r>
      <w:r w:rsidR="001745E7" w:rsidRPr="00CF7294">
        <w:rPr>
          <w:rFonts w:ascii="Arial" w:eastAsiaTheme="minorHAnsi" w:hAnsi="Arial" w:cs="Arial"/>
        </w:rPr>
        <w:t xml:space="preserve">and conservative </w:t>
      </w:r>
      <w:r w:rsidR="00197CB4" w:rsidRPr="00CF7294">
        <w:rPr>
          <w:rFonts w:ascii="Arial" w:eastAsiaTheme="minorHAnsi" w:hAnsi="Arial" w:cs="Arial"/>
        </w:rPr>
        <w:t>policies</w:t>
      </w:r>
      <w:r w:rsidR="00040877">
        <w:rPr>
          <w:rStyle w:val="FootnoteReference"/>
          <w:rFonts w:ascii="Arial" w:eastAsiaTheme="minorHAnsi" w:hAnsi="Arial"/>
        </w:rPr>
        <w:footnoteReference w:id="4"/>
      </w:r>
      <w:r w:rsidR="00197CB4" w:rsidRPr="00CF7294">
        <w:rPr>
          <w:rFonts w:ascii="Arial" w:eastAsiaTheme="minorHAnsi" w:hAnsi="Arial" w:cs="Arial"/>
        </w:rPr>
        <w:t xml:space="preserve">. If the industry is to become more productive and competitive there are a range of policies </w:t>
      </w:r>
      <w:r w:rsidR="008324F2" w:rsidRPr="00CF7294">
        <w:rPr>
          <w:rFonts w:ascii="Arial" w:eastAsiaTheme="minorHAnsi" w:hAnsi="Arial" w:cs="Arial"/>
        </w:rPr>
        <w:t>that</w:t>
      </w:r>
      <w:r w:rsidR="00197CB4" w:rsidRPr="00CF7294">
        <w:rPr>
          <w:rFonts w:ascii="Arial" w:eastAsiaTheme="minorHAnsi" w:hAnsi="Arial" w:cs="Arial"/>
        </w:rPr>
        <w:t xml:space="preserve"> can be implemented. </w:t>
      </w:r>
      <w:r w:rsidR="001745E7" w:rsidRPr="00CF7294">
        <w:rPr>
          <w:rFonts w:ascii="Arial" w:eastAsiaTheme="minorHAnsi" w:hAnsi="Arial" w:cs="Arial"/>
        </w:rPr>
        <w:t xml:space="preserve"> </w:t>
      </w:r>
    </w:p>
    <w:p w:rsidR="00197CB4" w:rsidRPr="00CF7294" w:rsidRDefault="00197CB4" w:rsidP="00AB24F2">
      <w:pPr>
        <w:rPr>
          <w:rFonts w:ascii="Arial" w:eastAsiaTheme="minorHAnsi" w:hAnsi="Arial" w:cs="Arial"/>
        </w:rPr>
      </w:pPr>
    </w:p>
    <w:p w:rsidR="00415CCB" w:rsidRDefault="00702F15" w:rsidP="00F711CA">
      <w:pPr>
        <w:spacing w:after="160" w:line="256" w:lineRule="auto"/>
        <w:ind w:left="720" w:right="720"/>
        <w:rPr>
          <w:rFonts w:ascii="Arial" w:hAnsi="Arial" w:cs="Arial"/>
        </w:rPr>
      </w:pPr>
      <w:r w:rsidRPr="00CF7294">
        <w:rPr>
          <w:rFonts w:ascii="Arial" w:hAnsi="Arial" w:cs="Arial"/>
        </w:rPr>
        <w:t>In the area of infrastructure, the Panel recommends reforming road transport by introducing cost-reflective road pricing in a revenue-neutral way and linked to road construction, maintenance and safety so that road investment decisions are more responsive to the needs and preferences of road users.</w:t>
      </w:r>
      <w:r w:rsidR="002D3049" w:rsidRPr="00CF7294">
        <w:rPr>
          <w:rFonts w:ascii="Arial" w:hAnsi="Arial" w:cs="Arial"/>
          <w:vertAlign w:val="superscript"/>
        </w:rPr>
        <w:footnoteReference w:id="5"/>
      </w:r>
    </w:p>
    <w:p w:rsidR="00314E77" w:rsidRDefault="008865D9" w:rsidP="00AB24F2">
      <w:pPr>
        <w:spacing w:after="160" w:line="256" w:lineRule="auto"/>
        <w:rPr>
          <w:rFonts w:ascii="Arial" w:hAnsi="Arial" w:cs="Arial"/>
        </w:rPr>
      </w:pPr>
      <w:r w:rsidRPr="00CF7294">
        <w:rPr>
          <w:rFonts w:ascii="Arial" w:hAnsi="Arial" w:cs="Arial"/>
        </w:rPr>
        <w:t xml:space="preserve"> The Productivity Commission also recommend</w:t>
      </w:r>
      <w:r w:rsidR="00040877">
        <w:rPr>
          <w:rFonts w:ascii="Arial" w:hAnsi="Arial" w:cs="Arial"/>
        </w:rPr>
        <w:t>s</w:t>
      </w:r>
      <w:r w:rsidRPr="00CF7294">
        <w:rPr>
          <w:rFonts w:ascii="Arial" w:hAnsi="Arial" w:cs="Arial"/>
        </w:rPr>
        <w:t xml:space="preserve"> reforms to supply side and road provision that are likely to bring greater benefits than road pricing reform alone. The trucking industry can only be as competitive as roads and road owners allow it to be. In order for the industry to be as competitive as possible the following Productivity Commission recommendations must be </w:t>
      </w:r>
      <w:r w:rsidR="00040877">
        <w:rPr>
          <w:rFonts w:ascii="Arial" w:hAnsi="Arial" w:cs="Arial"/>
        </w:rPr>
        <w:t>adopted</w:t>
      </w:r>
      <w:r w:rsidR="000C340A">
        <w:rPr>
          <w:rFonts w:ascii="Arial" w:hAnsi="Arial" w:cs="Arial"/>
        </w:rPr>
        <w:t>:</w:t>
      </w:r>
    </w:p>
    <w:p w:rsidR="00E34FE2" w:rsidRDefault="00E34FE2" w:rsidP="00AB24F2">
      <w:pPr>
        <w:spacing w:after="160" w:line="256" w:lineRule="auto"/>
        <w:rPr>
          <w:rFonts w:ascii="Arial" w:hAnsi="Arial" w:cs="Arial"/>
        </w:rPr>
      </w:pPr>
    </w:p>
    <w:p w:rsidR="00314E77" w:rsidRDefault="00314E77" w:rsidP="00AB24F2">
      <w:pPr>
        <w:spacing w:after="160" w:line="256" w:lineRule="auto"/>
        <w:rPr>
          <w:rFonts w:ascii="Arial" w:hAnsi="Arial" w:cs="Arial"/>
        </w:rPr>
      </w:pPr>
    </w:p>
    <w:p w:rsidR="00E34FE2" w:rsidRDefault="00E34FE2" w:rsidP="00AB24F2">
      <w:pPr>
        <w:rPr>
          <w:rFonts w:ascii="Arial" w:eastAsiaTheme="minorHAnsi" w:hAnsi="Arial" w:cs="Arial"/>
          <w:b/>
        </w:rPr>
      </w:pPr>
    </w:p>
    <w:p w:rsidR="008865D9" w:rsidRPr="00CF7294" w:rsidRDefault="008865D9" w:rsidP="00AB24F2">
      <w:pPr>
        <w:rPr>
          <w:rFonts w:ascii="Arial" w:eastAsiaTheme="minorHAnsi" w:hAnsi="Arial" w:cs="Arial"/>
          <w:b/>
        </w:rPr>
      </w:pPr>
      <w:r w:rsidRPr="00CF7294">
        <w:rPr>
          <w:rFonts w:ascii="Arial" w:eastAsiaTheme="minorHAnsi" w:hAnsi="Arial" w:cs="Arial"/>
          <w:b/>
        </w:rPr>
        <w:lastRenderedPageBreak/>
        <w:t>Conditional funding for states</w:t>
      </w:r>
    </w:p>
    <w:p w:rsidR="008865D9" w:rsidRPr="00CF7294" w:rsidRDefault="008865D9" w:rsidP="00AB24F2">
      <w:pPr>
        <w:rPr>
          <w:rFonts w:ascii="Arial" w:eastAsiaTheme="minorHAnsi" w:hAnsi="Arial" w:cs="Arial"/>
          <w:b/>
        </w:rPr>
      </w:pPr>
    </w:p>
    <w:p w:rsidR="008865D9" w:rsidRPr="00CF7294" w:rsidRDefault="008865D9" w:rsidP="00AB24F2">
      <w:pPr>
        <w:rPr>
          <w:rFonts w:ascii="Arial" w:eastAsiaTheme="minorHAnsi" w:hAnsi="Arial" w:cs="Arial"/>
          <w:bCs/>
        </w:rPr>
      </w:pPr>
      <w:r w:rsidRPr="00CF7294">
        <w:rPr>
          <w:rFonts w:ascii="Arial" w:eastAsiaTheme="minorHAnsi" w:hAnsi="Arial" w:cs="Arial"/>
          <w:bCs/>
        </w:rPr>
        <w:t>Australian Government funding or other forms of assistance (such as loans and government guarantees) for public infrastructure that is provided to local, state and territory governments should be conditional. Grants currently given by the Commonwealth to states and local governments are not made on a conditional basis. This means that there are loose guidelines governing where monies originally earmarked for roads are spent.</w:t>
      </w:r>
    </w:p>
    <w:p w:rsidR="008865D9" w:rsidRDefault="008865D9" w:rsidP="00AB24F2">
      <w:pPr>
        <w:rPr>
          <w:rFonts w:ascii="Arial" w:eastAsiaTheme="minorHAnsi" w:hAnsi="Arial" w:cs="Arial"/>
          <w:bCs/>
        </w:rPr>
      </w:pPr>
    </w:p>
    <w:p w:rsidR="00E510DD" w:rsidRDefault="00E510DD" w:rsidP="00AB24F2">
      <w:pPr>
        <w:rPr>
          <w:rFonts w:ascii="Arial" w:eastAsiaTheme="minorHAnsi" w:hAnsi="Arial" w:cs="Arial"/>
          <w:bCs/>
        </w:rPr>
      </w:pPr>
      <w:r>
        <w:rPr>
          <w:rFonts w:ascii="Arial" w:eastAsiaTheme="minorHAnsi" w:hAnsi="Arial" w:cs="Arial"/>
          <w:bCs/>
        </w:rPr>
        <w:t xml:space="preserve">The ATA supports </w:t>
      </w:r>
      <w:r w:rsidR="000C340A">
        <w:rPr>
          <w:rFonts w:ascii="Arial" w:eastAsiaTheme="minorHAnsi" w:hAnsi="Arial" w:cs="Arial"/>
          <w:bCs/>
        </w:rPr>
        <w:t>Productivity Commission</w:t>
      </w:r>
      <w:r>
        <w:rPr>
          <w:rFonts w:ascii="Arial" w:eastAsiaTheme="minorHAnsi" w:hAnsi="Arial" w:cs="Arial"/>
          <w:bCs/>
        </w:rPr>
        <w:t xml:space="preserve"> recommendation 7.3</w:t>
      </w:r>
      <w:r w:rsidR="000C340A">
        <w:rPr>
          <w:rFonts w:ascii="Arial" w:eastAsiaTheme="minorHAnsi" w:hAnsi="Arial" w:cs="Arial"/>
          <w:bCs/>
        </w:rPr>
        <w:t>,</w:t>
      </w:r>
      <w:r>
        <w:rPr>
          <w:rFonts w:ascii="Arial" w:eastAsiaTheme="minorHAnsi" w:hAnsi="Arial" w:cs="Arial"/>
          <w:bCs/>
        </w:rPr>
        <w:t xml:space="preserve"> which </w:t>
      </w:r>
      <w:r w:rsidR="000C340A">
        <w:rPr>
          <w:rFonts w:ascii="Arial" w:eastAsiaTheme="minorHAnsi" w:hAnsi="Arial" w:cs="Arial"/>
          <w:bCs/>
        </w:rPr>
        <w:t>recommended</w:t>
      </w:r>
      <w:r>
        <w:rPr>
          <w:rFonts w:ascii="Arial" w:eastAsiaTheme="minorHAnsi" w:hAnsi="Arial" w:cs="Arial"/>
          <w:bCs/>
        </w:rPr>
        <w:t>:</w:t>
      </w:r>
    </w:p>
    <w:p w:rsidR="00E510DD" w:rsidRDefault="00E510DD" w:rsidP="00AB24F2">
      <w:pPr>
        <w:rPr>
          <w:rFonts w:ascii="Arial" w:eastAsiaTheme="minorHAnsi" w:hAnsi="Arial" w:cs="Arial"/>
          <w:bCs/>
        </w:rPr>
      </w:pPr>
    </w:p>
    <w:p w:rsidR="009A21E3" w:rsidRDefault="009A21E3" w:rsidP="00AB24F2">
      <w:pPr>
        <w:pStyle w:val="ListParagraph"/>
        <w:numPr>
          <w:ilvl w:val="0"/>
          <w:numId w:val="17"/>
        </w:numPr>
        <w:rPr>
          <w:rFonts w:ascii="Arial" w:eastAsiaTheme="minorHAnsi" w:hAnsi="Arial" w:cs="Arial"/>
          <w:bCs/>
        </w:rPr>
      </w:pPr>
      <w:r w:rsidRPr="009A21E3">
        <w:rPr>
          <w:rFonts w:ascii="Arial" w:eastAsiaTheme="minorHAnsi" w:hAnsi="Arial" w:cs="Arial"/>
          <w:bCs/>
        </w:rPr>
        <w:t>Australian Government funding or other forms of financial assistance (including incentive payments under Commonwealth–State agreements) for public infrastructure that is provided to State and Territory and Local Governments shoul</w:t>
      </w:r>
      <w:r>
        <w:rPr>
          <w:rFonts w:ascii="Arial" w:eastAsiaTheme="minorHAnsi" w:hAnsi="Arial" w:cs="Arial"/>
          <w:bCs/>
        </w:rPr>
        <w:t>d be conditional on the adoption</w:t>
      </w:r>
      <w:r w:rsidRPr="009A21E3">
        <w:rPr>
          <w:rFonts w:ascii="Arial" w:eastAsiaTheme="minorHAnsi" w:hAnsi="Arial" w:cs="Arial"/>
          <w:bCs/>
        </w:rPr>
        <w:t xml:space="preserve"> of the governance arrangements outlined in recommendation 7.1.</w:t>
      </w:r>
    </w:p>
    <w:p w:rsidR="008865D9" w:rsidRPr="009A21E3" w:rsidRDefault="009A21E3" w:rsidP="00AB24F2">
      <w:pPr>
        <w:pStyle w:val="ListParagraph"/>
        <w:numPr>
          <w:ilvl w:val="0"/>
          <w:numId w:val="17"/>
        </w:numPr>
        <w:rPr>
          <w:rFonts w:ascii="Arial" w:eastAsiaTheme="minorHAnsi" w:hAnsi="Arial" w:cs="Arial"/>
        </w:rPr>
      </w:pPr>
      <w:r w:rsidRPr="009A21E3">
        <w:rPr>
          <w:rFonts w:ascii="Arial" w:eastAsiaTheme="minorHAnsi" w:hAnsi="Arial" w:cs="Arial"/>
          <w:bCs/>
        </w:rPr>
        <w:t>This assistance should only be provided where there is evidence of a demonstrable net public benefit from the project that would otherwise not be obtainable without Australian Government support.</w:t>
      </w:r>
      <w:r w:rsidRPr="009A21E3">
        <w:rPr>
          <w:rFonts w:ascii="Arial" w:eastAsiaTheme="minorHAnsi" w:hAnsi="Arial" w:cs="Arial"/>
          <w:bCs/>
          <w:vertAlign w:val="superscript"/>
        </w:rPr>
        <w:t xml:space="preserve"> </w:t>
      </w:r>
      <w:r w:rsidRPr="00CF7294">
        <w:rPr>
          <w:rFonts w:ascii="Arial" w:eastAsiaTheme="minorHAnsi" w:hAnsi="Arial" w:cs="Arial"/>
          <w:bCs/>
          <w:vertAlign w:val="superscript"/>
        </w:rPr>
        <w:footnoteReference w:id="6"/>
      </w:r>
    </w:p>
    <w:p w:rsidR="008865D9" w:rsidRPr="00CF7294" w:rsidRDefault="008865D9" w:rsidP="00AB24F2">
      <w:pPr>
        <w:rPr>
          <w:rFonts w:ascii="Arial" w:eastAsiaTheme="minorHAnsi" w:hAnsi="Arial" w:cs="Arial"/>
        </w:rPr>
      </w:pPr>
      <w:r w:rsidRPr="00CF7294">
        <w:rPr>
          <w:rFonts w:ascii="Arial" w:eastAsiaTheme="minorHAnsi" w:hAnsi="Arial" w:cs="Arial"/>
          <w:b/>
        </w:rPr>
        <w:t>Improved governance arrangements</w:t>
      </w:r>
    </w:p>
    <w:p w:rsidR="008865D9" w:rsidRPr="00CF7294" w:rsidRDefault="008865D9" w:rsidP="00AB24F2">
      <w:pPr>
        <w:rPr>
          <w:rFonts w:ascii="Arial" w:eastAsiaTheme="minorHAnsi" w:hAnsi="Arial" w:cs="Arial"/>
        </w:rPr>
      </w:pPr>
    </w:p>
    <w:p w:rsidR="008865D9" w:rsidRDefault="008865D9" w:rsidP="00AB24F2">
      <w:pPr>
        <w:rPr>
          <w:rFonts w:ascii="Arial" w:eastAsiaTheme="minorHAnsi" w:hAnsi="Arial" w:cs="Arial"/>
        </w:rPr>
      </w:pPr>
      <w:r w:rsidRPr="00CF7294">
        <w:rPr>
          <w:rFonts w:ascii="Arial" w:eastAsiaTheme="minorHAnsi" w:hAnsi="Arial" w:cs="Arial"/>
        </w:rPr>
        <w:t xml:space="preserve">The ATA supports improved governance arrangements </w:t>
      </w:r>
      <w:r w:rsidR="008C7EC0" w:rsidRPr="00CF7294">
        <w:rPr>
          <w:rFonts w:ascii="Arial" w:eastAsiaTheme="minorHAnsi" w:hAnsi="Arial" w:cs="Arial"/>
        </w:rPr>
        <w:t xml:space="preserve">suggested by the Productivity Commission </w:t>
      </w:r>
      <w:r w:rsidR="009A21E3">
        <w:rPr>
          <w:rFonts w:ascii="Arial" w:eastAsiaTheme="minorHAnsi" w:hAnsi="Arial" w:cs="Arial"/>
        </w:rPr>
        <w:t>(</w:t>
      </w:r>
      <w:r w:rsidR="009A21E3">
        <w:rPr>
          <w:rFonts w:ascii="Arial" w:eastAsiaTheme="minorHAnsi" w:hAnsi="Arial" w:cs="Arial"/>
          <w:bCs/>
        </w:rPr>
        <w:t>r</w:t>
      </w:r>
      <w:r w:rsidR="009A21E3" w:rsidRPr="009A21E3">
        <w:rPr>
          <w:rFonts w:ascii="Arial" w:eastAsiaTheme="minorHAnsi" w:hAnsi="Arial" w:cs="Arial"/>
          <w:bCs/>
        </w:rPr>
        <w:t>ecommendation 7.1</w:t>
      </w:r>
      <w:r w:rsidR="009A21E3">
        <w:rPr>
          <w:rFonts w:ascii="Arial" w:eastAsiaTheme="minorHAnsi" w:hAnsi="Arial" w:cs="Arial"/>
          <w:bCs/>
        </w:rPr>
        <w:t>)</w:t>
      </w:r>
      <w:r w:rsidR="009A21E3" w:rsidRPr="009A21E3">
        <w:rPr>
          <w:rFonts w:ascii="Arial" w:eastAsiaTheme="minorHAnsi" w:hAnsi="Arial" w:cs="Arial"/>
          <w:bCs/>
        </w:rPr>
        <w:t xml:space="preserve"> </w:t>
      </w:r>
      <w:r w:rsidRPr="00CF7294">
        <w:rPr>
          <w:rFonts w:ascii="Arial" w:eastAsiaTheme="minorHAnsi" w:hAnsi="Arial" w:cs="Arial"/>
        </w:rPr>
        <w:t>for road agencies such as:</w:t>
      </w:r>
    </w:p>
    <w:p w:rsidR="009A21E3" w:rsidRPr="009A21E3" w:rsidRDefault="009A21E3" w:rsidP="00AB24F2">
      <w:pPr>
        <w:rPr>
          <w:rFonts w:ascii="Arial" w:eastAsiaTheme="minorHAnsi" w:hAnsi="Arial" w:cs="Arial"/>
          <w:bCs/>
        </w:rPr>
      </w:pPr>
    </w:p>
    <w:p w:rsidR="009A21E3" w:rsidRPr="009A21E3" w:rsidRDefault="009A21E3" w:rsidP="00AB24F2">
      <w:pPr>
        <w:numPr>
          <w:ilvl w:val="0"/>
          <w:numId w:val="18"/>
        </w:numPr>
        <w:rPr>
          <w:rFonts w:ascii="Arial" w:eastAsiaTheme="minorHAnsi" w:hAnsi="Arial" w:cs="Arial"/>
          <w:bCs/>
        </w:rPr>
      </w:pPr>
      <w:r w:rsidRPr="009A21E3">
        <w:rPr>
          <w:rFonts w:ascii="Arial" w:eastAsiaTheme="minorHAnsi" w:hAnsi="Arial" w:cs="Arial"/>
          <w:bCs/>
        </w:rPr>
        <w:t>clearly defining the principal objective of ensuring that decisions are undertaken in the public interest, taken to be the wellbeing of the community as a whole</w:t>
      </w:r>
    </w:p>
    <w:p w:rsidR="009A21E3" w:rsidRPr="009A21E3" w:rsidRDefault="009A21E3" w:rsidP="00AB24F2">
      <w:pPr>
        <w:numPr>
          <w:ilvl w:val="0"/>
          <w:numId w:val="18"/>
        </w:numPr>
        <w:rPr>
          <w:rFonts w:ascii="Arial" w:eastAsiaTheme="minorHAnsi" w:hAnsi="Arial" w:cs="Arial"/>
          <w:bCs/>
        </w:rPr>
      </w:pPr>
      <w:r w:rsidRPr="009A21E3">
        <w:rPr>
          <w:rFonts w:ascii="Arial" w:eastAsiaTheme="minorHAnsi" w:hAnsi="Arial" w:cs="Arial"/>
          <w:bCs/>
        </w:rPr>
        <w:t xml:space="preserve">setting clear and transparent public infrastructure service standards </w:t>
      </w:r>
    </w:p>
    <w:p w:rsidR="009A21E3" w:rsidRPr="009A21E3" w:rsidRDefault="009A21E3" w:rsidP="00AB24F2">
      <w:pPr>
        <w:numPr>
          <w:ilvl w:val="0"/>
          <w:numId w:val="18"/>
        </w:numPr>
        <w:rPr>
          <w:rFonts w:ascii="Arial" w:eastAsiaTheme="minorHAnsi" w:hAnsi="Arial" w:cs="Arial"/>
          <w:bCs/>
        </w:rPr>
      </w:pPr>
      <w:r w:rsidRPr="009A21E3">
        <w:rPr>
          <w:rFonts w:ascii="Arial" w:eastAsiaTheme="minorHAnsi" w:hAnsi="Arial" w:cs="Arial"/>
          <w:bCs/>
        </w:rPr>
        <w:t>instituting effective processes, procedures and policy guidelines for planning and selecting public infrastructure projects, including rigorous and transparent use of cost–benefit analysis and evaluations, public consultation, and public reporting of the decision</w:t>
      </w:r>
    </w:p>
    <w:p w:rsidR="009A21E3" w:rsidRPr="009A21E3" w:rsidRDefault="009A21E3" w:rsidP="00AB24F2">
      <w:pPr>
        <w:numPr>
          <w:ilvl w:val="0"/>
          <w:numId w:val="18"/>
        </w:numPr>
        <w:rPr>
          <w:rFonts w:ascii="Arial" w:eastAsiaTheme="minorHAnsi" w:hAnsi="Arial" w:cs="Arial"/>
          <w:bCs/>
        </w:rPr>
      </w:pPr>
      <w:r w:rsidRPr="009A21E3">
        <w:rPr>
          <w:rFonts w:ascii="Arial" w:eastAsiaTheme="minorHAnsi" w:hAnsi="Arial" w:cs="Arial"/>
          <w:bCs/>
        </w:rPr>
        <w:t>use of transparent, innovative, and competitive processes for the selection of private sector partners for the design, financing, construction, maintenance and/or operation of public infrastructure</w:t>
      </w:r>
    </w:p>
    <w:p w:rsidR="009A21E3" w:rsidRPr="009A21E3" w:rsidRDefault="009A21E3" w:rsidP="00AB24F2">
      <w:pPr>
        <w:numPr>
          <w:ilvl w:val="0"/>
          <w:numId w:val="18"/>
        </w:numPr>
        <w:rPr>
          <w:rFonts w:ascii="Arial" w:eastAsiaTheme="minorHAnsi" w:hAnsi="Arial" w:cs="Arial"/>
          <w:bCs/>
        </w:rPr>
      </w:pPr>
      <w:r w:rsidRPr="009A21E3">
        <w:rPr>
          <w:rFonts w:ascii="Arial" w:eastAsiaTheme="minorHAnsi" w:hAnsi="Arial" w:cs="Arial"/>
          <w:bCs/>
        </w:rPr>
        <w:t>ensuring efficient allocation and subsequent monitoring of project risks between government and the private sector</w:t>
      </w:r>
    </w:p>
    <w:p w:rsidR="009A21E3" w:rsidRPr="009A21E3" w:rsidRDefault="009A21E3" w:rsidP="00AB24F2">
      <w:pPr>
        <w:numPr>
          <w:ilvl w:val="0"/>
          <w:numId w:val="18"/>
        </w:numPr>
        <w:rPr>
          <w:rFonts w:ascii="Arial" w:eastAsiaTheme="minorHAnsi" w:hAnsi="Arial" w:cs="Arial"/>
          <w:bCs/>
        </w:rPr>
      </w:pPr>
      <w:r w:rsidRPr="009A21E3">
        <w:rPr>
          <w:rFonts w:ascii="Arial" w:eastAsiaTheme="minorHAnsi" w:hAnsi="Arial" w:cs="Arial"/>
          <w:bCs/>
        </w:rPr>
        <w:t>monitoring of project performance and ex-post independent evaluation and publication of project outcomes (including periodic reporting of benchmark costs by Infrastructure Australia)</w:t>
      </w:r>
    </w:p>
    <w:p w:rsidR="009A21E3" w:rsidRPr="009A21E3" w:rsidRDefault="009A21E3" w:rsidP="00AB24F2">
      <w:pPr>
        <w:numPr>
          <w:ilvl w:val="0"/>
          <w:numId w:val="18"/>
        </w:numPr>
        <w:rPr>
          <w:rFonts w:ascii="Arial" w:eastAsiaTheme="minorHAnsi" w:hAnsi="Arial" w:cs="Arial"/>
          <w:bCs/>
        </w:rPr>
      </w:pPr>
      <w:r w:rsidRPr="009A21E3">
        <w:rPr>
          <w:rFonts w:ascii="Arial" w:eastAsiaTheme="minorHAnsi" w:hAnsi="Arial" w:cs="Arial"/>
          <w:bCs/>
        </w:rPr>
        <w:t>retaining sufficiently skilled public sector employees to be responsible and accountable for performing these functions</w:t>
      </w:r>
    </w:p>
    <w:p w:rsidR="009A21E3" w:rsidRPr="009A21E3" w:rsidRDefault="009A21E3" w:rsidP="00AB24F2">
      <w:pPr>
        <w:numPr>
          <w:ilvl w:val="0"/>
          <w:numId w:val="18"/>
        </w:numPr>
        <w:rPr>
          <w:rFonts w:ascii="Arial" w:eastAsiaTheme="minorHAnsi" w:hAnsi="Arial" w:cs="Arial"/>
          <w:bCs/>
        </w:rPr>
      </w:pPr>
      <w:proofErr w:type="gramStart"/>
      <w:r w:rsidRPr="009A21E3">
        <w:rPr>
          <w:rFonts w:ascii="Arial" w:eastAsiaTheme="minorHAnsi" w:hAnsi="Arial" w:cs="Arial"/>
          <w:bCs/>
        </w:rPr>
        <w:t>establishing</w:t>
      </w:r>
      <w:proofErr w:type="gramEnd"/>
      <w:r w:rsidRPr="009A21E3">
        <w:rPr>
          <w:rFonts w:ascii="Arial" w:eastAsiaTheme="minorHAnsi" w:hAnsi="Arial" w:cs="Arial"/>
          <w:bCs/>
        </w:rPr>
        <w:t xml:space="preserve"> mechanisms for transparent review or audit of the decision-making process by an independent body, for example, an Auditor-Gene</w:t>
      </w:r>
      <w:r w:rsidR="00E510DD">
        <w:rPr>
          <w:rFonts w:ascii="Arial" w:eastAsiaTheme="minorHAnsi" w:hAnsi="Arial" w:cs="Arial"/>
          <w:bCs/>
        </w:rPr>
        <w:t>ral or Infrastructure Australia</w:t>
      </w:r>
      <w:r w:rsidRPr="009A21E3">
        <w:rPr>
          <w:rFonts w:ascii="Arial" w:eastAsiaTheme="minorHAnsi" w:hAnsi="Arial" w:cs="Arial"/>
          <w:bCs/>
        </w:rPr>
        <w:t>.</w:t>
      </w:r>
      <w:r w:rsidRPr="009A21E3">
        <w:rPr>
          <w:rFonts w:ascii="Arial" w:eastAsiaTheme="minorHAnsi" w:hAnsi="Arial" w:cs="Arial"/>
          <w:bCs/>
          <w:vertAlign w:val="superscript"/>
        </w:rPr>
        <w:footnoteReference w:id="7"/>
      </w:r>
    </w:p>
    <w:p w:rsidR="009A21E3" w:rsidRPr="009A21E3" w:rsidRDefault="009A21E3" w:rsidP="00AB24F2">
      <w:pPr>
        <w:pStyle w:val="BodyText2"/>
        <w:rPr>
          <w:b w:val="0"/>
          <w:szCs w:val="22"/>
        </w:rPr>
      </w:pPr>
    </w:p>
    <w:p w:rsidR="008865D9" w:rsidRPr="00CF7294" w:rsidRDefault="008865D9" w:rsidP="00AB24F2">
      <w:pPr>
        <w:rPr>
          <w:rFonts w:ascii="Arial" w:eastAsiaTheme="minorHAnsi" w:hAnsi="Arial" w:cs="Arial"/>
          <w:b/>
        </w:rPr>
      </w:pPr>
      <w:r w:rsidRPr="00CF7294">
        <w:rPr>
          <w:rFonts w:ascii="Arial" w:eastAsiaTheme="minorHAnsi" w:hAnsi="Arial" w:cs="Arial"/>
          <w:b/>
        </w:rPr>
        <w:t>Project benchmarking</w:t>
      </w:r>
    </w:p>
    <w:p w:rsidR="008865D9" w:rsidRPr="00CF7294" w:rsidRDefault="008865D9" w:rsidP="00AB24F2">
      <w:pPr>
        <w:pStyle w:val="BodyText2"/>
        <w:rPr>
          <w:b w:val="0"/>
        </w:rPr>
      </w:pPr>
    </w:p>
    <w:p w:rsidR="000C340A" w:rsidRDefault="008C7EC0" w:rsidP="00AB24F2">
      <w:pPr>
        <w:pStyle w:val="BodyText2"/>
        <w:rPr>
          <w:b w:val="0"/>
        </w:rPr>
      </w:pPr>
      <w:r w:rsidRPr="00CF7294">
        <w:rPr>
          <w:b w:val="0"/>
          <w:szCs w:val="22"/>
        </w:rPr>
        <w:t>T</w:t>
      </w:r>
      <w:r w:rsidR="008865D9" w:rsidRPr="00CF7294">
        <w:rPr>
          <w:b w:val="0"/>
          <w:szCs w:val="22"/>
        </w:rPr>
        <w:t xml:space="preserve">he provision of data to support </w:t>
      </w:r>
      <w:r w:rsidRPr="00CF7294">
        <w:rPr>
          <w:b w:val="0"/>
          <w:szCs w:val="22"/>
        </w:rPr>
        <w:t>a</w:t>
      </w:r>
      <w:r w:rsidR="008865D9" w:rsidRPr="00CF7294">
        <w:rPr>
          <w:b w:val="0"/>
          <w:szCs w:val="22"/>
        </w:rPr>
        <w:t xml:space="preserve"> benchmarking framework should be a requirement attached to all </w:t>
      </w:r>
      <w:r w:rsidR="008865D9" w:rsidRPr="00314E77">
        <w:rPr>
          <w:b w:val="0"/>
          <w:szCs w:val="22"/>
        </w:rPr>
        <w:t>Australian Government funding for major infrastructure projects. Ongoing benchmarking must be seen to be independent of both government and industry influence and also be seen as technically robust and credible</w:t>
      </w:r>
      <w:r w:rsidR="009A21E3" w:rsidRPr="00314E77">
        <w:rPr>
          <w:b w:val="0"/>
          <w:szCs w:val="22"/>
        </w:rPr>
        <w:t xml:space="preserve">. </w:t>
      </w:r>
      <w:r w:rsidR="005D4ED9" w:rsidRPr="00314E77">
        <w:rPr>
          <w:b w:val="0"/>
          <w:szCs w:val="22"/>
        </w:rPr>
        <w:t xml:space="preserve">However, </w:t>
      </w:r>
      <w:r w:rsidR="000C340A">
        <w:rPr>
          <w:b w:val="0"/>
          <w:szCs w:val="22"/>
        </w:rPr>
        <w:t xml:space="preserve">the ATA </w:t>
      </w:r>
      <w:r w:rsidR="005D4ED9" w:rsidRPr="00314E77">
        <w:rPr>
          <w:b w:val="0"/>
          <w:szCs w:val="22"/>
        </w:rPr>
        <w:t>understand</w:t>
      </w:r>
      <w:r w:rsidR="000C340A">
        <w:rPr>
          <w:b w:val="0"/>
          <w:szCs w:val="22"/>
        </w:rPr>
        <w:t>s</w:t>
      </w:r>
      <w:r w:rsidR="005D4ED9" w:rsidRPr="00314E77">
        <w:rPr>
          <w:b w:val="0"/>
          <w:szCs w:val="22"/>
        </w:rPr>
        <w:t xml:space="preserve"> that because of Australia’s differing </w:t>
      </w:r>
      <w:r w:rsidR="005D4ED9" w:rsidRPr="00314E77">
        <w:rPr>
          <w:b w:val="0"/>
        </w:rPr>
        <w:t>s</w:t>
      </w:r>
      <w:r w:rsidR="000C340A">
        <w:rPr>
          <w:b w:val="0"/>
        </w:rPr>
        <w:t xml:space="preserve">oil and weather conditions the cost of road build will vary across the continent. </w:t>
      </w:r>
      <w:r w:rsidR="005D4ED9" w:rsidRPr="00314E77">
        <w:rPr>
          <w:b w:val="0"/>
        </w:rPr>
        <w:t xml:space="preserve"> </w:t>
      </w:r>
    </w:p>
    <w:p w:rsidR="000C340A" w:rsidRDefault="000C340A" w:rsidP="00AB24F2">
      <w:pPr>
        <w:pStyle w:val="BodyText2"/>
        <w:rPr>
          <w:b w:val="0"/>
        </w:rPr>
      </w:pPr>
    </w:p>
    <w:p w:rsidR="009A21E3" w:rsidRDefault="009A21E3" w:rsidP="00AB24F2">
      <w:pPr>
        <w:pStyle w:val="BodyText2"/>
        <w:rPr>
          <w:b w:val="0"/>
          <w:szCs w:val="22"/>
        </w:rPr>
      </w:pPr>
    </w:p>
    <w:p w:rsidR="009A21E3" w:rsidRPr="00CF7294" w:rsidRDefault="00700B1F" w:rsidP="00AB24F2">
      <w:pPr>
        <w:pStyle w:val="BodyText2"/>
        <w:rPr>
          <w:b w:val="0"/>
          <w:szCs w:val="22"/>
        </w:rPr>
      </w:pPr>
      <w:r>
        <w:rPr>
          <w:b w:val="0"/>
          <w:szCs w:val="22"/>
        </w:rPr>
        <w:lastRenderedPageBreak/>
        <w:t>In recommendation</w:t>
      </w:r>
      <w:r w:rsidR="009A21E3">
        <w:rPr>
          <w:b w:val="0"/>
          <w:szCs w:val="22"/>
        </w:rPr>
        <w:t xml:space="preserve"> 14.1</w:t>
      </w:r>
      <w:r w:rsidR="00873A2F">
        <w:rPr>
          <w:b w:val="0"/>
          <w:szCs w:val="22"/>
        </w:rPr>
        <w:t>, the P</w:t>
      </w:r>
      <w:r>
        <w:rPr>
          <w:b w:val="0"/>
          <w:szCs w:val="22"/>
        </w:rPr>
        <w:t>roductivity Commission</w:t>
      </w:r>
      <w:r w:rsidR="00CE7957">
        <w:rPr>
          <w:b w:val="0"/>
          <w:szCs w:val="22"/>
        </w:rPr>
        <w:t xml:space="preserve"> supported the </w:t>
      </w:r>
      <w:r w:rsidR="009A21E3" w:rsidRPr="009A21E3">
        <w:rPr>
          <w:b w:val="0"/>
          <w:szCs w:val="22"/>
        </w:rPr>
        <w:t xml:space="preserve">Department of Industry </w:t>
      </w:r>
      <w:r w:rsidR="00CE7957">
        <w:rPr>
          <w:b w:val="0"/>
          <w:szCs w:val="22"/>
        </w:rPr>
        <w:t xml:space="preserve">making and publishing </w:t>
      </w:r>
      <w:r w:rsidR="009A21E3" w:rsidRPr="009A21E3">
        <w:rPr>
          <w:b w:val="0"/>
          <w:szCs w:val="22"/>
        </w:rPr>
        <w:t>regular projections of</w:t>
      </w:r>
      <w:r w:rsidR="009A21E3">
        <w:rPr>
          <w:b w:val="0"/>
          <w:szCs w:val="22"/>
        </w:rPr>
        <w:t xml:space="preserve"> </w:t>
      </w:r>
      <w:r w:rsidR="009A21E3" w:rsidRPr="009A21E3">
        <w:rPr>
          <w:b w:val="0"/>
          <w:szCs w:val="22"/>
        </w:rPr>
        <w:t>labour demand from pub</w:t>
      </w:r>
      <w:r w:rsidR="00FB1CAA">
        <w:rPr>
          <w:b w:val="0"/>
          <w:szCs w:val="22"/>
        </w:rPr>
        <w:t>lic infrastructure construction and i</w:t>
      </w:r>
      <w:r w:rsidR="009A21E3" w:rsidRPr="009A21E3">
        <w:rPr>
          <w:b w:val="0"/>
          <w:szCs w:val="22"/>
        </w:rPr>
        <w:t>nformation collected</w:t>
      </w:r>
      <w:r w:rsidR="009A21E3">
        <w:rPr>
          <w:b w:val="0"/>
          <w:szCs w:val="22"/>
        </w:rPr>
        <w:t xml:space="preserve"> </w:t>
      </w:r>
      <w:r w:rsidR="009A21E3" w:rsidRPr="009A21E3">
        <w:rPr>
          <w:b w:val="0"/>
          <w:szCs w:val="22"/>
        </w:rPr>
        <w:t>and produced as part of the proposed benchmarking activities</w:t>
      </w:r>
      <w:r w:rsidR="00CE7957">
        <w:rPr>
          <w:b w:val="0"/>
          <w:szCs w:val="22"/>
        </w:rPr>
        <w:t>.</w:t>
      </w:r>
      <w:r w:rsidR="00CE7957">
        <w:rPr>
          <w:rStyle w:val="FootnoteReference"/>
          <w:b w:val="0"/>
          <w:szCs w:val="22"/>
        </w:rPr>
        <w:footnoteReference w:id="8"/>
      </w:r>
    </w:p>
    <w:p w:rsidR="008865D9" w:rsidRPr="00CF7294" w:rsidRDefault="008865D9" w:rsidP="00AB24F2">
      <w:pPr>
        <w:pStyle w:val="BodyText2"/>
        <w:rPr>
          <w:b w:val="0"/>
          <w:szCs w:val="22"/>
        </w:rPr>
      </w:pPr>
    </w:p>
    <w:p w:rsidR="00CE7957" w:rsidRDefault="00CE7957" w:rsidP="00AB24F2">
      <w:pPr>
        <w:pStyle w:val="BodyText2"/>
        <w:rPr>
          <w:b w:val="0"/>
          <w:szCs w:val="22"/>
        </w:rPr>
      </w:pPr>
      <w:r>
        <w:rPr>
          <w:b w:val="0"/>
          <w:szCs w:val="22"/>
        </w:rPr>
        <w:t>In response to this</w:t>
      </w:r>
      <w:r w:rsidRPr="00CF7294">
        <w:rPr>
          <w:b w:val="0"/>
          <w:szCs w:val="22"/>
        </w:rPr>
        <w:t xml:space="preserve">, the Government </w:t>
      </w:r>
      <w:r>
        <w:rPr>
          <w:b w:val="0"/>
          <w:szCs w:val="22"/>
        </w:rPr>
        <w:t>has</w:t>
      </w:r>
      <w:r w:rsidRPr="00CF7294">
        <w:rPr>
          <w:b w:val="0"/>
          <w:szCs w:val="22"/>
        </w:rPr>
        <w:t xml:space="preserve"> agreed to the systematic collection of project information for land transport infrastructure, led by BITRE.</w:t>
      </w:r>
    </w:p>
    <w:p w:rsidR="00CE7957" w:rsidRDefault="00CE7957" w:rsidP="00AB24F2">
      <w:pPr>
        <w:pStyle w:val="BodyText2"/>
        <w:rPr>
          <w:b w:val="0"/>
          <w:szCs w:val="22"/>
        </w:rPr>
      </w:pPr>
    </w:p>
    <w:p w:rsidR="008865D9" w:rsidRDefault="008865D9" w:rsidP="00AB24F2">
      <w:pPr>
        <w:pStyle w:val="BodyText2"/>
        <w:rPr>
          <w:b w:val="0"/>
          <w:szCs w:val="22"/>
        </w:rPr>
      </w:pPr>
      <w:r w:rsidRPr="00CF7294">
        <w:rPr>
          <w:b w:val="0"/>
          <w:szCs w:val="22"/>
        </w:rPr>
        <w:t xml:space="preserve">Additionally, the Government wants to implement post build evaluations for Commonwealth funded land transport projects to ensure projects that are delivered with Australian government funds are completed </w:t>
      </w:r>
      <w:r w:rsidR="00FB1CAA">
        <w:rPr>
          <w:b w:val="0"/>
          <w:szCs w:val="22"/>
        </w:rPr>
        <w:t xml:space="preserve">to a </w:t>
      </w:r>
      <w:r w:rsidRPr="00CF7294">
        <w:rPr>
          <w:b w:val="0"/>
          <w:szCs w:val="22"/>
        </w:rPr>
        <w:t>satisfactory</w:t>
      </w:r>
      <w:r w:rsidR="00FB1CAA">
        <w:rPr>
          <w:b w:val="0"/>
          <w:szCs w:val="22"/>
        </w:rPr>
        <w:t xml:space="preserve"> level</w:t>
      </w:r>
      <w:r w:rsidRPr="00CF7294">
        <w:rPr>
          <w:b w:val="0"/>
          <w:szCs w:val="22"/>
        </w:rPr>
        <w:t>.</w:t>
      </w:r>
      <w:r w:rsidR="00040877">
        <w:rPr>
          <w:b w:val="0"/>
          <w:szCs w:val="22"/>
        </w:rPr>
        <w:t xml:space="preserve"> This includes, t</w:t>
      </w:r>
      <w:r w:rsidRPr="00CF7294">
        <w:rPr>
          <w:b w:val="0"/>
          <w:szCs w:val="22"/>
        </w:rPr>
        <w:t>esting variations from the original scope and timelines, comparison of cost estimates with final costs, and effectiveness and efficiency of particular delivery mechanisms such as PPP or Project Alliances. Evaluations will improve future delivery of projects can be made with more awareness of potential risks</w:t>
      </w:r>
      <w:r w:rsidRPr="00CF7294">
        <w:rPr>
          <w:rStyle w:val="FootnoteReference"/>
          <w:rFonts w:cs="Arial"/>
          <w:b w:val="0"/>
          <w:szCs w:val="22"/>
        </w:rPr>
        <w:footnoteReference w:id="9"/>
      </w:r>
      <w:r w:rsidRPr="00CF7294">
        <w:rPr>
          <w:b w:val="0"/>
          <w:szCs w:val="22"/>
        </w:rPr>
        <w:t>.</w:t>
      </w:r>
    </w:p>
    <w:p w:rsidR="008865D9" w:rsidRPr="00CF7294" w:rsidRDefault="008865D9" w:rsidP="00AB24F2">
      <w:pPr>
        <w:rPr>
          <w:rFonts w:ascii="Arial" w:eastAsiaTheme="minorHAnsi" w:hAnsi="Arial" w:cs="Arial"/>
          <w:b/>
        </w:rPr>
      </w:pPr>
    </w:p>
    <w:p w:rsidR="008865D9" w:rsidRPr="00CF7294" w:rsidRDefault="008C7EC0" w:rsidP="00AB24F2">
      <w:pPr>
        <w:rPr>
          <w:rFonts w:ascii="Arial" w:eastAsiaTheme="minorHAnsi" w:hAnsi="Arial" w:cs="Arial"/>
          <w:b/>
        </w:rPr>
      </w:pPr>
      <w:bookmarkStart w:id="6" w:name="_Toc384105356"/>
      <w:r w:rsidRPr="00CF7294">
        <w:rPr>
          <w:rFonts w:ascii="Arial" w:eastAsiaTheme="minorHAnsi" w:hAnsi="Arial" w:cs="Arial"/>
          <w:b/>
        </w:rPr>
        <w:t>Improved p</w:t>
      </w:r>
      <w:r w:rsidR="008865D9" w:rsidRPr="00CF7294">
        <w:rPr>
          <w:rFonts w:ascii="Arial" w:eastAsiaTheme="minorHAnsi" w:hAnsi="Arial" w:cs="Arial"/>
          <w:b/>
        </w:rPr>
        <w:t>roject selection</w:t>
      </w:r>
      <w:bookmarkEnd w:id="6"/>
    </w:p>
    <w:p w:rsidR="008865D9" w:rsidRDefault="008865D9" w:rsidP="00AB24F2">
      <w:pPr>
        <w:pStyle w:val="BodyText2"/>
        <w:rPr>
          <w:rFonts w:eastAsia="Calibri"/>
          <w:b w:val="0"/>
          <w:bCs w:val="0"/>
          <w:szCs w:val="22"/>
        </w:rPr>
      </w:pPr>
    </w:p>
    <w:p w:rsidR="00CE7957" w:rsidRDefault="00CE7957" w:rsidP="00F711CA">
      <w:pPr>
        <w:pStyle w:val="BodyText2"/>
        <w:ind w:left="720" w:right="720"/>
        <w:rPr>
          <w:rFonts w:eastAsia="Calibri"/>
          <w:b w:val="0"/>
          <w:bCs w:val="0"/>
          <w:szCs w:val="22"/>
        </w:rPr>
      </w:pPr>
      <w:r w:rsidRPr="00CE7957">
        <w:rPr>
          <w:rFonts w:eastAsia="Calibri"/>
          <w:b w:val="0"/>
          <w:bCs w:val="0"/>
          <w:szCs w:val="22"/>
        </w:rPr>
        <w:t>Project selection is crucial to the overall efficiency of public infrastructure. If the</w:t>
      </w:r>
      <w:r>
        <w:rPr>
          <w:rFonts w:eastAsia="Calibri"/>
          <w:b w:val="0"/>
          <w:bCs w:val="0"/>
          <w:szCs w:val="22"/>
        </w:rPr>
        <w:t xml:space="preserve"> </w:t>
      </w:r>
      <w:r w:rsidRPr="00CE7957">
        <w:rPr>
          <w:rFonts w:eastAsia="Calibri"/>
          <w:b w:val="0"/>
          <w:bCs w:val="0"/>
          <w:szCs w:val="22"/>
        </w:rPr>
        <w:t>wrong projects are selected the outcome for the community will be poor, even if</w:t>
      </w:r>
      <w:r>
        <w:rPr>
          <w:rFonts w:eastAsia="Calibri"/>
          <w:b w:val="0"/>
          <w:bCs w:val="0"/>
          <w:szCs w:val="22"/>
        </w:rPr>
        <w:t xml:space="preserve"> </w:t>
      </w:r>
      <w:r w:rsidRPr="00CE7957">
        <w:rPr>
          <w:rFonts w:eastAsia="Calibri"/>
          <w:b w:val="0"/>
          <w:bCs w:val="0"/>
          <w:szCs w:val="22"/>
        </w:rPr>
        <w:t>these projects are efficiently funded and financed, and their costs well controlled</w:t>
      </w:r>
      <w:r>
        <w:rPr>
          <w:rStyle w:val="FootnoteReference"/>
          <w:rFonts w:eastAsia="Calibri"/>
          <w:b w:val="0"/>
          <w:bCs w:val="0"/>
          <w:szCs w:val="22"/>
        </w:rPr>
        <w:footnoteReference w:id="10"/>
      </w:r>
      <w:r w:rsidRPr="00CE7957">
        <w:rPr>
          <w:rFonts w:eastAsia="Calibri"/>
          <w:b w:val="0"/>
          <w:bCs w:val="0"/>
          <w:szCs w:val="22"/>
        </w:rPr>
        <w:t>.</w:t>
      </w:r>
    </w:p>
    <w:p w:rsidR="00CE7957" w:rsidRPr="00CF7294" w:rsidRDefault="00CE7957" w:rsidP="00AB24F2">
      <w:pPr>
        <w:pStyle w:val="BodyText2"/>
        <w:rPr>
          <w:b w:val="0"/>
          <w:szCs w:val="22"/>
        </w:rPr>
      </w:pPr>
    </w:p>
    <w:p w:rsidR="008865D9" w:rsidRPr="00CF7294" w:rsidRDefault="008865D9" w:rsidP="00AB24F2">
      <w:pPr>
        <w:pStyle w:val="BodyText2"/>
        <w:rPr>
          <w:b w:val="0"/>
          <w:szCs w:val="22"/>
        </w:rPr>
      </w:pPr>
      <w:r w:rsidRPr="00CF7294">
        <w:rPr>
          <w:b w:val="0"/>
          <w:szCs w:val="22"/>
        </w:rPr>
        <w:t>Many major projects and ribbon cutting exercises come at the expense of periodic maintenance (to extend and exploit the asset lifecycle) and of small scale de-bottlenecking options that could postpone or even avoid the need for costly asset expansions.</w:t>
      </w:r>
    </w:p>
    <w:p w:rsidR="008865D9" w:rsidRPr="00CF7294" w:rsidRDefault="008865D9" w:rsidP="00AB24F2">
      <w:pPr>
        <w:pStyle w:val="BodyText2"/>
        <w:rPr>
          <w:b w:val="0"/>
          <w:szCs w:val="22"/>
        </w:rPr>
      </w:pPr>
    </w:p>
    <w:p w:rsidR="008865D9" w:rsidRPr="00CF7294" w:rsidRDefault="008865D9" w:rsidP="00AB24F2">
      <w:pPr>
        <w:pStyle w:val="BodyText2"/>
        <w:rPr>
          <w:b w:val="0"/>
          <w:szCs w:val="22"/>
        </w:rPr>
      </w:pPr>
      <w:r w:rsidRPr="00CF7294">
        <w:rPr>
          <w:b w:val="0"/>
          <w:szCs w:val="22"/>
        </w:rPr>
        <w:t>The issue of periodic maintenance cannot be ignored if the road quality and stock of Australia is to improve. Budgets for maintenance are reducing over time and there is a need to address the issue of poor maintenance programs.</w:t>
      </w:r>
    </w:p>
    <w:p w:rsidR="008865D9" w:rsidRPr="00CF7294" w:rsidRDefault="008865D9" w:rsidP="00AB24F2">
      <w:pPr>
        <w:pStyle w:val="BodyText2"/>
        <w:rPr>
          <w:b w:val="0"/>
          <w:szCs w:val="22"/>
        </w:rPr>
      </w:pPr>
    </w:p>
    <w:p w:rsidR="008865D9" w:rsidRPr="00CF7294" w:rsidRDefault="008865D9" w:rsidP="00AB24F2">
      <w:pPr>
        <w:rPr>
          <w:rFonts w:ascii="Arial" w:hAnsi="Arial" w:cs="Arial"/>
        </w:rPr>
      </w:pPr>
      <w:r w:rsidRPr="00CF7294">
        <w:rPr>
          <w:rFonts w:ascii="Arial" w:hAnsi="Arial" w:cs="Arial"/>
        </w:rPr>
        <w:t xml:space="preserve">Having a consistent and accurate maintenance program is crucial to providing roads that do not cause industry undue cost. While it is not feasible </w:t>
      </w:r>
      <w:r w:rsidRPr="00CF7294">
        <w:rPr>
          <w:rFonts w:ascii="Arial" w:eastAsiaTheme="minorHAnsi" w:hAnsi="Arial" w:cs="Arial"/>
        </w:rPr>
        <w:t>to</w:t>
      </w:r>
      <w:r w:rsidRPr="00CF7294">
        <w:rPr>
          <w:rFonts w:ascii="Arial" w:hAnsi="Arial" w:cs="Arial"/>
        </w:rPr>
        <w:t xml:space="preserve"> upgrade every road in Australia to bitumen quality, poorly maintained roads cost users higher than necessary vehicle operating costs.</w:t>
      </w:r>
    </w:p>
    <w:p w:rsidR="008865D9" w:rsidRPr="00CF7294" w:rsidRDefault="008865D9" w:rsidP="00AB24F2">
      <w:pPr>
        <w:pStyle w:val="BodyText2"/>
        <w:rPr>
          <w:b w:val="0"/>
          <w:szCs w:val="22"/>
        </w:rPr>
      </w:pPr>
    </w:p>
    <w:p w:rsidR="008865D9" w:rsidRDefault="008865D9" w:rsidP="00AB24F2">
      <w:pPr>
        <w:pStyle w:val="BodyText2"/>
        <w:rPr>
          <w:b w:val="0"/>
          <w:szCs w:val="22"/>
        </w:rPr>
      </w:pPr>
      <w:r w:rsidRPr="00CF7294">
        <w:rPr>
          <w:b w:val="0"/>
          <w:szCs w:val="22"/>
        </w:rPr>
        <w:t>We share the Productivity Commission’s view that correct project selection or provision is the most important aspect of achieving good outcomes for the community from public infrastructure irrespective of the financing approach ultimately chosen.</w:t>
      </w:r>
    </w:p>
    <w:p w:rsidR="00FB1CAA" w:rsidRPr="00CF7294" w:rsidRDefault="00FB1CAA" w:rsidP="00AB24F2">
      <w:pPr>
        <w:pStyle w:val="BodyText2"/>
        <w:rPr>
          <w:b w:val="0"/>
          <w:szCs w:val="22"/>
        </w:rPr>
      </w:pPr>
    </w:p>
    <w:p w:rsidR="008865D9" w:rsidRPr="00CF7294" w:rsidRDefault="008865D9" w:rsidP="00AB24F2">
      <w:pPr>
        <w:pStyle w:val="BodyText2"/>
        <w:rPr>
          <w:b w:val="0"/>
          <w:szCs w:val="22"/>
        </w:rPr>
      </w:pPr>
      <w:r w:rsidRPr="00CF7294">
        <w:rPr>
          <w:b w:val="0"/>
          <w:szCs w:val="22"/>
        </w:rPr>
        <w:t>Along with good governance arrangements</w:t>
      </w:r>
      <w:r w:rsidR="00040877">
        <w:rPr>
          <w:b w:val="0"/>
          <w:szCs w:val="22"/>
        </w:rPr>
        <w:t>,</w:t>
      </w:r>
      <w:r w:rsidRPr="00CF7294">
        <w:rPr>
          <w:b w:val="0"/>
          <w:szCs w:val="22"/>
        </w:rPr>
        <w:t xml:space="preserve"> there should be a set of maintenance strategies, developed by engineers, to give road agencies a clear set of directives for maintenance of road infrastructure. While there is considerable discussion about road user charges to indicate usage figures for roads, a telematic device cannot tell a road agency where a pothole exists or where the road layer has subsided over time. Telematics will not solve the ma</w:t>
      </w:r>
      <w:r w:rsidR="008C7EC0" w:rsidRPr="00CF7294">
        <w:rPr>
          <w:b w:val="0"/>
          <w:szCs w:val="22"/>
        </w:rPr>
        <w:t>intenance problems that persist</w:t>
      </w:r>
      <w:r w:rsidRPr="00CF7294">
        <w:rPr>
          <w:b w:val="0"/>
          <w:szCs w:val="22"/>
        </w:rPr>
        <w:t>.</w:t>
      </w:r>
    </w:p>
    <w:p w:rsidR="008865D9" w:rsidRPr="00CF7294" w:rsidRDefault="008865D9" w:rsidP="00AB24F2">
      <w:pPr>
        <w:rPr>
          <w:rFonts w:ascii="Arial" w:eastAsiaTheme="minorHAnsi" w:hAnsi="Arial" w:cs="Arial"/>
          <w:b/>
        </w:rPr>
      </w:pPr>
    </w:p>
    <w:p w:rsidR="008865D9" w:rsidRPr="00CF7294" w:rsidRDefault="008865D9" w:rsidP="00AB24F2">
      <w:pPr>
        <w:rPr>
          <w:rFonts w:ascii="Arial" w:eastAsiaTheme="minorHAnsi" w:hAnsi="Arial" w:cs="Arial"/>
          <w:b/>
        </w:rPr>
      </w:pPr>
      <w:bookmarkStart w:id="7" w:name="_Toc384105358"/>
      <w:r w:rsidRPr="00CF7294">
        <w:rPr>
          <w:rFonts w:ascii="Arial" w:eastAsiaTheme="minorHAnsi" w:hAnsi="Arial" w:cs="Arial"/>
          <w:b/>
        </w:rPr>
        <w:t>Cost benefit analysis</w:t>
      </w:r>
      <w:bookmarkEnd w:id="7"/>
    </w:p>
    <w:p w:rsidR="008865D9" w:rsidRPr="00CF7294" w:rsidRDefault="008865D9" w:rsidP="00AB24F2">
      <w:pPr>
        <w:pStyle w:val="BodyText2"/>
        <w:rPr>
          <w:b w:val="0"/>
          <w:szCs w:val="22"/>
          <w:u w:val="single"/>
        </w:rPr>
      </w:pPr>
    </w:p>
    <w:p w:rsidR="008865D9" w:rsidRPr="00CF7294" w:rsidRDefault="008865D9" w:rsidP="00AB24F2">
      <w:pPr>
        <w:pStyle w:val="BodyText2"/>
        <w:rPr>
          <w:b w:val="0"/>
          <w:szCs w:val="22"/>
        </w:rPr>
      </w:pPr>
      <w:r w:rsidRPr="00CF7294">
        <w:rPr>
          <w:b w:val="0"/>
          <w:szCs w:val="22"/>
        </w:rPr>
        <w:t xml:space="preserve">The ATA supports the extension of appropriate cost benefit analyses (CBA) to </w:t>
      </w:r>
      <w:r w:rsidR="008C7EC0" w:rsidRPr="00CF7294">
        <w:rPr>
          <w:b w:val="0"/>
          <w:szCs w:val="22"/>
        </w:rPr>
        <w:t>ensure</w:t>
      </w:r>
      <w:r w:rsidRPr="00CF7294">
        <w:rPr>
          <w:b w:val="0"/>
          <w:szCs w:val="22"/>
        </w:rPr>
        <w:t xml:space="preserve"> that benefits and costs are accurately assessed for significant projects. The </w:t>
      </w:r>
      <w:r w:rsidR="008C7EC0" w:rsidRPr="00CF7294">
        <w:rPr>
          <w:b w:val="0"/>
          <w:szCs w:val="22"/>
        </w:rPr>
        <w:t xml:space="preserve">Productivity </w:t>
      </w:r>
      <w:r w:rsidRPr="00CF7294">
        <w:rPr>
          <w:b w:val="0"/>
          <w:szCs w:val="22"/>
        </w:rPr>
        <w:t>Commission identified that a properly conducted CBA is an important starting point for guiding project selection and improving the transparency of decision making. This should be augmented with real options analysis where appropriate.</w:t>
      </w:r>
    </w:p>
    <w:p w:rsidR="008865D9" w:rsidRPr="00CF7294" w:rsidRDefault="008865D9" w:rsidP="00AB24F2">
      <w:pPr>
        <w:pStyle w:val="BodyText2"/>
        <w:rPr>
          <w:b w:val="0"/>
          <w:szCs w:val="22"/>
        </w:rPr>
      </w:pPr>
    </w:p>
    <w:p w:rsidR="008865D9" w:rsidRPr="00CF7294" w:rsidRDefault="008865D9" w:rsidP="00AB24F2">
      <w:pPr>
        <w:pStyle w:val="BodyText2"/>
        <w:rPr>
          <w:b w:val="0"/>
          <w:szCs w:val="22"/>
        </w:rPr>
      </w:pPr>
      <w:r w:rsidRPr="00CF7294">
        <w:rPr>
          <w:b w:val="0"/>
          <w:szCs w:val="22"/>
        </w:rPr>
        <w:lastRenderedPageBreak/>
        <w:t xml:space="preserve">We support the </w:t>
      </w:r>
      <w:r w:rsidR="008C7EC0" w:rsidRPr="00CF7294">
        <w:rPr>
          <w:b w:val="0"/>
          <w:szCs w:val="22"/>
        </w:rPr>
        <w:t xml:space="preserve">Productivity </w:t>
      </w:r>
      <w:r w:rsidRPr="00CF7294">
        <w:rPr>
          <w:b w:val="0"/>
          <w:szCs w:val="22"/>
        </w:rPr>
        <w:t>Commission recommendation of making CBAs public (with clearly documented assumptions) for both projects that have been selected, and those that have been rejected,</w:t>
      </w:r>
      <w:r w:rsidR="00FB1CAA">
        <w:rPr>
          <w:b w:val="0"/>
          <w:szCs w:val="22"/>
        </w:rPr>
        <w:t xml:space="preserve"> as this</w:t>
      </w:r>
      <w:r w:rsidRPr="00CF7294">
        <w:rPr>
          <w:b w:val="0"/>
          <w:szCs w:val="22"/>
        </w:rPr>
        <w:t xml:space="preserve"> greatly improves the transparency of decision making. It also allows particular estimates to be debated and the consequences of different estimates of the projects net benefits to be calculated.</w:t>
      </w:r>
      <w:r w:rsidRPr="00CF7294">
        <w:rPr>
          <w:rStyle w:val="FootnoteReference"/>
          <w:rFonts w:cs="Arial"/>
          <w:b w:val="0"/>
          <w:szCs w:val="22"/>
        </w:rPr>
        <w:footnoteReference w:id="11"/>
      </w:r>
      <w:r w:rsidRPr="00CF7294">
        <w:rPr>
          <w:b w:val="0"/>
          <w:szCs w:val="22"/>
        </w:rPr>
        <w:t xml:space="preserve"> </w:t>
      </w:r>
    </w:p>
    <w:p w:rsidR="008865D9" w:rsidRPr="00CF7294" w:rsidRDefault="008865D9" w:rsidP="00AB24F2">
      <w:pPr>
        <w:pStyle w:val="BodyText2"/>
        <w:rPr>
          <w:b w:val="0"/>
          <w:szCs w:val="22"/>
        </w:rPr>
      </w:pPr>
    </w:p>
    <w:p w:rsidR="008865D9" w:rsidRDefault="008865D9" w:rsidP="00AB24F2">
      <w:pPr>
        <w:pStyle w:val="BodyText2"/>
        <w:rPr>
          <w:b w:val="0"/>
          <w:szCs w:val="22"/>
        </w:rPr>
      </w:pPr>
      <w:r w:rsidRPr="00CF7294">
        <w:rPr>
          <w:b w:val="0"/>
          <w:szCs w:val="22"/>
        </w:rPr>
        <w:t>The Government also concurs that improvement</w:t>
      </w:r>
      <w:r w:rsidR="00FB1CAA">
        <w:rPr>
          <w:b w:val="0"/>
          <w:szCs w:val="22"/>
        </w:rPr>
        <w:t>s</w:t>
      </w:r>
      <w:r w:rsidRPr="00CF7294">
        <w:rPr>
          <w:b w:val="0"/>
          <w:szCs w:val="22"/>
        </w:rPr>
        <w:t xml:space="preserve"> in the conduct of CBAs are necessary, recommending a best practice framework for evaluating project and a nationally consistent approach to CBAs.</w:t>
      </w:r>
      <w:r w:rsidRPr="00CF7294">
        <w:rPr>
          <w:rStyle w:val="FootnoteReference"/>
          <w:rFonts w:cs="Arial"/>
          <w:b w:val="0"/>
          <w:szCs w:val="22"/>
        </w:rPr>
        <w:footnoteReference w:id="12"/>
      </w:r>
      <w:r w:rsidRPr="00CF7294">
        <w:rPr>
          <w:b w:val="0"/>
          <w:szCs w:val="22"/>
        </w:rPr>
        <w:t xml:space="preserve"> </w:t>
      </w:r>
    </w:p>
    <w:p w:rsidR="008865D9" w:rsidRPr="00CF7294" w:rsidRDefault="008865D9" w:rsidP="00AB24F2">
      <w:pPr>
        <w:pStyle w:val="NormalWeb"/>
        <w:spacing w:before="0" w:beforeAutospacing="0" w:after="0" w:afterAutospacing="0"/>
        <w:rPr>
          <w:rFonts w:ascii="Arial" w:hAnsi="Arial" w:cs="Arial"/>
          <w:iCs/>
          <w:sz w:val="22"/>
          <w:szCs w:val="22"/>
        </w:rPr>
      </w:pPr>
    </w:p>
    <w:p w:rsidR="008C7EC0" w:rsidRPr="00CF7294" w:rsidRDefault="008C7EC0" w:rsidP="00AB24F2">
      <w:pPr>
        <w:pStyle w:val="NormalWeb"/>
        <w:spacing w:before="0" w:beforeAutospacing="0" w:after="0" w:afterAutospacing="0"/>
        <w:rPr>
          <w:rFonts w:ascii="Arial" w:hAnsi="Arial" w:cs="Arial"/>
          <w:b/>
          <w:iCs/>
          <w:sz w:val="22"/>
          <w:szCs w:val="22"/>
        </w:rPr>
      </w:pPr>
      <w:r w:rsidRPr="00CF7294">
        <w:rPr>
          <w:rFonts w:ascii="Arial" w:hAnsi="Arial" w:cs="Arial"/>
          <w:b/>
          <w:iCs/>
          <w:sz w:val="22"/>
          <w:szCs w:val="22"/>
        </w:rPr>
        <w:t xml:space="preserve">Recommendation </w:t>
      </w:r>
      <w:r w:rsidR="00E86F46" w:rsidRPr="00CF7294">
        <w:rPr>
          <w:rFonts w:ascii="Arial" w:hAnsi="Arial" w:cs="Arial"/>
          <w:b/>
          <w:iCs/>
          <w:sz w:val="22"/>
          <w:szCs w:val="22"/>
        </w:rPr>
        <w:t>1</w:t>
      </w:r>
    </w:p>
    <w:p w:rsidR="008C7EC0" w:rsidRPr="00CF7294" w:rsidRDefault="008C7EC0" w:rsidP="00AB24F2">
      <w:pPr>
        <w:pStyle w:val="NormalWeb"/>
        <w:spacing w:before="0" w:beforeAutospacing="0" w:after="0" w:afterAutospacing="0"/>
        <w:rPr>
          <w:rFonts w:ascii="Arial" w:hAnsi="Arial" w:cs="Arial"/>
          <w:iCs/>
          <w:sz w:val="22"/>
          <w:szCs w:val="22"/>
        </w:rPr>
      </w:pPr>
    </w:p>
    <w:p w:rsidR="008C7EC0" w:rsidRPr="00CF7294" w:rsidRDefault="008C7EC0" w:rsidP="00AB24F2">
      <w:pPr>
        <w:pStyle w:val="NormalWeb"/>
        <w:spacing w:before="0" w:beforeAutospacing="0" w:after="0" w:afterAutospacing="0"/>
        <w:rPr>
          <w:rFonts w:ascii="Arial" w:hAnsi="Arial" w:cs="Arial"/>
          <w:iCs/>
          <w:sz w:val="22"/>
          <w:szCs w:val="22"/>
        </w:rPr>
      </w:pPr>
      <w:r w:rsidRPr="00CF7294">
        <w:rPr>
          <w:rFonts w:ascii="Arial" w:hAnsi="Arial" w:cs="Arial"/>
          <w:iCs/>
          <w:sz w:val="22"/>
          <w:szCs w:val="22"/>
        </w:rPr>
        <w:t xml:space="preserve">The </w:t>
      </w:r>
      <w:r w:rsidR="00E86F46" w:rsidRPr="00CF7294">
        <w:rPr>
          <w:rFonts w:ascii="Arial" w:hAnsi="Arial" w:cs="Arial"/>
          <w:iCs/>
          <w:sz w:val="22"/>
          <w:szCs w:val="22"/>
        </w:rPr>
        <w:t>Government</w:t>
      </w:r>
      <w:r w:rsidRPr="00CF7294">
        <w:rPr>
          <w:rFonts w:ascii="Arial" w:hAnsi="Arial" w:cs="Arial"/>
          <w:iCs/>
          <w:sz w:val="22"/>
          <w:szCs w:val="22"/>
        </w:rPr>
        <w:t xml:space="preserve"> should implement the following Productivity Commission Public Infrastructure inquiry recommendations</w:t>
      </w:r>
      <w:r w:rsidR="00415CCB">
        <w:rPr>
          <w:rFonts w:ascii="Arial" w:hAnsi="Arial" w:cs="Arial"/>
          <w:iCs/>
          <w:sz w:val="22"/>
          <w:szCs w:val="22"/>
        </w:rPr>
        <w:t>,</w:t>
      </w:r>
      <w:r w:rsidRPr="00CF7294">
        <w:rPr>
          <w:rFonts w:ascii="Arial" w:hAnsi="Arial" w:cs="Arial"/>
          <w:iCs/>
          <w:sz w:val="22"/>
          <w:szCs w:val="22"/>
        </w:rPr>
        <w:t xml:space="preserve"> in order to increase productivity in supply side provision and </w:t>
      </w:r>
      <w:r w:rsidR="00415CCB" w:rsidRPr="00CF7294">
        <w:rPr>
          <w:rFonts w:ascii="Arial" w:hAnsi="Arial" w:cs="Arial"/>
          <w:iCs/>
          <w:sz w:val="22"/>
          <w:szCs w:val="22"/>
        </w:rPr>
        <w:t>consequently</w:t>
      </w:r>
      <w:r w:rsidRPr="00CF7294">
        <w:rPr>
          <w:rFonts w:ascii="Arial" w:hAnsi="Arial" w:cs="Arial"/>
          <w:iCs/>
          <w:sz w:val="22"/>
          <w:szCs w:val="22"/>
        </w:rPr>
        <w:t xml:space="preserve"> road users:</w:t>
      </w:r>
    </w:p>
    <w:p w:rsidR="008C7EC0" w:rsidRPr="00CF7294" w:rsidRDefault="008C7EC0" w:rsidP="00AB24F2">
      <w:pPr>
        <w:pStyle w:val="ListParagraph"/>
        <w:numPr>
          <w:ilvl w:val="0"/>
          <w:numId w:val="8"/>
        </w:numPr>
        <w:rPr>
          <w:rFonts w:ascii="Arial" w:eastAsiaTheme="minorHAnsi" w:hAnsi="Arial" w:cs="Arial"/>
        </w:rPr>
      </w:pPr>
      <w:r w:rsidRPr="00CF7294">
        <w:rPr>
          <w:rFonts w:ascii="Arial" w:eastAsiaTheme="minorHAnsi" w:hAnsi="Arial" w:cs="Arial"/>
        </w:rPr>
        <w:t>conditional funding for states</w:t>
      </w:r>
    </w:p>
    <w:p w:rsidR="008C7EC0" w:rsidRPr="00CF7294" w:rsidRDefault="008C7EC0" w:rsidP="00AB24F2">
      <w:pPr>
        <w:pStyle w:val="ListParagraph"/>
        <w:numPr>
          <w:ilvl w:val="0"/>
          <w:numId w:val="8"/>
        </w:numPr>
        <w:rPr>
          <w:rFonts w:ascii="Arial" w:eastAsiaTheme="minorHAnsi" w:hAnsi="Arial" w:cs="Arial"/>
        </w:rPr>
      </w:pPr>
      <w:r w:rsidRPr="00CF7294">
        <w:rPr>
          <w:rFonts w:ascii="Arial" w:eastAsiaTheme="minorHAnsi" w:hAnsi="Arial" w:cs="Arial"/>
        </w:rPr>
        <w:t>improved governance arrangements</w:t>
      </w:r>
    </w:p>
    <w:p w:rsidR="008C7EC0" w:rsidRPr="00CF7294" w:rsidRDefault="008C7EC0" w:rsidP="00AB24F2">
      <w:pPr>
        <w:pStyle w:val="ListParagraph"/>
        <w:numPr>
          <w:ilvl w:val="0"/>
          <w:numId w:val="8"/>
        </w:numPr>
        <w:rPr>
          <w:rFonts w:ascii="Arial" w:eastAsiaTheme="minorHAnsi" w:hAnsi="Arial" w:cs="Arial"/>
        </w:rPr>
      </w:pPr>
      <w:r w:rsidRPr="00CF7294">
        <w:rPr>
          <w:rFonts w:ascii="Arial" w:eastAsiaTheme="minorHAnsi" w:hAnsi="Arial" w:cs="Arial"/>
        </w:rPr>
        <w:t>project benchmarking</w:t>
      </w:r>
    </w:p>
    <w:p w:rsidR="008C7EC0" w:rsidRPr="00CF7294" w:rsidRDefault="00700B1F" w:rsidP="00AB24F2">
      <w:pPr>
        <w:pStyle w:val="ListParagraph"/>
        <w:numPr>
          <w:ilvl w:val="0"/>
          <w:numId w:val="8"/>
        </w:numPr>
        <w:rPr>
          <w:rFonts w:ascii="Arial" w:eastAsiaTheme="minorHAnsi" w:hAnsi="Arial" w:cs="Arial"/>
        </w:rPr>
      </w:pPr>
      <w:r>
        <w:rPr>
          <w:rFonts w:ascii="Arial" w:eastAsiaTheme="minorHAnsi" w:hAnsi="Arial" w:cs="Arial"/>
        </w:rPr>
        <w:t>better project selection</w:t>
      </w:r>
      <w:r w:rsidR="008C7EC0" w:rsidRPr="00CF7294">
        <w:rPr>
          <w:rFonts w:ascii="Arial" w:eastAsiaTheme="minorHAnsi" w:hAnsi="Arial" w:cs="Arial"/>
        </w:rPr>
        <w:t xml:space="preserve"> </w:t>
      </w:r>
    </w:p>
    <w:p w:rsidR="00627DE0" w:rsidRPr="00263333" w:rsidRDefault="008C7EC0" w:rsidP="00AB24F2">
      <w:pPr>
        <w:pStyle w:val="ListParagraph"/>
        <w:numPr>
          <w:ilvl w:val="0"/>
          <w:numId w:val="8"/>
        </w:numPr>
        <w:spacing w:after="0"/>
        <w:rPr>
          <w:rFonts w:ascii="Arial" w:hAnsi="Arial" w:cs="Arial"/>
          <w:iCs/>
        </w:rPr>
      </w:pPr>
      <w:proofErr w:type="gramStart"/>
      <w:r w:rsidRPr="00CF7294">
        <w:rPr>
          <w:rFonts w:ascii="Arial" w:eastAsiaTheme="minorHAnsi" w:hAnsi="Arial" w:cs="Arial"/>
        </w:rPr>
        <w:t>improved</w:t>
      </w:r>
      <w:proofErr w:type="gramEnd"/>
      <w:r w:rsidRPr="00CF7294">
        <w:rPr>
          <w:rFonts w:ascii="Arial" w:eastAsiaTheme="minorHAnsi" w:hAnsi="Arial" w:cs="Arial"/>
        </w:rPr>
        <w:t xml:space="preserve"> cost benefit analysis.</w:t>
      </w:r>
    </w:p>
    <w:p w:rsidR="00314E77" w:rsidRDefault="00314E77" w:rsidP="00AB24F2">
      <w:pPr>
        <w:pStyle w:val="NormalWeb"/>
        <w:spacing w:before="0" w:beforeAutospacing="0" w:after="0" w:afterAutospacing="0"/>
        <w:rPr>
          <w:rFonts w:ascii="Arial" w:hAnsi="Arial" w:cs="Arial"/>
          <w:iCs/>
          <w:sz w:val="22"/>
          <w:szCs w:val="22"/>
        </w:rPr>
      </w:pPr>
    </w:p>
    <w:p w:rsidR="008C7EC0" w:rsidRPr="00D534CA" w:rsidRDefault="00E34FE2" w:rsidP="00AB24F2">
      <w:pPr>
        <w:pStyle w:val="Heading1"/>
        <w:numPr>
          <w:ilvl w:val="0"/>
          <w:numId w:val="0"/>
        </w:numPr>
        <w:rPr>
          <w:sz w:val="24"/>
          <w:szCs w:val="22"/>
        </w:rPr>
      </w:pPr>
      <w:bookmarkStart w:id="8" w:name="_Toc420051870"/>
      <w:r>
        <w:rPr>
          <w:sz w:val="24"/>
          <w:szCs w:val="22"/>
        </w:rPr>
        <w:t>4</w:t>
      </w:r>
      <w:r w:rsidR="00D1143B" w:rsidRPr="00D534CA">
        <w:rPr>
          <w:sz w:val="24"/>
          <w:szCs w:val="22"/>
        </w:rPr>
        <w:t>.2</w:t>
      </w:r>
      <w:r w:rsidR="00D534CA" w:rsidRPr="00D534CA">
        <w:rPr>
          <w:sz w:val="24"/>
          <w:szCs w:val="22"/>
        </w:rPr>
        <w:t xml:space="preserve"> Do not implement </w:t>
      </w:r>
      <w:r w:rsidR="005446EF">
        <w:rPr>
          <w:sz w:val="24"/>
          <w:szCs w:val="22"/>
        </w:rPr>
        <w:t xml:space="preserve">direct </w:t>
      </w:r>
      <w:r w:rsidR="00D534CA" w:rsidRPr="00D534CA">
        <w:rPr>
          <w:sz w:val="24"/>
          <w:szCs w:val="22"/>
        </w:rPr>
        <w:t xml:space="preserve">road user charges until it can be proven that </w:t>
      </w:r>
      <w:r w:rsidR="005446EF">
        <w:rPr>
          <w:sz w:val="24"/>
          <w:szCs w:val="22"/>
        </w:rPr>
        <w:t>the system</w:t>
      </w:r>
      <w:r w:rsidR="00D534CA" w:rsidRPr="00D534CA">
        <w:rPr>
          <w:sz w:val="24"/>
          <w:szCs w:val="22"/>
        </w:rPr>
        <w:t xml:space="preserve"> </w:t>
      </w:r>
      <w:r w:rsidR="003A6FCB">
        <w:rPr>
          <w:sz w:val="24"/>
          <w:szCs w:val="22"/>
        </w:rPr>
        <w:t>is</w:t>
      </w:r>
      <w:r w:rsidR="00D534CA" w:rsidRPr="00D534CA">
        <w:rPr>
          <w:sz w:val="24"/>
          <w:szCs w:val="22"/>
        </w:rPr>
        <w:t xml:space="preserve"> revenue neutral, will improve road investment decision-making and does not burden the heavy vehicle industry</w:t>
      </w:r>
      <w:bookmarkEnd w:id="8"/>
    </w:p>
    <w:p w:rsidR="008C7EC0" w:rsidRDefault="008C7EC0" w:rsidP="00AB24F2">
      <w:pPr>
        <w:rPr>
          <w:rFonts w:ascii="Arial" w:eastAsiaTheme="minorHAnsi" w:hAnsi="Arial" w:cs="Arial"/>
          <w:iCs/>
        </w:rPr>
      </w:pPr>
    </w:p>
    <w:p w:rsidR="009D3EC7" w:rsidRDefault="000C340A" w:rsidP="00AB24F2">
      <w:pPr>
        <w:rPr>
          <w:rFonts w:ascii="Arial" w:eastAsiaTheme="minorHAnsi" w:hAnsi="Arial" w:cs="Arial"/>
          <w:iCs/>
        </w:rPr>
      </w:pPr>
      <w:r>
        <w:rPr>
          <w:rFonts w:ascii="Arial" w:eastAsiaTheme="minorHAnsi" w:hAnsi="Arial" w:cs="Arial"/>
          <w:iCs/>
        </w:rPr>
        <w:t>The p</w:t>
      </w:r>
      <w:r w:rsidR="009D3EC7" w:rsidRPr="009D3EC7">
        <w:rPr>
          <w:rFonts w:ascii="Arial" w:eastAsiaTheme="minorHAnsi" w:hAnsi="Arial" w:cs="Arial"/>
          <w:iCs/>
        </w:rPr>
        <w:t xml:space="preserve">anel’s recommendation 3 </w:t>
      </w:r>
      <w:r w:rsidR="009D3EC7">
        <w:rPr>
          <w:rFonts w:ascii="Arial" w:eastAsiaTheme="minorHAnsi" w:hAnsi="Arial" w:cs="Arial"/>
          <w:iCs/>
        </w:rPr>
        <w:t xml:space="preserve">addresses the issue of user charges: </w:t>
      </w:r>
    </w:p>
    <w:p w:rsidR="009D3EC7" w:rsidRPr="009D3EC7" w:rsidRDefault="009D3EC7" w:rsidP="00AB24F2">
      <w:pPr>
        <w:rPr>
          <w:rFonts w:ascii="Arial" w:eastAsiaTheme="minorHAnsi" w:hAnsi="Arial" w:cs="Arial"/>
          <w:iCs/>
        </w:rPr>
      </w:pPr>
      <w:r w:rsidRPr="009D3EC7">
        <w:rPr>
          <w:rFonts w:ascii="Arial" w:eastAsiaTheme="minorHAnsi" w:hAnsi="Arial" w:cs="Arial"/>
          <w:iCs/>
        </w:rPr>
        <w:t xml:space="preserve"> </w:t>
      </w:r>
    </w:p>
    <w:p w:rsidR="009D3EC7" w:rsidRDefault="009D3EC7" w:rsidP="00F711CA">
      <w:pPr>
        <w:ind w:left="720" w:right="720" w:firstLine="720"/>
        <w:rPr>
          <w:rFonts w:ascii="Arial" w:eastAsiaTheme="minorHAnsi" w:hAnsi="Arial" w:cs="Arial"/>
          <w:iCs/>
        </w:rPr>
      </w:pPr>
      <w:r w:rsidRPr="009D3EC7">
        <w:rPr>
          <w:rFonts w:ascii="Arial" w:eastAsiaTheme="minorHAnsi" w:hAnsi="Arial" w:cs="Arial"/>
          <w:iCs/>
        </w:rPr>
        <w:t>Recommendation 3</w:t>
      </w:r>
    </w:p>
    <w:p w:rsidR="00627DE0" w:rsidRPr="009D3EC7" w:rsidRDefault="00627DE0" w:rsidP="00F711CA">
      <w:pPr>
        <w:ind w:left="720" w:right="720" w:firstLine="720"/>
        <w:rPr>
          <w:rFonts w:ascii="Arial" w:eastAsiaTheme="minorHAnsi" w:hAnsi="Arial" w:cs="Arial"/>
          <w:iCs/>
        </w:rPr>
      </w:pPr>
    </w:p>
    <w:p w:rsidR="00627DE0" w:rsidRDefault="009D3EC7" w:rsidP="00F711CA">
      <w:pPr>
        <w:ind w:left="1335" w:right="720"/>
        <w:rPr>
          <w:rFonts w:ascii="Arial" w:eastAsiaTheme="minorHAnsi" w:hAnsi="Arial" w:cs="Arial"/>
          <w:iCs/>
        </w:rPr>
      </w:pPr>
      <w:r w:rsidRPr="009D3EC7">
        <w:rPr>
          <w:rFonts w:ascii="Arial" w:eastAsiaTheme="minorHAnsi" w:hAnsi="Arial" w:cs="Arial"/>
          <w:iCs/>
        </w:rPr>
        <w:t xml:space="preserve">Governments should introduce cost-reflective road pricing with the aid of new </w:t>
      </w:r>
      <w:r w:rsidR="00F711CA">
        <w:rPr>
          <w:rFonts w:ascii="Arial" w:eastAsiaTheme="minorHAnsi" w:hAnsi="Arial" w:cs="Arial"/>
          <w:iCs/>
        </w:rPr>
        <w:t xml:space="preserve">  </w:t>
      </w:r>
      <w:r w:rsidRPr="009D3EC7">
        <w:rPr>
          <w:rFonts w:ascii="Arial" w:eastAsiaTheme="minorHAnsi" w:hAnsi="Arial" w:cs="Arial"/>
          <w:iCs/>
        </w:rPr>
        <w:t>technologies, with pricing subject to independent oversight and revenues used for road construction, maintenance and safety.</w:t>
      </w:r>
    </w:p>
    <w:p w:rsidR="00627DE0" w:rsidRPr="009D3EC7" w:rsidRDefault="00627DE0" w:rsidP="00F711CA">
      <w:pPr>
        <w:ind w:left="720" w:right="720"/>
        <w:rPr>
          <w:rFonts w:ascii="Arial" w:eastAsiaTheme="minorHAnsi" w:hAnsi="Arial" w:cs="Arial"/>
          <w:iCs/>
        </w:rPr>
      </w:pPr>
    </w:p>
    <w:p w:rsidR="009D3EC7" w:rsidRPr="009D3EC7" w:rsidRDefault="009D3EC7" w:rsidP="00F711CA">
      <w:pPr>
        <w:ind w:left="1335" w:right="720"/>
        <w:rPr>
          <w:rFonts w:ascii="Arial" w:eastAsiaTheme="minorHAnsi" w:hAnsi="Arial" w:cs="Arial"/>
          <w:iCs/>
        </w:rPr>
      </w:pPr>
      <w:r w:rsidRPr="009D3EC7">
        <w:rPr>
          <w:rFonts w:ascii="Arial" w:eastAsiaTheme="minorHAnsi" w:hAnsi="Arial" w:cs="Arial"/>
          <w:iCs/>
        </w:rPr>
        <w:t xml:space="preserve">To avoid imposing higher overall charges on road users, governments should take a </w:t>
      </w:r>
      <w:r w:rsidR="00627DE0" w:rsidRPr="009D3EC7">
        <w:rPr>
          <w:rFonts w:ascii="Arial" w:eastAsiaTheme="minorHAnsi" w:hAnsi="Arial" w:cs="Arial"/>
          <w:iCs/>
        </w:rPr>
        <w:t>Cross-jurisdictional</w:t>
      </w:r>
      <w:r w:rsidRPr="009D3EC7">
        <w:rPr>
          <w:rFonts w:ascii="Arial" w:eastAsiaTheme="minorHAnsi" w:hAnsi="Arial" w:cs="Arial"/>
          <w:iCs/>
        </w:rPr>
        <w:t xml:space="preserve"> approach to road pricing. Indirect charges and taxes on road users should be reduced as direct pricing is introduced. Revenue implications for different levels of government should be managed by adjusting Australian Government grants to the States and Territories.</w:t>
      </w:r>
      <w:r w:rsidRPr="009D3EC7">
        <w:rPr>
          <w:rFonts w:ascii="Arial" w:eastAsiaTheme="minorHAnsi" w:hAnsi="Arial" w:cs="Arial"/>
          <w:iCs/>
          <w:vertAlign w:val="superscript"/>
        </w:rPr>
        <w:footnoteReference w:id="13"/>
      </w:r>
    </w:p>
    <w:p w:rsidR="009D3EC7" w:rsidRDefault="009D3EC7" w:rsidP="00AB24F2">
      <w:pPr>
        <w:rPr>
          <w:rFonts w:ascii="Arial" w:eastAsiaTheme="minorHAnsi" w:hAnsi="Arial" w:cs="Arial"/>
          <w:iCs/>
        </w:rPr>
      </w:pPr>
    </w:p>
    <w:p w:rsidR="006248F8" w:rsidRDefault="009D3EC7" w:rsidP="00AB24F2">
      <w:pPr>
        <w:rPr>
          <w:rFonts w:ascii="Arial" w:hAnsi="Arial" w:cs="Arial"/>
          <w:bCs/>
        </w:rPr>
      </w:pPr>
      <w:r>
        <w:rPr>
          <w:rFonts w:ascii="Arial" w:eastAsiaTheme="minorHAnsi" w:hAnsi="Arial" w:cs="Arial"/>
          <w:iCs/>
        </w:rPr>
        <w:t xml:space="preserve">The heavy vehicle industry has long been involved with </w:t>
      </w:r>
      <w:r w:rsidR="00FB1CAA">
        <w:rPr>
          <w:rFonts w:ascii="Arial" w:eastAsiaTheme="minorHAnsi" w:hAnsi="Arial" w:cs="Arial"/>
          <w:iCs/>
        </w:rPr>
        <w:t xml:space="preserve">the </w:t>
      </w:r>
      <w:r>
        <w:rPr>
          <w:rFonts w:ascii="Arial" w:eastAsiaTheme="minorHAnsi" w:hAnsi="Arial" w:cs="Arial"/>
          <w:iCs/>
        </w:rPr>
        <w:t xml:space="preserve">discussion around user charges </w:t>
      </w:r>
      <w:r w:rsidR="006248F8">
        <w:rPr>
          <w:rFonts w:ascii="Arial" w:eastAsiaTheme="minorHAnsi" w:hAnsi="Arial" w:cs="Arial"/>
          <w:iCs/>
        </w:rPr>
        <w:t xml:space="preserve">and was on the Board for the Heavy vehicle Charging and Investment reform (HVCI).  </w:t>
      </w:r>
      <w:r w:rsidR="006248F8" w:rsidRPr="005B4D17">
        <w:rPr>
          <w:rFonts w:ascii="Arial" w:hAnsi="Arial" w:cs="Arial"/>
          <w:bCs/>
        </w:rPr>
        <w:t>HVCI supported a direct user charge via mass distance lo</w:t>
      </w:r>
      <w:r w:rsidR="00700B1F">
        <w:rPr>
          <w:rFonts w:ascii="Arial" w:hAnsi="Arial" w:cs="Arial"/>
          <w:bCs/>
        </w:rPr>
        <w:t>cation charge (MDL). While the c</w:t>
      </w:r>
      <w:r w:rsidR="006248F8" w:rsidRPr="005B4D17">
        <w:rPr>
          <w:rFonts w:ascii="Arial" w:hAnsi="Arial" w:cs="Arial"/>
          <w:bCs/>
        </w:rPr>
        <w:t xml:space="preserve">ompetition paper recognises the </w:t>
      </w:r>
      <w:r w:rsidR="00700B1F">
        <w:rPr>
          <w:rFonts w:ascii="Arial" w:hAnsi="Arial" w:cs="Arial"/>
          <w:bCs/>
        </w:rPr>
        <w:t>advancing</w:t>
      </w:r>
      <w:r w:rsidR="006248F8" w:rsidRPr="005B4D17">
        <w:rPr>
          <w:rFonts w:ascii="Arial" w:hAnsi="Arial" w:cs="Arial"/>
          <w:bCs/>
        </w:rPr>
        <w:t xml:space="preserve"> technology in this space the parameters that would be necessary to measure mass</w:t>
      </w:r>
      <w:r w:rsidR="00700B1F">
        <w:rPr>
          <w:rFonts w:ascii="Arial" w:hAnsi="Arial" w:cs="Arial"/>
          <w:bCs/>
        </w:rPr>
        <w:t>,</w:t>
      </w:r>
      <w:r w:rsidR="006248F8" w:rsidRPr="005B4D17">
        <w:rPr>
          <w:rFonts w:ascii="Arial" w:hAnsi="Arial" w:cs="Arial"/>
          <w:bCs/>
        </w:rPr>
        <w:t xml:space="preserve"> distance or location presented particular problems that resulted in the </w:t>
      </w:r>
      <w:r w:rsidR="00700B1F">
        <w:rPr>
          <w:rFonts w:ascii="Arial" w:hAnsi="Arial" w:cs="Arial"/>
          <w:bCs/>
        </w:rPr>
        <w:t xml:space="preserve">HVCI </w:t>
      </w:r>
      <w:r w:rsidR="006248F8" w:rsidRPr="005B4D17">
        <w:rPr>
          <w:rFonts w:ascii="Arial" w:hAnsi="Arial" w:cs="Arial"/>
          <w:bCs/>
        </w:rPr>
        <w:t xml:space="preserve">recommendation of multiple charging systems across the vehicle fleet.  </w:t>
      </w:r>
    </w:p>
    <w:p w:rsidR="00314E77" w:rsidRDefault="00314E77" w:rsidP="00AB24F2">
      <w:pPr>
        <w:rPr>
          <w:rFonts w:ascii="Arial" w:hAnsi="Arial" w:cs="Arial"/>
          <w:bCs/>
        </w:rPr>
      </w:pPr>
    </w:p>
    <w:p w:rsidR="00314E77" w:rsidRDefault="00314E77" w:rsidP="00AB24F2">
      <w:pPr>
        <w:rPr>
          <w:rFonts w:ascii="Arial" w:hAnsi="Arial" w:cs="Arial"/>
          <w:bCs/>
        </w:rPr>
      </w:pPr>
    </w:p>
    <w:p w:rsidR="00314E77" w:rsidRDefault="00314E77" w:rsidP="00AB24F2">
      <w:pPr>
        <w:rPr>
          <w:rFonts w:ascii="Arial" w:hAnsi="Arial" w:cs="Arial"/>
          <w:bCs/>
        </w:rPr>
      </w:pPr>
    </w:p>
    <w:p w:rsidR="00314E77" w:rsidRPr="005B4D17" w:rsidRDefault="00314E77" w:rsidP="00AB24F2">
      <w:pPr>
        <w:rPr>
          <w:rFonts w:ascii="Arial" w:hAnsi="Arial" w:cs="Arial"/>
          <w:bCs/>
        </w:rPr>
      </w:pPr>
    </w:p>
    <w:p w:rsidR="006248F8" w:rsidRPr="005B4D17" w:rsidRDefault="006248F8" w:rsidP="00AB24F2">
      <w:pPr>
        <w:rPr>
          <w:rFonts w:ascii="Arial" w:hAnsi="Arial" w:cs="Arial"/>
          <w:bCs/>
        </w:rPr>
      </w:pPr>
    </w:p>
    <w:p w:rsidR="006248F8" w:rsidRPr="005B4D17" w:rsidRDefault="006248F8" w:rsidP="00AB24F2">
      <w:pPr>
        <w:rPr>
          <w:rFonts w:ascii="Arial" w:hAnsi="Arial" w:cs="Arial"/>
          <w:bCs/>
        </w:rPr>
      </w:pPr>
      <w:r w:rsidRPr="005B4D17">
        <w:rPr>
          <w:rFonts w:ascii="Arial" w:hAnsi="Arial" w:cs="Arial"/>
          <w:bCs/>
        </w:rPr>
        <w:lastRenderedPageBreak/>
        <w:t>Under HVCI</w:t>
      </w:r>
      <w:r w:rsidR="00700B1F">
        <w:rPr>
          <w:rFonts w:ascii="Arial" w:hAnsi="Arial" w:cs="Arial"/>
          <w:bCs/>
        </w:rPr>
        <w:t>,</w:t>
      </w:r>
      <w:r w:rsidRPr="005B4D17">
        <w:rPr>
          <w:rFonts w:ascii="Arial" w:hAnsi="Arial" w:cs="Arial"/>
          <w:bCs/>
        </w:rPr>
        <w:t xml:space="preserve"> it was highlighted that it is not cost effective for all trucks in Australia to have telematic devices in their vehicles. HVCI also recommended that specific sections of the industry and different sized operators </w:t>
      </w:r>
      <w:r w:rsidR="00FB1CAA">
        <w:rPr>
          <w:rFonts w:ascii="Arial" w:hAnsi="Arial" w:cs="Arial"/>
          <w:bCs/>
        </w:rPr>
        <w:t>be under</w:t>
      </w:r>
      <w:r w:rsidR="00700B1F">
        <w:rPr>
          <w:rFonts w:ascii="Arial" w:hAnsi="Arial" w:cs="Arial"/>
          <w:bCs/>
        </w:rPr>
        <w:t xml:space="preserve"> </w:t>
      </w:r>
      <w:r w:rsidRPr="005B4D17">
        <w:rPr>
          <w:rFonts w:ascii="Arial" w:hAnsi="Arial" w:cs="Arial"/>
          <w:bCs/>
        </w:rPr>
        <w:t>alternative charging systems. This would result in varied compliance and enforcement burdens. Large operators with telematic capabilities could use a fully automated system</w:t>
      </w:r>
      <w:r w:rsidR="000C340A">
        <w:rPr>
          <w:rFonts w:ascii="Arial" w:hAnsi="Arial" w:cs="Arial"/>
          <w:bCs/>
        </w:rPr>
        <w:t>s</w:t>
      </w:r>
      <w:r w:rsidRPr="005B4D17">
        <w:rPr>
          <w:rFonts w:ascii="Arial" w:hAnsi="Arial" w:cs="Arial"/>
          <w:bCs/>
        </w:rPr>
        <w:t>, however, an operator with a few trucks (which makes up 89% of the industry</w:t>
      </w:r>
      <w:r w:rsidRPr="005B4D17">
        <w:rPr>
          <w:rFonts w:ascii="Arial" w:hAnsi="Arial" w:cs="Arial"/>
          <w:bCs/>
          <w:vertAlign w:val="superscript"/>
        </w:rPr>
        <w:footnoteReference w:id="14"/>
      </w:r>
      <w:r w:rsidRPr="005B4D17">
        <w:rPr>
          <w:rFonts w:ascii="Arial" w:hAnsi="Arial" w:cs="Arial"/>
          <w:bCs/>
        </w:rPr>
        <w:t xml:space="preserve">) would be expected to complete extra </w:t>
      </w:r>
      <w:r w:rsidR="00627DE0" w:rsidRPr="005B4D17">
        <w:rPr>
          <w:rFonts w:ascii="Arial" w:hAnsi="Arial" w:cs="Arial"/>
          <w:bCs/>
        </w:rPr>
        <w:t>self-declaration</w:t>
      </w:r>
      <w:r w:rsidRPr="005B4D17">
        <w:rPr>
          <w:rFonts w:ascii="Arial" w:hAnsi="Arial" w:cs="Arial"/>
          <w:bCs/>
        </w:rPr>
        <w:t xml:space="preserve"> through additional paperwork and would undergo further compliance and enforcement burdens. </w:t>
      </w:r>
    </w:p>
    <w:p w:rsidR="006248F8" w:rsidRPr="005B4D17" w:rsidRDefault="006248F8" w:rsidP="00AB24F2">
      <w:pPr>
        <w:rPr>
          <w:rFonts w:ascii="Arial" w:hAnsi="Arial" w:cs="Arial"/>
          <w:bCs/>
        </w:rPr>
      </w:pPr>
    </w:p>
    <w:p w:rsidR="006248F8" w:rsidRPr="005B4D17" w:rsidRDefault="006248F8" w:rsidP="00AB24F2">
      <w:pPr>
        <w:rPr>
          <w:rFonts w:ascii="Arial" w:hAnsi="Arial" w:cs="Arial"/>
          <w:bCs/>
        </w:rPr>
      </w:pPr>
      <w:r w:rsidRPr="005B4D17">
        <w:rPr>
          <w:rFonts w:ascii="Arial" w:hAnsi="Arial" w:cs="Arial"/>
          <w:bCs/>
        </w:rPr>
        <w:t xml:space="preserve">HVCI MDL favoured large operators and would overburden smaller operators and small business. </w:t>
      </w:r>
      <w:r w:rsidR="00700B1F">
        <w:rPr>
          <w:rFonts w:ascii="Arial" w:hAnsi="Arial" w:cs="Arial"/>
          <w:bCs/>
        </w:rPr>
        <w:t>T</w:t>
      </w:r>
      <w:r w:rsidRPr="005B4D17">
        <w:rPr>
          <w:rFonts w:ascii="Arial" w:hAnsi="Arial" w:cs="Arial"/>
          <w:bCs/>
        </w:rPr>
        <w:t xml:space="preserve">his </w:t>
      </w:r>
      <w:r w:rsidR="00700B1F">
        <w:rPr>
          <w:rFonts w:ascii="Arial" w:hAnsi="Arial" w:cs="Arial"/>
          <w:bCs/>
        </w:rPr>
        <w:t xml:space="preserve">can be compared to </w:t>
      </w:r>
      <w:r w:rsidRPr="005B4D17">
        <w:rPr>
          <w:rFonts w:ascii="Arial" w:hAnsi="Arial" w:cs="Arial"/>
          <w:bCs/>
        </w:rPr>
        <w:t>the current system where the Australian Tax Office (ATO) affords small businesses additional assistance. Moving to a fee for service as HVCI intend</w:t>
      </w:r>
      <w:r w:rsidR="00700B1F">
        <w:rPr>
          <w:rFonts w:ascii="Arial" w:hAnsi="Arial" w:cs="Arial"/>
          <w:bCs/>
        </w:rPr>
        <w:t>ed</w:t>
      </w:r>
      <w:r w:rsidRPr="005B4D17">
        <w:rPr>
          <w:rFonts w:ascii="Arial" w:hAnsi="Arial" w:cs="Arial"/>
          <w:bCs/>
        </w:rPr>
        <w:t xml:space="preserve"> with MDL charges risks leaving small business exposed to a greater extent financially.  </w:t>
      </w:r>
    </w:p>
    <w:p w:rsidR="006248F8" w:rsidRPr="005B4D17" w:rsidRDefault="006248F8" w:rsidP="00AB24F2">
      <w:pPr>
        <w:rPr>
          <w:rFonts w:ascii="Arial" w:hAnsi="Arial" w:cs="Arial"/>
          <w:iCs/>
        </w:rPr>
      </w:pPr>
    </w:p>
    <w:p w:rsidR="006248F8" w:rsidRPr="005B4D17" w:rsidRDefault="006248F8" w:rsidP="00AB24F2">
      <w:pPr>
        <w:rPr>
          <w:rFonts w:ascii="Arial" w:hAnsi="Arial" w:cs="Arial"/>
          <w:iCs/>
        </w:rPr>
      </w:pPr>
      <w:r w:rsidRPr="005B4D17">
        <w:rPr>
          <w:rFonts w:ascii="Arial" w:hAnsi="Arial" w:cs="Arial"/>
          <w:iCs/>
        </w:rPr>
        <w:t>It must also be remembered that if MDL pricing is implemented, operators will still have to purchase fuel and claim a full fuel tax credit</w:t>
      </w:r>
      <w:r w:rsidR="00700B1F">
        <w:rPr>
          <w:rFonts w:ascii="Arial" w:hAnsi="Arial" w:cs="Arial"/>
          <w:iCs/>
        </w:rPr>
        <w:t>s</w:t>
      </w:r>
      <w:r w:rsidRPr="005B4D17">
        <w:rPr>
          <w:rFonts w:ascii="Arial" w:hAnsi="Arial" w:cs="Arial"/>
          <w:iCs/>
        </w:rPr>
        <w:t xml:space="preserve">. This </w:t>
      </w:r>
      <w:r w:rsidR="00700B1F">
        <w:rPr>
          <w:rFonts w:ascii="Arial" w:hAnsi="Arial" w:cs="Arial"/>
          <w:iCs/>
        </w:rPr>
        <w:t>would</w:t>
      </w:r>
      <w:r w:rsidRPr="005B4D17">
        <w:rPr>
          <w:rFonts w:ascii="Arial" w:hAnsi="Arial" w:cs="Arial"/>
          <w:iCs/>
        </w:rPr>
        <w:t xml:space="preserve"> have a significant effect on cash flows for operators. Operators </w:t>
      </w:r>
      <w:r w:rsidR="00700B1F">
        <w:rPr>
          <w:rFonts w:ascii="Arial" w:hAnsi="Arial" w:cs="Arial"/>
          <w:iCs/>
        </w:rPr>
        <w:t>would</w:t>
      </w:r>
      <w:r w:rsidRPr="005B4D17">
        <w:rPr>
          <w:rFonts w:ascii="Arial" w:hAnsi="Arial" w:cs="Arial"/>
          <w:iCs/>
        </w:rPr>
        <w:t xml:space="preserve"> have two charges systems, two sets of administrative burdens and two sets of compliance processes. </w:t>
      </w:r>
    </w:p>
    <w:p w:rsidR="006248F8" w:rsidRPr="005B4D17" w:rsidRDefault="006248F8" w:rsidP="00AB24F2">
      <w:pPr>
        <w:rPr>
          <w:rFonts w:ascii="Arial" w:hAnsi="Arial" w:cs="Arial"/>
          <w:iCs/>
        </w:rPr>
      </w:pPr>
    </w:p>
    <w:p w:rsidR="006248F8" w:rsidRPr="005B4D17" w:rsidRDefault="006248F8" w:rsidP="00AB24F2">
      <w:pPr>
        <w:rPr>
          <w:rFonts w:ascii="Arial" w:hAnsi="Arial" w:cs="Arial"/>
          <w:iCs/>
        </w:rPr>
      </w:pPr>
      <w:r w:rsidRPr="005B4D17">
        <w:rPr>
          <w:rFonts w:ascii="Arial" w:hAnsi="Arial" w:cs="Arial"/>
          <w:iCs/>
        </w:rPr>
        <w:t xml:space="preserve">HVCI was shut down in 2014 </w:t>
      </w:r>
      <w:r w:rsidR="00D534CA">
        <w:rPr>
          <w:rFonts w:ascii="Arial" w:hAnsi="Arial" w:cs="Arial"/>
          <w:iCs/>
        </w:rPr>
        <w:t xml:space="preserve">following </w:t>
      </w:r>
      <w:r w:rsidRPr="005B4D17">
        <w:rPr>
          <w:rFonts w:ascii="Arial" w:hAnsi="Arial" w:cs="Arial"/>
          <w:iCs/>
        </w:rPr>
        <w:t xml:space="preserve">industry concern </w:t>
      </w:r>
      <w:r w:rsidR="00700B1F">
        <w:rPr>
          <w:rFonts w:ascii="Arial" w:hAnsi="Arial" w:cs="Arial"/>
          <w:iCs/>
        </w:rPr>
        <w:t>about</w:t>
      </w:r>
      <w:r w:rsidRPr="005B4D17">
        <w:rPr>
          <w:rFonts w:ascii="Arial" w:hAnsi="Arial" w:cs="Arial"/>
          <w:iCs/>
        </w:rPr>
        <w:t xml:space="preserve"> the administrative costs and the supporting justification for the HVCI conclusions. </w:t>
      </w:r>
    </w:p>
    <w:p w:rsidR="009D3EC7" w:rsidRPr="00CF7294" w:rsidRDefault="009D3EC7" w:rsidP="00AB24F2">
      <w:pPr>
        <w:rPr>
          <w:rFonts w:ascii="Arial" w:eastAsiaTheme="minorHAnsi" w:hAnsi="Arial" w:cs="Arial"/>
          <w:iCs/>
        </w:rPr>
      </w:pPr>
    </w:p>
    <w:p w:rsidR="003A6FCB" w:rsidRPr="00CF7294" w:rsidRDefault="008C7EC0" w:rsidP="00AB24F2">
      <w:pPr>
        <w:rPr>
          <w:rFonts w:ascii="Arial" w:eastAsiaTheme="minorHAnsi" w:hAnsi="Arial" w:cs="Arial"/>
          <w:iCs/>
        </w:rPr>
      </w:pPr>
      <w:r w:rsidRPr="00CF7294">
        <w:rPr>
          <w:rFonts w:ascii="Arial" w:eastAsiaTheme="minorHAnsi" w:hAnsi="Arial" w:cs="Arial"/>
          <w:iCs/>
        </w:rPr>
        <w:t xml:space="preserve">The PwC work: </w:t>
      </w:r>
      <w:r w:rsidRPr="00CF7294">
        <w:rPr>
          <w:rFonts w:ascii="Arial" w:eastAsiaTheme="minorHAnsi" w:hAnsi="Arial" w:cs="Arial"/>
          <w:i/>
          <w:iCs/>
        </w:rPr>
        <w:t xml:space="preserve">A </w:t>
      </w:r>
      <w:r w:rsidR="000C340A">
        <w:rPr>
          <w:rFonts w:ascii="Arial" w:eastAsiaTheme="minorHAnsi" w:hAnsi="Arial" w:cs="Arial"/>
          <w:i/>
          <w:iCs/>
        </w:rPr>
        <w:t>F</w:t>
      </w:r>
      <w:r w:rsidRPr="00CF7294">
        <w:rPr>
          <w:rFonts w:ascii="Arial" w:eastAsiaTheme="minorHAnsi" w:hAnsi="Arial" w:cs="Arial"/>
          <w:i/>
          <w:iCs/>
        </w:rPr>
        <w:t>uture Strategy for Road Supply and Charging in Australia</w:t>
      </w:r>
      <w:r w:rsidRPr="00CF7294">
        <w:rPr>
          <w:rFonts w:ascii="Arial" w:eastAsiaTheme="minorHAnsi" w:hAnsi="Arial" w:cs="Arial"/>
          <w:iCs/>
        </w:rPr>
        <w:t xml:space="preserve">, </w:t>
      </w:r>
      <w:r w:rsidR="00627DE0">
        <w:rPr>
          <w:rFonts w:ascii="Arial" w:eastAsiaTheme="minorHAnsi" w:hAnsi="Arial" w:cs="Arial"/>
          <w:iCs/>
        </w:rPr>
        <w:t xml:space="preserve">was commissioned by the ATA in response to HVCI and it </w:t>
      </w:r>
      <w:r w:rsidRPr="00CF7294">
        <w:rPr>
          <w:rFonts w:ascii="Arial" w:eastAsiaTheme="minorHAnsi" w:hAnsi="Arial" w:cs="Arial"/>
          <w:iCs/>
        </w:rPr>
        <w:t>sets out clear priorities for reforming road supply and charging. Implementing these recommendations would increase productivity of road agencies and would rationalise the connection between road users and road managers</w:t>
      </w:r>
      <w:r w:rsidR="005F1435" w:rsidRPr="00CF7294">
        <w:rPr>
          <w:rFonts w:ascii="Arial" w:eastAsiaTheme="minorHAnsi" w:hAnsi="Arial" w:cs="Arial"/>
          <w:iCs/>
        </w:rPr>
        <w:t xml:space="preserve"> leading to a more competitive </w:t>
      </w:r>
      <w:r w:rsidR="00627DE0" w:rsidRPr="00CF7294">
        <w:rPr>
          <w:rFonts w:ascii="Arial" w:eastAsiaTheme="minorHAnsi" w:hAnsi="Arial" w:cs="Arial"/>
          <w:iCs/>
        </w:rPr>
        <w:t>industry</w:t>
      </w:r>
      <w:r w:rsidRPr="00CF7294">
        <w:rPr>
          <w:rFonts w:ascii="Arial" w:eastAsiaTheme="minorHAnsi" w:hAnsi="Arial" w:cs="Arial"/>
          <w:iCs/>
        </w:rPr>
        <w:t>.</w:t>
      </w:r>
    </w:p>
    <w:p w:rsidR="008C7EC0" w:rsidRPr="00CF7294" w:rsidRDefault="008C7EC0" w:rsidP="00AB24F2">
      <w:pPr>
        <w:rPr>
          <w:rFonts w:ascii="Arial" w:eastAsiaTheme="minorHAnsi" w:hAnsi="Arial" w:cs="Arial"/>
          <w:iCs/>
        </w:rPr>
      </w:pPr>
    </w:p>
    <w:p w:rsidR="008C7EC0" w:rsidRDefault="008C7EC0" w:rsidP="00AB24F2">
      <w:pPr>
        <w:rPr>
          <w:rFonts w:ascii="Arial" w:eastAsiaTheme="minorHAnsi" w:hAnsi="Arial" w:cs="Arial"/>
        </w:rPr>
      </w:pPr>
      <w:r w:rsidRPr="00CF7294">
        <w:rPr>
          <w:rFonts w:ascii="Arial" w:eastAsiaTheme="minorHAnsi" w:hAnsi="Arial" w:cs="Arial"/>
        </w:rPr>
        <w:t>PwC provided a transition pathway to improve supply side provision.</w:t>
      </w:r>
    </w:p>
    <w:p w:rsidR="008C7EC0" w:rsidRPr="00CF7294" w:rsidRDefault="008C7EC0" w:rsidP="00AB24F2">
      <w:pPr>
        <w:rPr>
          <w:rFonts w:ascii="Arial" w:eastAsiaTheme="minorHAnsi" w:hAnsi="Arial" w:cs="Arial"/>
        </w:rPr>
      </w:pPr>
    </w:p>
    <w:p w:rsidR="008C7EC0" w:rsidRPr="00CF7294" w:rsidRDefault="008C7EC0" w:rsidP="00AB24F2">
      <w:pPr>
        <w:rPr>
          <w:rFonts w:ascii="Arial" w:eastAsiaTheme="minorHAnsi" w:hAnsi="Arial" w:cs="Arial"/>
        </w:rPr>
      </w:pPr>
      <w:r w:rsidRPr="00CF7294">
        <w:rPr>
          <w:rFonts w:ascii="Arial" w:eastAsiaTheme="minorHAnsi" w:hAnsi="Arial" w:cs="Arial"/>
        </w:rPr>
        <w:t>The short-term recommendations included:</w:t>
      </w:r>
    </w:p>
    <w:p w:rsidR="008C7EC0" w:rsidRPr="00CF7294" w:rsidRDefault="008C7EC0" w:rsidP="00AB24F2">
      <w:pPr>
        <w:rPr>
          <w:rFonts w:ascii="Arial" w:eastAsiaTheme="minorHAnsi" w:hAnsi="Arial" w:cs="Arial"/>
        </w:rPr>
      </w:pPr>
    </w:p>
    <w:p w:rsidR="008C7EC0" w:rsidRPr="00700B1F" w:rsidRDefault="008C7EC0" w:rsidP="00AB24F2">
      <w:pPr>
        <w:numPr>
          <w:ilvl w:val="0"/>
          <w:numId w:val="3"/>
        </w:numPr>
        <w:rPr>
          <w:rFonts w:ascii="Arial" w:eastAsiaTheme="minorHAnsi" w:hAnsi="Arial" w:cs="Arial"/>
        </w:rPr>
      </w:pPr>
      <w:proofErr w:type="gramStart"/>
      <w:r w:rsidRPr="00CF7294">
        <w:rPr>
          <w:rFonts w:ascii="Arial" w:eastAsiaTheme="minorHAnsi" w:hAnsi="Arial" w:cs="Arial"/>
        </w:rPr>
        <w:t>defining</w:t>
      </w:r>
      <w:proofErr w:type="gramEnd"/>
      <w:r w:rsidRPr="00CF7294">
        <w:rPr>
          <w:rFonts w:ascii="Arial" w:eastAsiaTheme="minorHAnsi" w:hAnsi="Arial" w:cs="Arial"/>
        </w:rPr>
        <w:t xml:space="preserve"> a three-tier road freight network, which would target investment, reporting and funding on the basis of the level of service provided.</w:t>
      </w:r>
    </w:p>
    <w:p w:rsidR="008C7EC0" w:rsidRPr="00CF7294" w:rsidRDefault="008C7EC0" w:rsidP="00AB24F2">
      <w:pPr>
        <w:numPr>
          <w:ilvl w:val="0"/>
          <w:numId w:val="3"/>
        </w:numPr>
        <w:rPr>
          <w:rFonts w:ascii="Arial" w:eastAsiaTheme="minorHAnsi" w:hAnsi="Arial" w:cs="Arial"/>
        </w:rPr>
      </w:pPr>
      <w:proofErr w:type="gramStart"/>
      <w:r w:rsidRPr="00CF7294">
        <w:rPr>
          <w:rFonts w:ascii="Arial" w:eastAsiaTheme="minorHAnsi" w:hAnsi="Arial" w:cs="Arial"/>
        </w:rPr>
        <w:t>reporting</w:t>
      </w:r>
      <w:proofErr w:type="gramEnd"/>
      <w:r w:rsidRPr="00CF7294">
        <w:rPr>
          <w:rFonts w:ascii="Arial" w:eastAsiaTheme="minorHAnsi" w:hAnsi="Arial" w:cs="Arial"/>
        </w:rPr>
        <w:t>, benchmarking and reviewing road costs reported by states, territories and local government road owners on each tier of the network. Comparing these costs to established benchmarks and the associated level of access with the investment would improve the accountability of road agency spending.</w:t>
      </w:r>
    </w:p>
    <w:p w:rsidR="008C7EC0" w:rsidRPr="00CF7294" w:rsidRDefault="008C7EC0" w:rsidP="00AB24F2">
      <w:pPr>
        <w:numPr>
          <w:ilvl w:val="0"/>
          <w:numId w:val="3"/>
        </w:numPr>
        <w:rPr>
          <w:rFonts w:ascii="Arial" w:eastAsiaTheme="minorHAnsi" w:hAnsi="Arial" w:cs="Arial"/>
        </w:rPr>
      </w:pPr>
      <w:r w:rsidRPr="00CF7294">
        <w:rPr>
          <w:rFonts w:ascii="Arial" w:eastAsiaTheme="minorHAnsi" w:hAnsi="Arial" w:cs="Arial"/>
        </w:rPr>
        <w:t>a transparent formula for allocating funding to infrastructure suppliers. Allocating recovered funds should reflect the heavy vehicle share of road costs, heavy vehicle use and access upgrades required for the three tiers. Existing and emerging data can support this allocation.  The formula would also include a mechanism to fund low-volume roads through community service obligations.</w:t>
      </w:r>
    </w:p>
    <w:p w:rsidR="00D1143B" w:rsidRPr="00CF7294" w:rsidRDefault="00D1143B" w:rsidP="00AB24F2">
      <w:pPr>
        <w:rPr>
          <w:rFonts w:ascii="Arial" w:eastAsiaTheme="minorHAnsi" w:hAnsi="Arial" w:cs="Arial"/>
        </w:rPr>
      </w:pPr>
    </w:p>
    <w:p w:rsidR="008C7EC0" w:rsidRPr="00CF7294" w:rsidRDefault="008C7EC0" w:rsidP="00AB24F2">
      <w:pPr>
        <w:rPr>
          <w:rFonts w:ascii="Arial" w:eastAsiaTheme="minorHAnsi" w:hAnsi="Arial" w:cs="Arial"/>
        </w:rPr>
      </w:pPr>
      <w:r w:rsidRPr="00CF7294">
        <w:rPr>
          <w:rFonts w:ascii="Arial" w:eastAsiaTheme="minorHAnsi" w:hAnsi="Arial" w:cs="Arial"/>
        </w:rPr>
        <w:t>PwC also provided medium and long-term recommendations that should only be implemented, if and when, the short-term recommendations are delivered and operating:</w:t>
      </w:r>
    </w:p>
    <w:p w:rsidR="008C7EC0" w:rsidRPr="00CF7294" w:rsidRDefault="008C7EC0" w:rsidP="00AB24F2">
      <w:pPr>
        <w:rPr>
          <w:rFonts w:ascii="Arial" w:eastAsiaTheme="minorHAnsi" w:hAnsi="Arial" w:cs="Arial"/>
        </w:rPr>
      </w:pPr>
    </w:p>
    <w:p w:rsidR="008C7EC0" w:rsidRPr="00CF7294" w:rsidRDefault="008C7EC0" w:rsidP="00AB24F2">
      <w:pPr>
        <w:numPr>
          <w:ilvl w:val="0"/>
          <w:numId w:val="4"/>
        </w:numPr>
        <w:rPr>
          <w:rFonts w:ascii="Arial" w:eastAsiaTheme="minorHAnsi" w:hAnsi="Arial" w:cs="Arial"/>
        </w:rPr>
      </w:pPr>
      <w:r w:rsidRPr="00CF7294">
        <w:rPr>
          <w:rFonts w:ascii="Arial" w:eastAsiaTheme="minorHAnsi" w:hAnsi="Arial" w:cs="Arial"/>
        </w:rPr>
        <w:t>reporting, benchmarking and review of efficient costs. Independent benchmarking of efficient road investment and maintenance costs should be tied to funding allocations for road agencies.</w:t>
      </w:r>
    </w:p>
    <w:p w:rsidR="008C7EC0" w:rsidRPr="00CF7294" w:rsidRDefault="008C7EC0" w:rsidP="00AB24F2">
      <w:pPr>
        <w:numPr>
          <w:ilvl w:val="0"/>
          <w:numId w:val="4"/>
        </w:numPr>
        <w:rPr>
          <w:rFonts w:ascii="Arial" w:eastAsiaTheme="minorHAnsi" w:hAnsi="Arial" w:cs="Arial"/>
        </w:rPr>
      </w:pPr>
      <w:r w:rsidRPr="00CF7294">
        <w:rPr>
          <w:rFonts w:ascii="Arial" w:eastAsiaTheme="minorHAnsi" w:hAnsi="Arial" w:cs="Arial"/>
        </w:rPr>
        <w:t>potentially establishing a national road fund. This would assess available freight demand data and submissions from government and the freight industry to develop forward looking investment and maintenance plans for each tier of the network.</w:t>
      </w:r>
    </w:p>
    <w:p w:rsidR="008C7EC0" w:rsidRPr="00CF7294" w:rsidRDefault="008C7EC0" w:rsidP="00AB24F2">
      <w:pPr>
        <w:numPr>
          <w:ilvl w:val="0"/>
          <w:numId w:val="4"/>
        </w:numPr>
        <w:rPr>
          <w:rFonts w:ascii="Arial" w:eastAsiaTheme="minorHAnsi" w:hAnsi="Arial" w:cs="Arial"/>
        </w:rPr>
      </w:pPr>
      <w:r w:rsidRPr="00CF7294">
        <w:rPr>
          <w:rFonts w:ascii="Arial" w:eastAsiaTheme="minorHAnsi" w:hAnsi="Arial" w:cs="Arial"/>
        </w:rPr>
        <w:t>further improving the cost reflectivity of road charges in the medium term, a majority fuel based charge should be adopted, reducing the role of registration charges.</w:t>
      </w:r>
    </w:p>
    <w:p w:rsidR="008C7EC0" w:rsidRPr="00CF7294" w:rsidRDefault="008C7EC0" w:rsidP="00AB24F2">
      <w:pPr>
        <w:numPr>
          <w:ilvl w:val="0"/>
          <w:numId w:val="4"/>
        </w:numPr>
        <w:rPr>
          <w:rFonts w:ascii="Arial" w:eastAsiaTheme="minorHAnsi" w:hAnsi="Arial" w:cs="Arial"/>
        </w:rPr>
      </w:pPr>
      <w:r w:rsidRPr="00CF7294">
        <w:rPr>
          <w:rFonts w:ascii="Arial" w:eastAsiaTheme="minorHAnsi" w:hAnsi="Arial" w:cs="Arial"/>
        </w:rPr>
        <w:lastRenderedPageBreak/>
        <w:t>continuing with a fuel and registration-based charge until a strong business case for variable charging emerges. A move to variable charging will be costly and carries high risks of inefficiency in revenue collection.</w:t>
      </w:r>
    </w:p>
    <w:p w:rsidR="008C7EC0" w:rsidRPr="00CF7294" w:rsidRDefault="008C7EC0" w:rsidP="00AB24F2">
      <w:pPr>
        <w:rPr>
          <w:rFonts w:ascii="Arial" w:eastAsiaTheme="minorHAnsi" w:hAnsi="Arial" w:cs="Arial"/>
        </w:rPr>
      </w:pPr>
    </w:p>
    <w:p w:rsidR="00D1143B" w:rsidRPr="00CF7294" w:rsidRDefault="00D1143B" w:rsidP="00AB24F2">
      <w:pPr>
        <w:rPr>
          <w:rFonts w:ascii="Arial" w:eastAsiaTheme="minorHAnsi" w:hAnsi="Arial" w:cs="Arial"/>
        </w:rPr>
      </w:pPr>
      <w:r w:rsidRPr="00CF7294">
        <w:rPr>
          <w:rFonts w:ascii="Arial" w:eastAsiaTheme="minorHAnsi" w:hAnsi="Arial" w:cs="Arial"/>
        </w:rPr>
        <w:t>PwC recommended variable charging be implemented only if governments can demonstrate the detailed data collected through variable charging can, and will, be used to improve road investment decision-making, in such a way that the added cost, time and complexity of the new process is warranted</w:t>
      </w:r>
    </w:p>
    <w:p w:rsidR="00D1143B" w:rsidRPr="00CF7294" w:rsidRDefault="00D1143B" w:rsidP="00AB24F2">
      <w:pPr>
        <w:rPr>
          <w:rFonts w:ascii="Arial" w:eastAsiaTheme="minorHAnsi" w:hAnsi="Arial" w:cs="Arial"/>
        </w:rPr>
      </w:pPr>
    </w:p>
    <w:p w:rsidR="008C7EC0" w:rsidRPr="00CF7294" w:rsidRDefault="008C7EC0" w:rsidP="00AB24F2">
      <w:pPr>
        <w:rPr>
          <w:rFonts w:ascii="Arial" w:eastAsiaTheme="minorHAnsi" w:hAnsi="Arial" w:cs="Arial"/>
        </w:rPr>
      </w:pPr>
      <w:r w:rsidRPr="00CF7294">
        <w:rPr>
          <w:rFonts w:ascii="Arial" w:eastAsiaTheme="minorHAnsi" w:hAnsi="Arial" w:cs="Arial"/>
        </w:rPr>
        <w:t>The ATA supports the short-term PwC recommendations and once the short-term recommendations are established it will consider the medium to long-term recommendations.</w:t>
      </w:r>
    </w:p>
    <w:p w:rsidR="00E86F46" w:rsidRPr="00CF7294" w:rsidRDefault="00E86F46" w:rsidP="00AB24F2">
      <w:pPr>
        <w:rPr>
          <w:rFonts w:ascii="Arial" w:eastAsiaTheme="minorHAnsi" w:hAnsi="Arial" w:cs="Arial"/>
          <w:b/>
        </w:rPr>
      </w:pPr>
    </w:p>
    <w:p w:rsidR="00700B1F" w:rsidRDefault="00700B1F" w:rsidP="00AB24F2">
      <w:pPr>
        <w:rPr>
          <w:rFonts w:ascii="Arial" w:eastAsiaTheme="minorHAnsi" w:hAnsi="Arial" w:cs="Arial"/>
          <w:b/>
        </w:rPr>
      </w:pPr>
      <w:r>
        <w:rPr>
          <w:rFonts w:ascii="Arial" w:eastAsiaTheme="minorHAnsi" w:hAnsi="Arial" w:cs="Arial"/>
          <w:b/>
        </w:rPr>
        <w:t>Recommendation 2</w:t>
      </w:r>
    </w:p>
    <w:p w:rsidR="00700B1F" w:rsidRDefault="00700B1F" w:rsidP="00AB24F2">
      <w:pPr>
        <w:rPr>
          <w:rFonts w:ascii="Arial" w:eastAsiaTheme="minorHAnsi" w:hAnsi="Arial" w:cs="Arial"/>
          <w:b/>
        </w:rPr>
      </w:pPr>
    </w:p>
    <w:p w:rsidR="006F70A2" w:rsidRPr="006F70A2" w:rsidRDefault="006F70A2" w:rsidP="00AB24F2">
      <w:pPr>
        <w:rPr>
          <w:rFonts w:ascii="Arial" w:hAnsi="Arial" w:cs="Arial"/>
          <w:b/>
        </w:rPr>
      </w:pPr>
      <w:r w:rsidRPr="006F70A2">
        <w:rPr>
          <w:rFonts w:ascii="Arial" w:hAnsi="Arial" w:cs="Arial"/>
        </w:rPr>
        <w:t>The Government should not implement direct road user charges, as proposed in competition policy review recommendation 3, until it can be proven that the exercise will be revenue neutral, will improve road investment decision-making and the warranted complexity does not burden the heavy vehicle industry.</w:t>
      </w:r>
    </w:p>
    <w:p w:rsidR="00700B1F" w:rsidRDefault="00700B1F" w:rsidP="00AB24F2">
      <w:pPr>
        <w:rPr>
          <w:rFonts w:ascii="Arial" w:eastAsiaTheme="minorHAnsi" w:hAnsi="Arial" w:cs="Arial"/>
          <w:b/>
        </w:rPr>
      </w:pPr>
    </w:p>
    <w:p w:rsidR="008C7EC0" w:rsidRPr="00CF7294" w:rsidRDefault="00700B1F" w:rsidP="00AB24F2">
      <w:pPr>
        <w:rPr>
          <w:rFonts w:ascii="Arial" w:eastAsiaTheme="minorHAnsi" w:hAnsi="Arial" w:cs="Arial"/>
          <w:b/>
        </w:rPr>
      </w:pPr>
      <w:r>
        <w:rPr>
          <w:rFonts w:ascii="Arial" w:eastAsiaTheme="minorHAnsi" w:hAnsi="Arial" w:cs="Arial"/>
          <w:b/>
        </w:rPr>
        <w:t>Recommendation 3</w:t>
      </w:r>
    </w:p>
    <w:p w:rsidR="008C7EC0" w:rsidRPr="00CF7294" w:rsidRDefault="008C7EC0" w:rsidP="00AB24F2">
      <w:pPr>
        <w:rPr>
          <w:rFonts w:ascii="Arial" w:eastAsiaTheme="minorHAnsi" w:hAnsi="Arial" w:cs="Arial"/>
          <w:b/>
        </w:rPr>
      </w:pPr>
    </w:p>
    <w:p w:rsidR="008C7EC0" w:rsidRDefault="008C7EC0" w:rsidP="00AB24F2">
      <w:pPr>
        <w:rPr>
          <w:rFonts w:ascii="Arial" w:eastAsiaTheme="minorHAnsi" w:hAnsi="Arial" w:cs="Arial"/>
        </w:rPr>
      </w:pPr>
      <w:r w:rsidRPr="00CF7294">
        <w:rPr>
          <w:rFonts w:ascii="Arial" w:eastAsiaTheme="minorHAnsi" w:hAnsi="Arial" w:cs="Arial"/>
        </w:rPr>
        <w:t xml:space="preserve">The Government should implement the short term recommendations </w:t>
      </w:r>
      <w:r w:rsidR="00700B1F">
        <w:rPr>
          <w:rFonts w:ascii="Arial" w:eastAsiaTheme="minorHAnsi" w:hAnsi="Arial" w:cs="Arial"/>
        </w:rPr>
        <w:t>developed</w:t>
      </w:r>
      <w:r w:rsidRPr="00CF7294">
        <w:rPr>
          <w:rFonts w:ascii="Arial" w:eastAsiaTheme="minorHAnsi" w:hAnsi="Arial" w:cs="Arial"/>
        </w:rPr>
        <w:t xml:space="preserve"> by PricewaterhouseCoopers to improve the performance of road agencies and subsequently road users.</w:t>
      </w:r>
    </w:p>
    <w:p w:rsidR="00627DE0" w:rsidRPr="005446EF" w:rsidRDefault="00627DE0" w:rsidP="00AB24F2">
      <w:pPr>
        <w:pStyle w:val="Heading1"/>
        <w:numPr>
          <w:ilvl w:val="0"/>
          <w:numId w:val="0"/>
        </w:numPr>
        <w:rPr>
          <w:sz w:val="24"/>
          <w:szCs w:val="22"/>
        </w:rPr>
      </w:pPr>
    </w:p>
    <w:p w:rsidR="008865D9" w:rsidRPr="005446EF" w:rsidRDefault="00E34FE2" w:rsidP="00AB24F2">
      <w:pPr>
        <w:pStyle w:val="Heading1"/>
        <w:numPr>
          <w:ilvl w:val="0"/>
          <w:numId w:val="0"/>
        </w:numPr>
        <w:rPr>
          <w:sz w:val="24"/>
          <w:szCs w:val="22"/>
        </w:rPr>
      </w:pPr>
      <w:bookmarkStart w:id="9" w:name="_Toc420051871"/>
      <w:r>
        <w:rPr>
          <w:sz w:val="24"/>
          <w:szCs w:val="22"/>
        </w:rPr>
        <w:t>4</w:t>
      </w:r>
      <w:r w:rsidR="005B4D17" w:rsidRPr="005446EF">
        <w:rPr>
          <w:sz w:val="24"/>
          <w:szCs w:val="22"/>
        </w:rPr>
        <w:t xml:space="preserve">.3 Support rail and road freight </w:t>
      </w:r>
      <w:r w:rsidR="00FB1CAA">
        <w:rPr>
          <w:sz w:val="24"/>
          <w:szCs w:val="22"/>
        </w:rPr>
        <w:t>transport as complementary freight modes</w:t>
      </w:r>
      <w:r w:rsidR="005B4D17" w:rsidRPr="005446EF">
        <w:rPr>
          <w:sz w:val="24"/>
          <w:szCs w:val="22"/>
        </w:rPr>
        <w:t xml:space="preserve"> not competitors.</w:t>
      </w:r>
      <w:bookmarkEnd w:id="9"/>
      <w:r w:rsidR="005B4D17" w:rsidRPr="005446EF">
        <w:rPr>
          <w:sz w:val="24"/>
          <w:szCs w:val="22"/>
        </w:rPr>
        <w:t xml:space="preserve"> </w:t>
      </w:r>
    </w:p>
    <w:p w:rsidR="005B4D17" w:rsidRPr="00CF7294" w:rsidRDefault="005B4D17" w:rsidP="00AB24F2">
      <w:pPr>
        <w:rPr>
          <w:rFonts w:ascii="Arial" w:hAnsi="Arial" w:cs="Arial"/>
        </w:rPr>
      </w:pPr>
    </w:p>
    <w:p w:rsidR="005B4D17" w:rsidRPr="00CF7294" w:rsidRDefault="00700B1F" w:rsidP="00AB24F2">
      <w:pPr>
        <w:pStyle w:val="NormalWeb"/>
        <w:spacing w:before="0" w:beforeAutospacing="0" w:after="0" w:afterAutospacing="0"/>
        <w:rPr>
          <w:rFonts w:ascii="Arial" w:hAnsi="Arial" w:cs="Arial"/>
          <w:sz w:val="22"/>
          <w:szCs w:val="22"/>
        </w:rPr>
      </w:pPr>
      <w:r>
        <w:rPr>
          <w:rFonts w:ascii="Arial" w:hAnsi="Arial" w:cs="Arial"/>
          <w:sz w:val="22"/>
          <w:szCs w:val="22"/>
        </w:rPr>
        <w:t>The p</w:t>
      </w:r>
      <w:r w:rsidR="005B4D17" w:rsidRPr="00CF7294">
        <w:rPr>
          <w:rFonts w:ascii="Arial" w:hAnsi="Arial" w:cs="Arial"/>
          <w:sz w:val="22"/>
          <w:szCs w:val="22"/>
        </w:rPr>
        <w:t xml:space="preserve">anel states that heavy vehicle pricing and rail pricing is not neutral and indicates that heavy vehicles get more access benefits compared to rail networks. </w:t>
      </w:r>
    </w:p>
    <w:p w:rsidR="005B4D17" w:rsidRPr="00CF7294" w:rsidRDefault="005B4D17" w:rsidP="00AB24F2">
      <w:pPr>
        <w:pStyle w:val="NormalWeb"/>
        <w:spacing w:before="0" w:beforeAutospacing="0" w:after="0" w:afterAutospacing="0"/>
        <w:rPr>
          <w:rFonts w:ascii="Arial" w:hAnsi="Arial" w:cs="Arial"/>
          <w:sz w:val="22"/>
          <w:szCs w:val="22"/>
        </w:rPr>
      </w:pPr>
    </w:p>
    <w:p w:rsidR="005B4D17" w:rsidRPr="00CF7294" w:rsidRDefault="00040877" w:rsidP="00AB24F2">
      <w:pPr>
        <w:pStyle w:val="NormalWeb"/>
        <w:spacing w:before="0" w:beforeAutospacing="0" w:after="0" w:afterAutospacing="0"/>
        <w:rPr>
          <w:rFonts w:ascii="Arial" w:hAnsi="Arial" w:cs="Arial"/>
          <w:sz w:val="22"/>
          <w:szCs w:val="22"/>
        </w:rPr>
      </w:pPr>
      <w:r>
        <w:rPr>
          <w:rFonts w:ascii="Arial" w:hAnsi="Arial" w:cs="Arial"/>
          <w:sz w:val="22"/>
          <w:szCs w:val="22"/>
        </w:rPr>
        <w:t>R</w:t>
      </w:r>
      <w:r w:rsidR="005B4D17" w:rsidRPr="00CF7294">
        <w:rPr>
          <w:rFonts w:ascii="Arial" w:hAnsi="Arial" w:cs="Arial"/>
          <w:sz w:val="22"/>
          <w:szCs w:val="22"/>
        </w:rPr>
        <w:t xml:space="preserve">ail and road are complementary modes for transporting freight. Rail excels at transporting bulk goods long distances, however, time sensitive goods are better transported by the trucking industry. </w:t>
      </w:r>
    </w:p>
    <w:p w:rsidR="005B4D17" w:rsidRPr="00CF7294" w:rsidRDefault="005B4D17" w:rsidP="00AB24F2">
      <w:pPr>
        <w:pStyle w:val="NormalWeb"/>
        <w:tabs>
          <w:tab w:val="left" w:pos="1470"/>
        </w:tabs>
        <w:spacing w:before="0" w:beforeAutospacing="0" w:after="0" w:afterAutospacing="0"/>
        <w:rPr>
          <w:rFonts w:ascii="Arial" w:hAnsi="Arial" w:cs="Arial"/>
          <w:sz w:val="22"/>
          <w:szCs w:val="22"/>
        </w:rPr>
      </w:pPr>
      <w:r w:rsidRPr="00CF7294">
        <w:rPr>
          <w:rFonts w:ascii="Arial" w:hAnsi="Arial" w:cs="Arial"/>
          <w:sz w:val="22"/>
          <w:szCs w:val="22"/>
        </w:rPr>
        <w:tab/>
      </w:r>
    </w:p>
    <w:p w:rsidR="005B4D17" w:rsidRDefault="005B4D17" w:rsidP="00AB24F2">
      <w:pPr>
        <w:pStyle w:val="NormalWeb"/>
        <w:spacing w:before="0" w:beforeAutospacing="0" w:after="0" w:afterAutospacing="0"/>
        <w:rPr>
          <w:rFonts w:ascii="Arial" w:eastAsia="Calibri" w:hAnsi="Arial" w:cs="Arial"/>
          <w:sz w:val="22"/>
          <w:szCs w:val="22"/>
          <w:lang w:eastAsia="en-US"/>
        </w:rPr>
      </w:pPr>
      <w:r w:rsidRPr="00CF7294">
        <w:rPr>
          <w:rFonts w:ascii="Arial" w:hAnsi="Arial" w:cs="Arial"/>
          <w:sz w:val="22"/>
          <w:szCs w:val="22"/>
        </w:rPr>
        <w:t xml:space="preserve">The </w:t>
      </w:r>
      <w:r w:rsidRPr="00032A0E">
        <w:rPr>
          <w:rFonts w:ascii="Arial" w:hAnsi="Arial" w:cs="Arial"/>
          <w:sz w:val="22"/>
          <w:szCs w:val="22"/>
        </w:rPr>
        <w:t>trucking industry provid</w:t>
      </w:r>
      <w:r w:rsidR="00040877" w:rsidRPr="00032A0E">
        <w:rPr>
          <w:rFonts w:ascii="Arial" w:hAnsi="Arial" w:cs="Arial"/>
          <w:sz w:val="22"/>
          <w:szCs w:val="22"/>
        </w:rPr>
        <w:t>es</w:t>
      </w:r>
      <w:r w:rsidRPr="00032A0E">
        <w:rPr>
          <w:rFonts w:ascii="Arial" w:hAnsi="Arial" w:cs="Arial"/>
          <w:sz w:val="22"/>
          <w:szCs w:val="22"/>
        </w:rPr>
        <w:t xml:space="preserve"> an efficient service for the delivery of </w:t>
      </w:r>
      <w:r w:rsidR="006E5159" w:rsidRPr="00032A0E">
        <w:rPr>
          <w:rFonts w:ascii="Arial" w:hAnsi="Arial" w:cs="Arial"/>
          <w:sz w:val="22"/>
          <w:szCs w:val="22"/>
        </w:rPr>
        <w:t>time sensitive, non-bulk goods and the Panels suggestion that the industry is getting greater benefits than the rail industry is un</w:t>
      </w:r>
      <w:r w:rsidR="00C561F1">
        <w:rPr>
          <w:rFonts w:ascii="Arial" w:hAnsi="Arial" w:cs="Arial"/>
          <w:sz w:val="22"/>
          <w:szCs w:val="22"/>
        </w:rPr>
        <w:t>in</w:t>
      </w:r>
      <w:r w:rsidR="006E5159" w:rsidRPr="00032A0E">
        <w:rPr>
          <w:rFonts w:ascii="Arial" w:hAnsi="Arial" w:cs="Arial"/>
          <w:sz w:val="22"/>
          <w:szCs w:val="22"/>
        </w:rPr>
        <w:t>formed. While industry’s full attributable road expen</w:t>
      </w:r>
      <w:r w:rsidR="00040877" w:rsidRPr="00032A0E">
        <w:rPr>
          <w:rFonts w:ascii="Arial" w:hAnsi="Arial" w:cs="Arial"/>
          <w:sz w:val="22"/>
          <w:szCs w:val="22"/>
        </w:rPr>
        <w:t>diture cost is recovered via a seven</w:t>
      </w:r>
      <w:r w:rsidR="006E5159" w:rsidRPr="00032A0E">
        <w:rPr>
          <w:rFonts w:ascii="Arial" w:hAnsi="Arial" w:cs="Arial"/>
          <w:sz w:val="22"/>
          <w:szCs w:val="22"/>
        </w:rPr>
        <w:t xml:space="preserve"> year averaging model</w:t>
      </w:r>
      <w:r w:rsidR="000C340A">
        <w:rPr>
          <w:rFonts w:ascii="Arial" w:hAnsi="Arial" w:cs="Arial"/>
          <w:sz w:val="22"/>
          <w:szCs w:val="22"/>
        </w:rPr>
        <w:t>,</w:t>
      </w:r>
      <w:r w:rsidR="006E5159" w:rsidRPr="00032A0E">
        <w:rPr>
          <w:rFonts w:ascii="Arial" w:hAnsi="Arial" w:cs="Arial"/>
          <w:sz w:val="22"/>
          <w:szCs w:val="22"/>
        </w:rPr>
        <w:t xml:space="preserve"> the recovery the government and tax payers can expect from rail line investment is nowhere near as accountable. </w:t>
      </w:r>
      <w:r w:rsidR="00032A0E" w:rsidRPr="00032A0E">
        <w:rPr>
          <w:rFonts w:ascii="Arial" w:eastAsia="Calibri" w:hAnsi="Arial" w:cs="Arial"/>
          <w:sz w:val="22"/>
          <w:szCs w:val="22"/>
          <w:lang w:eastAsia="en-US"/>
        </w:rPr>
        <w:t xml:space="preserve">In previous Grain Infrastructure Advisory Committee studies, the cost recovery from </w:t>
      </w:r>
      <w:r w:rsidR="00032A0E">
        <w:rPr>
          <w:rFonts w:ascii="Arial" w:eastAsia="Calibri" w:hAnsi="Arial" w:cs="Arial"/>
          <w:sz w:val="22"/>
          <w:szCs w:val="22"/>
          <w:lang w:eastAsia="en-US"/>
        </w:rPr>
        <w:t>government</w:t>
      </w:r>
      <w:r w:rsidR="00032A0E" w:rsidRPr="00032A0E">
        <w:rPr>
          <w:rFonts w:ascii="Arial" w:eastAsia="Calibri" w:hAnsi="Arial" w:cs="Arial"/>
          <w:sz w:val="22"/>
          <w:szCs w:val="22"/>
          <w:lang w:eastAsia="en-US"/>
        </w:rPr>
        <w:t xml:space="preserve"> subsidies on the rail lines </w:t>
      </w:r>
      <w:r w:rsidR="00032A0E">
        <w:rPr>
          <w:rFonts w:ascii="Arial" w:eastAsia="Calibri" w:hAnsi="Arial" w:cs="Arial"/>
          <w:sz w:val="22"/>
          <w:szCs w:val="22"/>
          <w:lang w:eastAsia="en-US"/>
        </w:rPr>
        <w:t xml:space="preserve">were </w:t>
      </w:r>
      <w:r w:rsidR="00032A0E" w:rsidRPr="00032A0E">
        <w:rPr>
          <w:rFonts w:ascii="Arial" w:eastAsia="Calibri" w:hAnsi="Arial" w:cs="Arial"/>
          <w:sz w:val="22"/>
          <w:szCs w:val="22"/>
          <w:lang w:eastAsia="en-US"/>
        </w:rPr>
        <w:t>miniscule. Ranging from 0.8-6.3%, with a 3% average based on the net present value of a one-off capital upgrade of tracks, bridges and maintenance</w:t>
      </w:r>
      <w:r w:rsidR="00032A0E" w:rsidRPr="00032A0E">
        <w:rPr>
          <w:rStyle w:val="FootnoteReference"/>
          <w:rFonts w:ascii="Arial" w:eastAsia="Calibri" w:hAnsi="Arial" w:cs="Arial"/>
          <w:sz w:val="22"/>
          <w:szCs w:val="22"/>
          <w:lang w:eastAsia="en-US"/>
        </w:rPr>
        <w:footnoteReference w:id="15"/>
      </w:r>
      <w:r w:rsidR="00032A0E" w:rsidRPr="00032A0E">
        <w:rPr>
          <w:rFonts w:ascii="Arial" w:eastAsia="Calibri" w:hAnsi="Arial" w:cs="Arial"/>
          <w:sz w:val="22"/>
          <w:szCs w:val="22"/>
          <w:lang w:eastAsia="en-US"/>
        </w:rPr>
        <w:t>.</w:t>
      </w:r>
    </w:p>
    <w:p w:rsidR="00032A0E" w:rsidRDefault="00032A0E" w:rsidP="00AB24F2">
      <w:pPr>
        <w:pStyle w:val="NormalWeb"/>
        <w:spacing w:before="0" w:beforeAutospacing="0" w:after="0" w:afterAutospacing="0"/>
        <w:rPr>
          <w:rFonts w:ascii="Arial" w:eastAsia="Calibri" w:hAnsi="Arial" w:cs="Arial"/>
          <w:sz w:val="22"/>
          <w:szCs w:val="22"/>
          <w:lang w:eastAsia="en-US"/>
        </w:rPr>
      </w:pPr>
    </w:p>
    <w:p w:rsidR="006E5159" w:rsidRDefault="00032A0E" w:rsidP="00AB24F2">
      <w:pPr>
        <w:pStyle w:val="NormalWeb"/>
        <w:spacing w:before="0" w:beforeAutospacing="0" w:after="0" w:afterAutospacing="0"/>
        <w:rPr>
          <w:rFonts w:ascii="Arial" w:eastAsia="Calibri" w:hAnsi="Arial" w:cs="Arial"/>
          <w:sz w:val="22"/>
          <w:szCs w:val="22"/>
          <w:lang w:eastAsia="en-US"/>
        </w:rPr>
      </w:pPr>
      <w:r>
        <w:rPr>
          <w:rFonts w:ascii="Arial" w:eastAsia="Calibri" w:hAnsi="Arial" w:cs="Arial"/>
          <w:sz w:val="22"/>
          <w:szCs w:val="22"/>
          <w:lang w:eastAsia="en-US"/>
        </w:rPr>
        <w:t>Empirical evidence found that there was ‘low substitutability</w:t>
      </w:r>
      <w:r w:rsidRPr="00032A0E">
        <w:rPr>
          <w:rFonts w:ascii="Arial" w:eastAsia="Calibri" w:hAnsi="Arial" w:cs="Arial"/>
          <w:sz w:val="22"/>
          <w:szCs w:val="22"/>
          <w:lang w:eastAsia="en-US"/>
        </w:rPr>
        <w:t xml:space="preserve"> (little competition) between road and rail in aggregate</w:t>
      </w:r>
      <w:r w:rsidRPr="00032A0E">
        <w:t xml:space="preserve"> </w:t>
      </w:r>
      <w:r w:rsidRPr="00032A0E">
        <w:rPr>
          <w:rFonts w:ascii="Arial" w:eastAsia="Calibri" w:hAnsi="Arial" w:cs="Arial"/>
          <w:sz w:val="22"/>
          <w:szCs w:val="22"/>
          <w:lang w:eastAsia="en-US"/>
        </w:rPr>
        <w:t xml:space="preserve">but significant modal competition for </w:t>
      </w:r>
      <w:proofErr w:type="spellStart"/>
      <w:r w:rsidRPr="00032A0E">
        <w:rPr>
          <w:rFonts w:ascii="Arial" w:eastAsia="Calibri" w:hAnsi="Arial" w:cs="Arial"/>
          <w:sz w:val="22"/>
          <w:szCs w:val="22"/>
          <w:lang w:eastAsia="en-US"/>
        </w:rPr>
        <w:t>intercapital</w:t>
      </w:r>
      <w:proofErr w:type="spellEnd"/>
      <w:r w:rsidRPr="00032A0E">
        <w:rPr>
          <w:rFonts w:ascii="Arial" w:eastAsia="Calibri" w:hAnsi="Arial" w:cs="Arial"/>
          <w:sz w:val="22"/>
          <w:szCs w:val="22"/>
          <w:lang w:eastAsia="en-US"/>
        </w:rPr>
        <w:t xml:space="preserve"> non-bulk freight. Aggregate freight elasticities, encompassing both bulk and non-bulk freight, imply that road freight demand is relatively unresponsive to v</w:t>
      </w:r>
      <w:r>
        <w:rPr>
          <w:rFonts w:ascii="Arial" w:eastAsia="Calibri" w:hAnsi="Arial" w:cs="Arial"/>
          <w:sz w:val="22"/>
          <w:szCs w:val="22"/>
          <w:lang w:eastAsia="en-US"/>
        </w:rPr>
        <w:t xml:space="preserve">ariations in road freight rates, </w:t>
      </w:r>
      <w:r w:rsidRPr="00032A0E">
        <w:rPr>
          <w:rFonts w:ascii="Arial" w:eastAsia="Calibri" w:hAnsi="Arial" w:cs="Arial"/>
          <w:sz w:val="22"/>
          <w:szCs w:val="22"/>
          <w:lang w:eastAsia="en-US"/>
        </w:rPr>
        <w:t>in the short run, and independent of changes in rail freight rates</w:t>
      </w:r>
      <w:r w:rsidR="008A3C27">
        <w:rPr>
          <w:rFonts w:ascii="Arial" w:eastAsia="Calibri" w:hAnsi="Arial" w:cs="Arial"/>
          <w:sz w:val="22"/>
          <w:szCs w:val="22"/>
          <w:lang w:eastAsia="en-US"/>
        </w:rPr>
        <w:t>’</w:t>
      </w:r>
      <w:r w:rsidRPr="00032A0E">
        <w:rPr>
          <w:rFonts w:ascii="Arial" w:eastAsia="Calibri" w:hAnsi="Arial" w:cs="Arial"/>
          <w:sz w:val="22"/>
          <w:szCs w:val="22"/>
          <w:lang w:eastAsia="en-US"/>
        </w:rPr>
        <w:t>.</w:t>
      </w:r>
      <w:r>
        <w:rPr>
          <w:rStyle w:val="FootnoteReference"/>
          <w:rFonts w:ascii="Arial" w:eastAsia="Calibri" w:hAnsi="Arial"/>
          <w:sz w:val="22"/>
          <w:szCs w:val="22"/>
          <w:lang w:eastAsia="en-US"/>
        </w:rPr>
        <w:footnoteReference w:id="16"/>
      </w:r>
    </w:p>
    <w:p w:rsidR="008A3C27" w:rsidRDefault="008A3C27" w:rsidP="00AB24F2">
      <w:pPr>
        <w:pStyle w:val="NormalWeb"/>
        <w:spacing w:before="0" w:beforeAutospacing="0" w:after="0" w:afterAutospacing="0"/>
        <w:rPr>
          <w:rFonts w:ascii="Arial" w:eastAsia="Calibri" w:hAnsi="Arial" w:cs="Arial"/>
          <w:sz w:val="22"/>
          <w:szCs w:val="22"/>
          <w:lang w:eastAsia="en-US"/>
        </w:rPr>
      </w:pPr>
    </w:p>
    <w:p w:rsidR="008A3C27" w:rsidRDefault="003A65E7" w:rsidP="00AB24F2">
      <w:pPr>
        <w:pStyle w:val="NormalWeb"/>
        <w:spacing w:before="0" w:beforeAutospacing="0" w:after="0" w:afterAutospacing="0"/>
        <w:rPr>
          <w:rFonts w:ascii="Arial" w:eastAsia="Calibri" w:hAnsi="Arial" w:cs="Arial"/>
          <w:sz w:val="22"/>
          <w:szCs w:val="22"/>
          <w:lang w:eastAsia="en-US"/>
        </w:rPr>
      </w:pPr>
      <w:r>
        <w:rPr>
          <w:rFonts w:ascii="Arial" w:eastAsia="Calibri" w:hAnsi="Arial" w:cs="Arial"/>
          <w:sz w:val="22"/>
          <w:szCs w:val="22"/>
          <w:lang w:eastAsia="en-US"/>
        </w:rPr>
        <w:t>Additionally</w:t>
      </w:r>
      <w:r w:rsidR="008A3C27">
        <w:rPr>
          <w:rFonts w:ascii="Arial" w:eastAsia="Calibri" w:hAnsi="Arial" w:cs="Arial"/>
          <w:sz w:val="22"/>
          <w:szCs w:val="22"/>
          <w:lang w:eastAsia="en-US"/>
        </w:rPr>
        <w:t>, ‘r</w:t>
      </w:r>
      <w:r w:rsidR="008A3C27" w:rsidRPr="008A3C27">
        <w:rPr>
          <w:rFonts w:ascii="Arial" w:eastAsia="Calibri" w:hAnsi="Arial" w:cs="Arial"/>
          <w:sz w:val="22"/>
          <w:szCs w:val="22"/>
          <w:lang w:eastAsia="en-US"/>
        </w:rPr>
        <w:t>ail freight’s response to road freight rate changes was statistically not significant—in other words, aggregate rail freight demand is independent of changes in road freight rates</w:t>
      </w:r>
      <w:r w:rsidR="008A3C27">
        <w:rPr>
          <w:rFonts w:ascii="Arial" w:eastAsia="Calibri" w:hAnsi="Arial" w:cs="Arial"/>
          <w:sz w:val="22"/>
          <w:szCs w:val="22"/>
          <w:lang w:eastAsia="en-US"/>
        </w:rPr>
        <w:t>’.</w:t>
      </w:r>
      <w:r w:rsidR="008A3C27">
        <w:rPr>
          <w:rStyle w:val="FootnoteReference"/>
          <w:rFonts w:ascii="Arial" w:eastAsia="Calibri" w:hAnsi="Arial"/>
          <w:sz w:val="22"/>
          <w:szCs w:val="22"/>
          <w:lang w:eastAsia="en-US"/>
        </w:rPr>
        <w:footnoteReference w:id="17"/>
      </w:r>
    </w:p>
    <w:p w:rsidR="00032A0E" w:rsidRPr="00CF7294" w:rsidRDefault="00032A0E" w:rsidP="00AB24F2">
      <w:pPr>
        <w:pStyle w:val="NormalWeb"/>
        <w:spacing w:before="0" w:beforeAutospacing="0" w:after="0" w:afterAutospacing="0"/>
        <w:rPr>
          <w:rFonts w:ascii="Arial" w:hAnsi="Arial" w:cs="Arial"/>
          <w:sz w:val="22"/>
          <w:szCs w:val="22"/>
        </w:rPr>
      </w:pPr>
    </w:p>
    <w:p w:rsidR="006E5159" w:rsidRPr="00CF7294" w:rsidRDefault="003A65E7" w:rsidP="00AB24F2">
      <w:pPr>
        <w:pStyle w:val="NormalWeb"/>
        <w:spacing w:before="0" w:beforeAutospacing="0" w:after="0" w:afterAutospacing="0"/>
        <w:rPr>
          <w:rFonts w:ascii="Arial" w:hAnsi="Arial" w:cs="Arial"/>
          <w:sz w:val="22"/>
          <w:szCs w:val="22"/>
        </w:rPr>
      </w:pPr>
      <w:r>
        <w:rPr>
          <w:rFonts w:ascii="Arial" w:hAnsi="Arial" w:cs="Arial"/>
          <w:sz w:val="22"/>
          <w:szCs w:val="22"/>
        </w:rPr>
        <w:lastRenderedPageBreak/>
        <w:t>Therefore, putting a tariff or incremental charge on the industry in order to increase the competitive nature of rail will not result in the intended outcome and r</w:t>
      </w:r>
      <w:r w:rsidR="006E5159" w:rsidRPr="00CF7294">
        <w:rPr>
          <w:rFonts w:ascii="Arial" w:hAnsi="Arial" w:cs="Arial"/>
          <w:sz w:val="22"/>
          <w:szCs w:val="22"/>
        </w:rPr>
        <w:t xml:space="preserve">oad freight customers </w:t>
      </w:r>
      <w:r w:rsidR="00E92E57" w:rsidRPr="00CF7294">
        <w:rPr>
          <w:rFonts w:ascii="Arial" w:hAnsi="Arial" w:cs="Arial"/>
          <w:sz w:val="22"/>
          <w:szCs w:val="22"/>
        </w:rPr>
        <w:t>will pay more money for no greater service. T</w:t>
      </w:r>
      <w:r>
        <w:rPr>
          <w:rFonts w:ascii="Arial" w:hAnsi="Arial" w:cs="Arial"/>
          <w:sz w:val="22"/>
          <w:szCs w:val="22"/>
        </w:rPr>
        <w:t xml:space="preserve">he </w:t>
      </w:r>
      <w:r w:rsidR="000C340A">
        <w:rPr>
          <w:rFonts w:ascii="Arial" w:hAnsi="Arial" w:cs="Arial"/>
          <w:sz w:val="22"/>
          <w:szCs w:val="22"/>
        </w:rPr>
        <w:t>empirical evidence</w:t>
      </w:r>
      <w:r>
        <w:rPr>
          <w:rFonts w:ascii="Arial" w:hAnsi="Arial" w:cs="Arial"/>
          <w:sz w:val="22"/>
          <w:szCs w:val="22"/>
        </w:rPr>
        <w:t xml:space="preserve"> shows t</w:t>
      </w:r>
      <w:r w:rsidR="00E92E57" w:rsidRPr="00CF7294">
        <w:rPr>
          <w:rFonts w:ascii="Arial" w:hAnsi="Arial" w:cs="Arial"/>
          <w:sz w:val="22"/>
          <w:szCs w:val="22"/>
        </w:rPr>
        <w:t xml:space="preserve">here is little reason to believe that a making ‘a level playing field’ for price will make any difference, as ultimately supermarkets </w:t>
      </w:r>
      <w:r w:rsidR="000C340A">
        <w:rPr>
          <w:rFonts w:ascii="Arial" w:hAnsi="Arial" w:cs="Arial"/>
          <w:sz w:val="22"/>
          <w:szCs w:val="22"/>
        </w:rPr>
        <w:t>and</w:t>
      </w:r>
      <w:r w:rsidR="00E92E57" w:rsidRPr="00CF7294">
        <w:rPr>
          <w:rFonts w:ascii="Arial" w:hAnsi="Arial" w:cs="Arial"/>
          <w:sz w:val="22"/>
          <w:szCs w:val="22"/>
        </w:rPr>
        <w:t xml:space="preserve"> </w:t>
      </w:r>
      <w:r w:rsidR="000C340A">
        <w:rPr>
          <w:rFonts w:ascii="Arial" w:hAnsi="Arial" w:cs="Arial"/>
          <w:sz w:val="22"/>
          <w:szCs w:val="22"/>
        </w:rPr>
        <w:t xml:space="preserve">time sensitive customers </w:t>
      </w:r>
      <w:r w:rsidR="00E92E57" w:rsidRPr="00CF7294">
        <w:rPr>
          <w:rFonts w:ascii="Arial" w:hAnsi="Arial" w:cs="Arial"/>
          <w:sz w:val="22"/>
          <w:szCs w:val="22"/>
        </w:rPr>
        <w:t xml:space="preserve">need freight delivered </w:t>
      </w:r>
      <w:r w:rsidR="000C340A">
        <w:rPr>
          <w:rFonts w:ascii="Arial" w:hAnsi="Arial" w:cs="Arial"/>
          <w:sz w:val="22"/>
          <w:szCs w:val="22"/>
        </w:rPr>
        <w:t xml:space="preserve">to their door. Rail simply cannot do that. </w:t>
      </w:r>
    </w:p>
    <w:p w:rsidR="00627DE0" w:rsidRPr="00CF7294" w:rsidRDefault="00627DE0" w:rsidP="00AB24F2">
      <w:pPr>
        <w:pStyle w:val="NormalWeb"/>
        <w:spacing w:before="0" w:beforeAutospacing="0" w:after="0" w:afterAutospacing="0"/>
        <w:rPr>
          <w:rFonts w:ascii="Arial" w:hAnsi="Arial" w:cs="Arial"/>
          <w:sz w:val="22"/>
          <w:szCs w:val="22"/>
        </w:rPr>
      </w:pPr>
    </w:p>
    <w:p w:rsidR="00E86F46" w:rsidRPr="00CF7294" w:rsidRDefault="00700B1F" w:rsidP="00AB24F2">
      <w:pPr>
        <w:pStyle w:val="NormalWeb"/>
        <w:spacing w:before="0" w:beforeAutospacing="0" w:after="0" w:afterAutospacing="0"/>
        <w:rPr>
          <w:rFonts w:ascii="Arial" w:hAnsi="Arial" w:cs="Arial"/>
          <w:b/>
          <w:sz w:val="22"/>
          <w:szCs w:val="22"/>
        </w:rPr>
      </w:pPr>
      <w:r>
        <w:rPr>
          <w:rFonts w:ascii="Arial" w:hAnsi="Arial" w:cs="Arial"/>
          <w:b/>
          <w:sz w:val="22"/>
          <w:szCs w:val="22"/>
        </w:rPr>
        <w:t>Recommendation 4</w:t>
      </w:r>
    </w:p>
    <w:p w:rsidR="00E86F46" w:rsidRPr="00CF7294" w:rsidRDefault="00E86F46" w:rsidP="00AB24F2">
      <w:pPr>
        <w:pStyle w:val="NormalWeb"/>
        <w:spacing w:before="0" w:beforeAutospacing="0" w:after="0" w:afterAutospacing="0"/>
        <w:rPr>
          <w:rFonts w:ascii="Arial" w:hAnsi="Arial" w:cs="Arial"/>
          <w:sz w:val="22"/>
          <w:szCs w:val="22"/>
        </w:rPr>
      </w:pPr>
    </w:p>
    <w:p w:rsidR="00E86F46" w:rsidRPr="00CF7294" w:rsidRDefault="00E86F46" w:rsidP="00AB24F2">
      <w:pPr>
        <w:pStyle w:val="NormalWeb"/>
        <w:spacing w:before="0" w:beforeAutospacing="0" w:after="0" w:afterAutospacing="0"/>
        <w:rPr>
          <w:rFonts w:ascii="Arial" w:hAnsi="Arial" w:cs="Arial"/>
          <w:sz w:val="22"/>
          <w:szCs w:val="22"/>
        </w:rPr>
      </w:pPr>
      <w:r w:rsidRPr="00CF7294">
        <w:rPr>
          <w:rFonts w:ascii="Arial" w:hAnsi="Arial" w:cs="Arial"/>
          <w:sz w:val="22"/>
          <w:szCs w:val="22"/>
        </w:rPr>
        <w:t>The Government should not penalise the trucking industry through initiating charges to make rail freight more attractive, as this will ultimately increase costs for consumers and unfairly tax the industry</w:t>
      </w:r>
      <w:r w:rsidR="00700B1F">
        <w:rPr>
          <w:rFonts w:ascii="Arial" w:hAnsi="Arial" w:cs="Arial"/>
          <w:sz w:val="22"/>
          <w:szCs w:val="22"/>
        </w:rPr>
        <w:t xml:space="preserve"> further. </w:t>
      </w:r>
    </w:p>
    <w:p w:rsidR="00E86F46" w:rsidRPr="00CF7294" w:rsidRDefault="00E86F46" w:rsidP="00AB24F2">
      <w:pPr>
        <w:pStyle w:val="NormalWeb"/>
        <w:spacing w:before="0" w:beforeAutospacing="0" w:after="0" w:afterAutospacing="0"/>
        <w:rPr>
          <w:rFonts w:ascii="Arial" w:hAnsi="Arial" w:cs="Arial"/>
          <w:sz w:val="22"/>
          <w:szCs w:val="22"/>
        </w:rPr>
      </w:pPr>
    </w:p>
    <w:p w:rsidR="005B4D17" w:rsidRPr="005446EF" w:rsidRDefault="00E34FE2" w:rsidP="00AB24F2">
      <w:pPr>
        <w:pStyle w:val="Heading1"/>
        <w:numPr>
          <w:ilvl w:val="0"/>
          <w:numId w:val="0"/>
        </w:numPr>
        <w:rPr>
          <w:sz w:val="24"/>
          <w:szCs w:val="22"/>
        </w:rPr>
      </w:pPr>
      <w:bookmarkStart w:id="10" w:name="_Toc420051872"/>
      <w:r>
        <w:rPr>
          <w:sz w:val="24"/>
          <w:szCs w:val="22"/>
        </w:rPr>
        <w:t>4</w:t>
      </w:r>
      <w:r w:rsidR="00E92E57" w:rsidRPr="005446EF">
        <w:rPr>
          <w:sz w:val="24"/>
          <w:szCs w:val="22"/>
        </w:rPr>
        <w:t>.4 Support the implementation of the NTC 2014 heavy vehicle charging determination recommendation</w:t>
      </w:r>
      <w:bookmarkEnd w:id="10"/>
    </w:p>
    <w:p w:rsidR="00EA57AD" w:rsidRPr="00CF7294" w:rsidRDefault="00EA57AD" w:rsidP="00AB24F2">
      <w:pPr>
        <w:pStyle w:val="NormalWeb"/>
        <w:spacing w:before="0" w:beforeAutospacing="0" w:after="0" w:afterAutospacing="0"/>
        <w:rPr>
          <w:rFonts w:ascii="Arial" w:hAnsi="Arial" w:cs="Arial"/>
          <w:sz w:val="22"/>
          <w:szCs w:val="22"/>
        </w:rPr>
      </w:pPr>
    </w:p>
    <w:p w:rsidR="00674391" w:rsidRPr="00CF7294" w:rsidRDefault="00674391" w:rsidP="00AB24F2">
      <w:pPr>
        <w:rPr>
          <w:rFonts w:ascii="Arial" w:hAnsi="Arial" w:cs="Arial"/>
        </w:rPr>
      </w:pPr>
      <w:r w:rsidRPr="00CF7294">
        <w:rPr>
          <w:rFonts w:ascii="Arial" w:hAnsi="Arial" w:cs="Arial"/>
        </w:rPr>
        <w:t xml:space="preserve">The heavy vehicle industry pays heavy vehicle registration and a road user charge calculated via a </w:t>
      </w:r>
      <w:r w:rsidR="00040877">
        <w:rPr>
          <w:rFonts w:ascii="Arial" w:hAnsi="Arial" w:cs="Arial"/>
        </w:rPr>
        <w:t>seven</w:t>
      </w:r>
      <w:r w:rsidRPr="00CF7294">
        <w:rPr>
          <w:rFonts w:ascii="Arial" w:hAnsi="Arial" w:cs="Arial"/>
        </w:rPr>
        <w:t xml:space="preserve"> year averaging charging model (PayGo). Attributable heavy vehicle road expenditure and heavy vehicle population figures are used to allocate costs over the heavy vehicle fleet. However, the heavy vehicle industry has been significantly overpaying since 2007 as the model uses the most up to date road expenditure data but a lagged heavy vehicle po</w:t>
      </w:r>
      <w:r w:rsidR="00C561F1">
        <w:rPr>
          <w:rFonts w:ascii="Arial" w:hAnsi="Arial" w:cs="Arial"/>
        </w:rPr>
        <w:t xml:space="preserve">pulation figure. As a result, </w:t>
      </w:r>
      <w:r w:rsidRPr="00CF7294">
        <w:rPr>
          <w:rFonts w:ascii="Arial" w:hAnsi="Arial" w:cs="Arial"/>
        </w:rPr>
        <w:t xml:space="preserve">the model considerably underestimates the heavy vehicle fleet and produces heavy vehicle charges that are excessively high. </w:t>
      </w:r>
    </w:p>
    <w:p w:rsidR="00674391" w:rsidRPr="00CF7294" w:rsidRDefault="00674391" w:rsidP="00AB24F2">
      <w:pPr>
        <w:rPr>
          <w:rFonts w:ascii="Arial" w:hAnsi="Arial" w:cs="Arial"/>
        </w:rPr>
      </w:pPr>
    </w:p>
    <w:p w:rsidR="00674391" w:rsidRDefault="00674391" w:rsidP="00AB24F2">
      <w:pPr>
        <w:rPr>
          <w:rFonts w:ascii="Arial" w:hAnsi="Arial" w:cs="Arial"/>
        </w:rPr>
      </w:pPr>
      <w:r w:rsidRPr="00CF7294">
        <w:rPr>
          <w:rFonts w:ascii="Arial" w:hAnsi="Arial" w:cs="Arial"/>
        </w:rPr>
        <w:t xml:space="preserve">In 2014, transport ministers were asked to consider a National Transport Commission Regulatory Impact statement (RIS) </w:t>
      </w:r>
      <w:r w:rsidRPr="00CF7294">
        <w:rPr>
          <w:rFonts w:ascii="Arial" w:hAnsi="Arial" w:cs="Arial"/>
          <w:i/>
        </w:rPr>
        <w:t>Heavy Vehicle Charges Determination RIS February 2014</w:t>
      </w:r>
      <w:r w:rsidRPr="00CF7294">
        <w:rPr>
          <w:rFonts w:ascii="Arial" w:hAnsi="Arial" w:cs="Arial"/>
        </w:rPr>
        <w:t xml:space="preserve">. </w:t>
      </w:r>
      <w:r w:rsidR="00125D74">
        <w:rPr>
          <w:rFonts w:ascii="Arial" w:hAnsi="Arial" w:cs="Arial"/>
        </w:rPr>
        <w:t xml:space="preserve">The </w:t>
      </w:r>
      <w:r w:rsidR="000C340A">
        <w:rPr>
          <w:rFonts w:ascii="Arial" w:hAnsi="Arial" w:cs="Arial"/>
        </w:rPr>
        <w:t xml:space="preserve">RIS contained three options: </w:t>
      </w:r>
      <w:proofErr w:type="spellStart"/>
      <w:r w:rsidR="000C340A">
        <w:rPr>
          <w:rFonts w:ascii="Arial" w:hAnsi="Arial" w:cs="Arial"/>
        </w:rPr>
        <w:t>A</w:t>
      </w:r>
      <w:proofErr w:type="gramStart"/>
      <w:r w:rsidR="000C340A">
        <w:rPr>
          <w:rFonts w:ascii="Arial" w:hAnsi="Arial" w:cs="Arial"/>
        </w:rPr>
        <w:t>,B</w:t>
      </w:r>
      <w:proofErr w:type="spellEnd"/>
      <w:proofErr w:type="gramEnd"/>
      <w:r w:rsidR="000C340A">
        <w:rPr>
          <w:rFonts w:ascii="Arial" w:hAnsi="Arial" w:cs="Arial"/>
        </w:rPr>
        <w:t xml:space="preserve"> and </w:t>
      </w:r>
      <w:r w:rsidR="00125D74">
        <w:rPr>
          <w:rFonts w:ascii="Arial" w:hAnsi="Arial" w:cs="Arial"/>
        </w:rPr>
        <w:t xml:space="preserve">C: </w:t>
      </w:r>
    </w:p>
    <w:p w:rsidR="00125D74" w:rsidRDefault="00125D74" w:rsidP="00AB24F2">
      <w:pPr>
        <w:rPr>
          <w:rFonts w:ascii="Arial" w:hAnsi="Arial" w:cs="Arial"/>
        </w:rPr>
      </w:pPr>
    </w:p>
    <w:tbl>
      <w:tblPr>
        <w:tblStyle w:val="TableGrid"/>
        <w:tblW w:w="5000" w:type="pct"/>
        <w:tblLook w:val="04A0" w:firstRow="1" w:lastRow="0" w:firstColumn="1" w:lastColumn="0" w:noHBand="0" w:noVBand="1"/>
      </w:tblPr>
      <w:tblGrid>
        <w:gridCol w:w="1927"/>
        <w:gridCol w:w="1925"/>
        <w:gridCol w:w="1926"/>
        <w:gridCol w:w="1926"/>
        <w:gridCol w:w="1924"/>
      </w:tblGrid>
      <w:tr w:rsidR="00125D74" w:rsidRPr="00BF7E4B" w:rsidTr="0005709A">
        <w:trPr>
          <w:trHeight w:val="584"/>
        </w:trPr>
        <w:tc>
          <w:tcPr>
            <w:tcW w:w="1001" w:type="pct"/>
            <w:hideMark/>
          </w:tcPr>
          <w:p w:rsidR="00125D74" w:rsidRPr="00BF7E4B" w:rsidRDefault="00125D74" w:rsidP="0005709A">
            <w:pPr>
              <w:rPr>
                <w:rFonts w:asciiTheme="minorHAnsi" w:hAnsiTheme="minorHAnsi"/>
                <w:b/>
                <w:sz w:val="20"/>
                <w:szCs w:val="20"/>
              </w:rPr>
            </w:pPr>
          </w:p>
        </w:tc>
        <w:tc>
          <w:tcPr>
            <w:tcW w:w="1000" w:type="pct"/>
            <w:hideMark/>
          </w:tcPr>
          <w:p w:rsidR="00125D74" w:rsidRPr="00BF7E4B" w:rsidRDefault="00125D74" w:rsidP="0005709A">
            <w:pPr>
              <w:rPr>
                <w:rFonts w:asciiTheme="minorHAnsi" w:hAnsiTheme="minorHAnsi"/>
                <w:b/>
                <w:sz w:val="20"/>
                <w:szCs w:val="20"/>
              </w:rPr>
            </w:pPr>
            <w:r w:rsidRPr="00BF7E4B">
              <w:rPr>
                <w:rFonts w:asciiTheme="minorHAnsi" w:hAnsiTheme="minorHAnsi"/>
                <w:b/>
                <w:sz w:val="20"/>
                <w:szCs w:val="20"/>
              </w:rPr>
              <w:t xml:space="preserve">Status Quo </w:t>
            </w:r>
          </w:p>
        </w:tc>
        <w:tc>
          <w:tcPr>
            <w:tcW w:w="1000" w:type="pct"/>
            <w:hideMark/>
          </w:tcPr>
          <w:p w:rsidR="00125D74" w:rsidRPr="00BF7E4B" w:rsidRDefault="00125D74" w:rsidP="0005709A">
            <w:pPr>
              <w:rPr>
                <w:rFonts w:asciiTheme="minorHAnsi" w:hAnsiTheme="minorHAnsi"/>
                <w:b/>
                <w:sz w:val="20"/>
                <w:szCs w:val="20"/>
              </w:rPr>
            </w:pPr>
            <w:r w:rsidRPr="00BF7E4B">
              <w:rPr>
                <w:rFonts w:asciiTheme="minorHAnsi" w:hAnsiTheme="minorHAnsi"/>
                <w:b/>
                <w:sz w:val="20"/>
                <w:szCs w:val="20"/>
              </w:rPr>
              <w:t xml:space="preserve">Option A </w:t>
            </w:r>
          </w:p>
        </w:tc>
        <w:tc>
          <w:tcPr>
            <w:tcW w:w="1000" w:type="pct"/>
            <w:hideMark/>
          </w:tcPr>
          <w:p w:rsidR="00125D74" w:rsidRPr="00BF7E4B" w:rsidRDefault="00125D74" w:rsidP="0005709A">
            <w:pPr>
              <w:rPr>
                <w:rFonts w:asciiTheme="minorHAnsi" w:hAnsiTheme="minorHAnsi"/>
                <w:b/>
                <w:sz w:val="20"/>
                <w:szCs w:val="20"/>
              </w:rPr>
            </w:pPr>
            <w:r w:rsidRPr="00BF7E4B">
              <w:rPr>
                <w:rFonts w:asciiTheme="minorHAnsi" w:hAnsiTheme="minorHAnsi"/>
                <w:b/>
                <w:sz w:val="20"/>
                <w:szCs w:val="20"/>
              </w:rPr>
              <w:t xml:space="preserve">Option B </w:t>
            </w:r>
          </w:p>
        </w:tc>
        <w:tc>
          <w:tcPr>
            <w:tcW w:w="999" w:type="pct"/>
            <w:hideMark/>
          </w:tcPr>
          <w:p w:rsidR="00125D74" w:rsidRPr="00BF7E4B" w:rsidRDefault="00125D74" w:rsidP="0005709A">
            <w:pPr>
              <w:rPr>
                <w:rFonts w:asciiTheme="minorHAnsi" w:hAnsiTheme="minorHAnsi"/>
                <w:b/>
                <w:sz w:val="20"/>
                <w:szCs w:val="20"/>
              </w:rPr>
            </w:pPr>
            <w:r w:rsidRPr="00BF7E4B">
              <w:rPr>
                <w:rFonts w:asciiTheme="minorHAnsi" w:hAnsiTheme="minorHAnsi"/>
                <w:b/>
                <w:sz w:val="20"/>
                <w:szCs w:val="20"/>
              </w:rPr>
              <w:t xml:space="preserve">Option C </w:t>
            </w:r>
          </w:p>
        </w:tc>
      </w:tr>
      <w:tr w:rsidR="00125D74" w:rsidRPr="00BF7E4B" w:rsidTr="0005709A">
        <w:trPr>
          <w:trHeight w:val="584"/>
        </w:trPr>
        <w:tc>
          <w:tcPr>
            <w:tcW w:w="1001" w:type="pct"/>
            <w:hideMark/>
          </w:tcPr>
          <w:p w:rsidR="00125D74" w:rsidRPr="00BF7E4B" w:rsidRDefault="00125D74" w:rsidP="0005709A">
            <w:pPr>
              <w:rPr>
                <w:rFonts w:asciiTheme="minorHAnsi" w:hAnsiTheme="minorHAnsi"/>
                <w:b/>
                <w:sz w:val="20"/>
                <w:szCs w:val="20"/>
              </w:rPr>
            </w:pPr>
            <w:r w:rsidRPr="00BF7E4B">
              <w:rPr>
                <w:rFonts w:asciiTheme="minorHAnsi" w:hAnsiTheme="minorHAnsi"/>
                <w:b/>
                <w:sz w:val="20"/>
                <w:szCs w:val="20"/>
              </w:rPr>
              <w:t xml:space="preserve">Calculation of Cost base </w:t>
            </w:r>
          </w:p>
        </w:tc>
        <w:tc>
          <w:tcPr>
            <w:tcW w:w="1000" w:type="pct"/>
            <w:hideMark/>
          </w:tcPr>
          <w:p w:rsidR="00125D74" w:rsidRPr="00BF7E4B" w:rsidRDefault="00125D74" w:rsidP="0005709A">
            <w:pPr>
              <w:rPr>
                <w:rFonts w:asciiTheme="minorHAnsi" w:hAnsiTheme="minorHAnsi"/>
                <w:sz w:val="20"/>
                <w:szCs w:val="20"/>
              </w:rPr>
            </w:pPr>
            <w:r w:rsidRPr="00BF7E4B">
              <w:rPr>
                <w:rFonts w:asciiTheme="minorHAnsi" w:hAnsiTheme="minorHAnsi"/>
                <w:sz w:val="20"/>
                <w:szCs w:val="20"/>
              </w:rPr>
              <w:t xml:space="preserve">7 year average, indexed using the road construction maintenance price index (RCMPI).  </w:t>
            </w:r>
          </w:p>
        </w:tc>
        <w:tc>
          <w:tcPr>
            <w:tcW w:w="2998" w:type="pct"/>
            <w:gridSpan w:val="3"/>
            <w:hideMark/>
          </w:tcPr>
          <w:p w:rsidR="00125D74" w:rsidRPr="00BF7E4B" w:rsidRDefault="00125D74" w:rsidP="0005709A">
            <w:pPr>
              <w:rPr>
                <w:rFonts w:asciiTheme="minorHAnsi" w:hAnsiTheme="minorHAnsi"/>
                <w:sz w:val="20"/>
                <w:szCs w:val="20"/>
              </w:rPr>
            </w:pPr>
            <w:r w:rsidRPr="00BF7E4B">
              <w:rPr>
                <w:rFonts w:asciiTheme="minorHAnsi" w:hAnsiTheme="minorHAnsi"/>
                <w:sz w:val="20"/>
                <w:szCs w:val="20"/>
              </w:rPr>
              <w:t xml:space="preserve">Exponential Moving Average (EMA) of the latest 7 years of expenditure data - where more recent year’s expenditure data are given greater weightings in the PayGo model. </w:t>
            </w:r>
          </w:p>
        </w:tc>
      </w:tr>
      <w:tr w:rsidR="00125D74" w:rsidRPr="00BF7E4B" w:rsidTr="0005709A">
        <w:trPr>
          <w:trHeight w:val="584"/>
        </w:trPr>
        <w:tc>
          <w:tcPr>
            <w:tcW w:w="1001" w:type="pct"/>
            <w:hideMark/>
          </w:tcPr>
          <w:p w:rsidR="00125D74" w:rsidRPr="00BF7E4B" w:rsidRDefault="00125D74" w:rsidP="0005709A">
            <w:pPr>
              <w:rPr>
                <w:rFonts w:asciiTheme="minorHAnsi" w:hAnsiTheme="minorHAnsi"/>
                <w:b/>
                <w:sz w:val="20"/>
                <w:szCs w:val="20"/>
              </w:rPr>
            </w:pPr>
            <w:r w:rsidRPr="00BF7E4B">
              <w:rPr>
                <w:rFonts w:asciiTheme="minorHAnsi" w:hAnsiTheme="minorHAnsi"/>
                <w:b/>
                <w:sz w:val="20"/>
                <w:szCs w:val="20"/>
              </w:rPr>
              <w:t xml:space="preserve">RUC / Registration Balance </w:t>
            </w:r>
          </w:p>
        </w:tc>
        <w:tc>
          <w:tcPr>
            <w:tcW w:w="2000" w:type="pct"/>
            <w:gridSpan w:val="2"/>
            <w:hideMark/>
          </w:tcPr>
          <w:p w:rsidR="00125D74" w:rsidRPr="00BF7E4B" w:rsidRDefault="00125D74" w:rsidP="0005709A">
            <w:pPr>
              <w:rPr>
                <w:rFonts w:asciiTheme="minorHAnsi" w:hAnsiTheme="minorHAnsi"/>
                <w:sz w:val="20"/>
                <w:szCs w:val="20"/>
              </w:rPr>
            </w:pPr>
            <w:r w:rsidRPr="00BF7E4B">
              <w:rPr>
                <w:rFonts w:asciiTheme="minorHAnsi" w:hAnsiTheme="minorHAnsi"/>
                <w:sz w:val="20"/>
                <w:szCs w:val="20"/>
              </w:rPr>
              <w:t>Approximately current split (64% RUC (27.4 cpl), 36% registration)</w:t>
            </w:r>
          </w:p>
        </w:tc>
        <w:tc>
          <w:tcPr>
            <w:tcW w:w="1000" w:type="pct"/>
            <w:hideMark/>
          </w:tcPr>
          <w:p w:rsidR="00125D74" w:rsidRPr="00BF7E4B" w:rsidRDefault="00125D74" w:rsidP="0005709A">
            <w:pPr>
              <w:rPr>
                <w:rFonts w:asciiTheme="minorHAnsi" w:hAnsiTheme="minorHAnsi"/>
                <w:sz w:val="20"/>
                <w:szCs w:val="20"/>
              </w:rPr>
            </w:pPr>
            <w:proofErr w:type="spellStart"/>
            <w:r w:rsidRPr="00BF7E4B">
              <w:rPr>
                <w:rFonts w:asciiTheme="minorHAnsi" w:hAnsiTheme="minorHAnsi"/>
                <w:sz w:val="20"/>
                <w:szCs w:val="20"/>
              </w:rPr>
              <w:t>Approx</w:t>
            </w:r>
            <w:proofErr w:type="spellEnd"/>
            <w:r w:rsidRPr="00BF7E4B">
              <w:rPr>
                <w:rFonts w:asciiTheme="minorHAnsi" w:hAnsiTheme="minorHAnsi"/>
                <w:sz w:val="20"/>
                <w:szCs w:val="20"/>
              </w:rPr>
              <w:t xml:space="preserve"> 70% RUC (28.8 cpl), 30% registration </w:t>
            </w:r>
          </w:p>
        </w:tc>
        <w:tc>
          <w:tcPr>
            <w:tcW w:w="999" w:type="pct"/>
            <w:hideMark/>
          </w:tcPr>
          <w:p w:rsidR="00125D74" w:rsidRPr="00BF7E4B" w:rsidRDefault="00125D74" w:rsidP="0005709A">
            <w:pPr>
              <w:rPr>
                <w:rFonts w:asciiTheme="minorHAnsi" w:hAnsiTheme="minorHAnsi"/>
                <w:sz w:val="20"/>
                <w:szCs w:val="20"/>
              </w:rPr>
            </w:pPr>
            <w:proofErr w:type="spellStart"/>
            <w:r w:rsidRPr="00BF7E4B">
              <w:rPr>
                <w:rFonts w:asciiTheme="minorHAnsi" w:hAnsiTheme="minorHAnsi"/>
                <w:sz w:val="20"/>
                <w:szCs w:val="20"/>
              </w:rPr>
              <w:t>Approx</w:t>
            </w:r>
            <w:proofErr w:type="spellEnd"/>
            <w:r w:rsidRPr="00BF7E4B">
              <w:rPr>
                <w:rFonts w:asciiTheme="minorHAnsi" w:hAnsiTheme="minorHAnsi"/>
                <w:sz w:val="20"/>
                <w:szCs w:val="20"/>
              </w:rPr>
              <w:t xml:space="preserve"> 77% RUC (32 cpl), 23% registration  </w:t>
            </w:r>
          </w:p>
        </w:tc>
      </w:tr>
      <w:tr w:rsidR="00125D74" w:rsidRPr="00BF7E4B" w:rsidTr="0005709A">
        <w:trPr>
          <w:trHeight w:val="354"/>
        </w:trPr>
        <w:tc>
          <w:tcPr>
            <w:tcW w:w="1001" w:type="pct"/>
            <w:hideMark/>
          </w:tcPr>
          <w:p w:rsidR="00125D74" w:rsidRPr="00BF7E4B" w:rsidRDefault="00125D74" w:rsidP="0005709A">
            <w:pPr>
              <w:rPr>
                <w:rFonts w:asciiTheme="minorHAnsi" w:hAnsiTheme="minorHAnsi"/>
                <w:b/>
                <w:sz w:val="20"/>
                <w:szCs w:val="20"/>
              </w:rPr>
            </w:pPr>
            <w:r w:rsidRPr="00BF7E4B">
              <w:rPr>
                <w:rFonts w:asciiTheme="minorHAnsi" w:hAnsiTheme="minorHAnsi"/>
                <w:b/>
                <w:sz w:val="20"/>
                <w:szCs w:val="20"/>
              </w:rPr>
              <w:t xml:space="preserve">Treatment of A-trailers </w:t>
            </w:r>
          </w:p>
        </w:tc>
        <w:tc>
          <w:tcPr>
            <w:tcW w:w="1000" w:type="pct"/>
            <w:hideMark/>
          </w:tcPr>
          <w:p w:rsidR="00125D74" w:rsidRPr="00BF7E4B" w:rsidRDefault="00125D74" w:rsidP="0005709A">
            <w:pPr>
              <w:rPr>
                <w:rFonts w:asciiTheme="minorHAnsi" w:hAnsiTheme="minorHAnsi"/>
                <w:sz w:val="20"/>
                <w:szCs w:val="20"/>
              </w:rPr>
            </w:pPr>
            <w:r w:rsidRPr="00BF7E4B">
              <w:rPr>
                <w:rFonts w:asciiTheme="minorHAnsi" w:hAnsiTheme="minorHAnsi"/>
                <w:sz w:val="20"/>
                <w:szCs w:val="20"/>
              </w:rPr>
              <w:t xml:space="preserve">Current </w:t>
            </w:r>
          </w:p>
        </w:tc>
        <w:tc>
          <w:tcPr>
            <w:tcW w:w="2998" w:type="pct"/>
            <w:gridSpan w:val="3"/>
            <w:hideMark/>
          </w:tcPr>
          <w:p w:rsidR="00125D74" w:rsidRPr="00BF7E4B" w:rsidRDefault="00125D74" w:rsidP="0005709A">
            <w:pPr>
              <w:rPr>
                <w:rFonts w:asciiTheme="minorHAnsi" w:hAnsiTheme="minorHAnsi"/>
                <w:sz w:val="20"/>
                <w:szCs w:val="20"/>
              </w:rPr>
            </w:pPr>
            <w:r w:rsidRPr="00BF7E4B">
              <w:rPr>
                <w:rFonts w:asciiTheme="minorHAnsi" w:hAnsiTheme="minorHAnsi"/>
                <w:sz w:val="20"/>
                <w:szCs w:val="20"/>
              </w:rPr>
              <w:t xml:space="preserve">Standard axle grouping charge </w:t>
            </w:r>
          </w:p>
        </w:tc>
      </w:tr>
      <w:tr w:rsidR="00125D74" w:rsidRPr="00BF7E4B" w:rsidTr="0005709A">
        <w:trPr>
          <w:trHeight w:val="584"/>
        </w:trPr>
        <w:tc>
          <w:tcPr>
            <w:tcW w:w="1001" w:type="pct"/>
            <w:hideMark/>
          </w:tcPr>
          <w:p w:rsidR="00125D74" w:rsidRPr="00BF7E4B" w:rsidRDefault="00125D74" w:rsidP="0005709A">
            <w:pPr>
              <w:rPr>
                <w:rFonts w:asciiTheme="minorHAnsi" w:hAnsiTheme="minorHAnsi"/>
                <w:b/>
                <w:sz w:val="20"/>
                <w:szCs w:val="20"/>
              </w:rPr>
            </w:pPr>
            <w:r w:rsidRPr="00BF7E4B">
              <w:rPr>
                <w:rFonts w:asciiTheme="minorHAnsi" w:hAnsiTheme="minorHAnsi"/>
                <w:b/>
                <w:sz w:val="20"/>
                <w:szCs w:val="20"/>
              </w:rPr>
              <w:t xml:space="preserve">Usage data, vehicle numbers, etc. </w:t>
            </w:r>
          </w:p>
        </w:tc>
        <w:tc>
          <w:tcPr>
            <w:tcW w:w="1000" w:type="pct"/>
            <w:hideMark/>
          </w:tcPr>
          <w:p w:rsidR="00125D74" w:rsidRPr="00BF7E4B" w:rsidRDefault="00125D74" w:rsidP="0005709A">
            <w:pPr>
              <w:rPr>
                <w:rFonts w:asciiTheme="minorHAnsi" w:hAnsiTheme="minorHAnsi"/>
                <w:sz w:val="20"/>
                <w:szCs w:val="20"/>
              </w:rPr>
            </w:pPr>
            <w:r w:rsidRPr="00BF7E4B">
              <w:rPr>
                <w:rFonts w:asciiTheme="minorHAnsi" w:hAnsiTheme="minorHAnsi"/>
                <w:sz w:val="20"/>
                <w:szCs w:val="20"/>
              </w:rPr>
              <w:t xml:space="preserve">Latest ABS survey of motor vehicle usage (SMVU), mid-point of 7-year trend </w:t>
            </w:r>
          </w:p>
        </w:tc>
        <w:tc>
          <w:tcPr>
            <w:tcW w:w="2998" w:type="pct"/>
            <w:gridSpan w:val="3"/>
            <w:hideMark/>
          </w:tcPr>
          <w:p w:rsidR="00125D74" w:rsidRPr="00BF7E4B" w:rsidRDefault="00125D74" w:rsidP="0005709A">
            <w:pPr>
              <w:rPr>
                <w:rFonts w:asciiTheme="minorHAnsi" w:hAnsiTheme="minorHAnsi"/>
                <w:sz w:val="20"/>
                <w:szCs w:val="20"/>
              </w:rPr>
            </w:pPr>
            <w:r w:rsidRPr="00BF7E4B">
              <w:rPr>
                <w:rFonts w:asciiTheme="minorHAnsi" w:hAnsiTheme="minorHAnsi"/>
                <w:sz w:val="20"/>
                <w:szCs w:val="20"/>
              </w:rPr>
              <w:t xml:space="preserve">Latest SMVU stats, 3 years EMA inflated by latest jurisdictional registration data. </w:t>
            </w:r>
          </w:p>
        </w:tc>
      </w:tr>
      <w:tr w:rsidR="00125D74" w:rsidRPr="00BF7E4B" w:rsidTr="0005709A">
        <w:trPr>
          <w:trHeight w:val="584"/>
        </w:trPr>
        <w:tc>
          <w:tcPr>
            <w:tcW w:w="1001" w:type="pct"/>
            <w:hideMark/>
          </w:tcPr>
          <w:p w:rsidR="00125D74" w:rsidRPr="00BF7E4B" w:rsidRDefault="00125D74" w:rsidP="0005709A">
            <w:pPr>
              <w:rPr>
                <w:rFonts w:asciiTheme="minorHAnsi" w:hAnsiTheme="minorHAnsi"/>
                <w:b/>
                <w:sz w:val="20"/>
                <w:szCs w:val="20"/>
              </w:rPr>
            </w:pPr>
            <w:r w:rsidRPr="00BF7E4B">
              <w:rPr>
                <w:rFonts w:asciiTheme="minorHAnsi" w:hAnsiTheme="minorHAnsi"/>
                <w:b/>
                <w:sz w:val="20"/>
                <w:szCs w:val="20"/>
              </w:rPr>
              <w:t xml:space="preserve">Relativity of registration charges btw vehicle classes </w:t>
            </w:r>
          </w:p>
        </w:tc>
        <w:tc>
          <w:tcPr>
            <w:tcW w:w="1000" w:type="pct"/>
            <w:hideMark/>
          </w:tcPr>
          <w:p w:rsidR="00125D74" w:rsidRPr="00BF7E4B" w:rsidRDefault="00125D74" w:rsidP="0005709A">
            <w:pPr>
              <w:rPr>
                <w:rFonts w:asciiTheme="minorHAnsi" w:hAnsiTheme="minorHAnsi"/>
                <w:sz w:val="20"/>
                <w:szCs w:val="20"/>
              </w:rPr>
            </w:pPr>
            <w:r w:rsidRPr="00BF7E4B">
              <w:rPr>
                <w:rFonts w:asciiTheme="minorHAnsi" w:hAnsiTheme="minorHAnsi"/>
                <w:sz w:val="20"/>
                <w:szCs w:val="20"/>
              </w:rPr>
              <w:t xml:space="preserve">Current </w:t>
            </w:r>
          </w:p>
        </w:tc>
        <w:tc>
          <w:tcPr>
            <w:tcW w:w="2998" w:type="pct"/>
            <w:gridSpan w:val="3"/>
            <w:hideMark/>
          </w:tcPr>
          <w:p w:rsidR="00125D74" w:rsidRPr="00BF7E4B" w:rsidRDefault="00125D74" w:rsidP="0005709A">
            <w:pPr>
              <w:rPr>
                <w:rFonts w:asciiTheme="minorHAnsi" w:hAnsiTheme="minorHAnsi"/>
                <w:sz w:val="20"/>
                <w:szCs w:val="20"/>
              </w:rPr>
            </w:pPr>
            <w:r w:rsidRPr="00BF7E4B">
              <w:rPr>
                <w:rFonts w:asciiTheme="minorHAnsi" w:hAnsiTheme="minorHAnsi"/>
                <w:sz w:val="20"/>
                <w:szCs w:val="20"/>
              </w:rPr>
              <w:t>Revised</w:t>
            </w:r>
          </w:p>
        </w:tc>
      </w:tr>
      <w:tr w:rsidR="00125D74" w:rsidRPr="00BF7E4B" w:rsidTr="0005709A">
        <w:trPr>
          <w:trHeight w:val="282"/>
        </w:trPr>
        <w:tc>
          <w:tcPr>
            <w:tcW w:w="1001" w:type="pct"/>
            <w:hideMark/>
          </w:tcPr>
          <w:p w:rsidR="00125D74" w:rsidRPr="00BF7E4B" w:rsidRDefault="00125D74" w:rsidP="0005709A">
            <w:pPr>
              <w:rPr>
                <w:rFonts w:asciiTheme="minorHAnsi" w:hAnsiTheme="minorHAnsi"/>
                <w:b/>
                <w:sz w:val="20"/>
                <w:szCs w:val="20"/>
              </w:rPr>
            </w:pPr>
            <w:r w:rsidRPr="00BF7E4B">
              <w:rPr>
                <w:rFonts w:asciiTheme="minorHAnsi" w:hAnsiTheme="minorHAnsi"/>
                <w:b/>
                <w:sz w:val="20"/>
                <w:szCs w:val="20"/>
              </w:rPr>
              <w:t xml:space="preserve">Redistribution of funds </w:t>
            </w:r>
          </w:p>
        </w:tc>
        <w:tc>
          <w:tcPr>
            <w:tcW w:w="2000" w:type="pct"/>
            <w:gridSpan w:val="2"/>
            <w:hideMark/>
          </w:tcPr>
          <w:p w:rsidR="00125D74" w:rsidRPr="00BF7E4B" w:rsidRDefault="00125D74" w:rsidP="0005709A">
            <w:pPr>
              <w:rPr>
                <w:rFonts w:asciiTheme="minorHAnsi" w:hAnsiTheme="minorHAnsi"/>
                <w:sz w:val="20"/>
                <w:szCs w:val="20"/>
              </w:rPr>
            </w:pPr>
            <w:r w:rsidRPr="00BF7E4B">
              <w:rPr>
                <w:rFonts w:asciiTheme="minorHAnsi" w:hAnsiTheme="minorHAnsi"/>
                <w:sz w:val="20"/>
                <w:szCs w:val="20"/>
              </w:rPr>
              <w:t xml:space="preserve">No </w:t>
            </w:r>
          </w:p>
        </w:tc>
        <w:tc>
          <w:tcPr>
            <w:tcW w:w="1999" w:type="pct"/>
            <w:gridSpan w:val="2"/>
            <w:hideMark/>
          </w:tcPr>
          <w:p w:rsidR="00125D74" w:rsidRPr="00BF7E4B" w:rsidRDefault="00125D74" w:rsidP="0005709A">
            <w:pPr>
              <w:rPr>
                <w:rFonts w:asciiTheme="minorHAnsi" w:hAnsiTheme="minorHAnsi"/>
                <w:sz w:val="20"/>
                <w:szCs w:val="20"/>
              </w:rPr>
            </w:pPr>
            <w:r w:rsidRPr="00BF7E4B">
              <w:rPr>
                <w:rFonts w:asciiTheme="minorHAnsi" w:hAnsiTheme="minorHAnsi"/>
                <w:sz w:val="20"/>
                <w:szCs w:val="20"/>
              </w:rPr>
              <w:t xml:space="preserve">Yes </w:t>
            </w:r>
          </w:p>
        </w:tc>
      </w:tr>
      <w:tr w:rsidR="00125D74" w:rsidRPr="00BF7E4B" w:rsidTr="0005709A">
        <w:trPr>
          <w:trHeight w:val="245"/>
        </w:trPr>
        <w:tc>
          <w:tcPr>
            <w:tcW w:w="1001" w:type="pct"/>
            <w:hideMark/>
          </w:tcPr>
          <w:p w:rsidR="00125D74" w:rsidRPr="00BF7E4B" w:rsidRDefault="00125D74" w:rsidP="0005709A">
            <w:pPr>
              <w:rPr>
                <w:rFonts w:asciiTheme="minorHAnsi" w:hAnsiTheme="minorHAnsi"/>
                <w:b/>
                <w:sz w:val="20"/>
                <w:szCs w:val="20"/>
              </w:rPr>
            </w:pPr>
            <w:r w:rsidRPr="00BF7E4B">
              <w:rPr>
                <w:rFonts w:asciiTheme="minorHAnsi" w:hAnsiTheme="minorHAnsi"/>
                <w:b/>
                <w:sz w:val="20"/>
                <w:szCs w:val="20"/>
              </w:rPr>
              <w:t xml:space="preserve">NHVR Funding </w:t>
            </w:r>
          </w:p>
        </w:tc>
        <w:tc>
          <w:tcPr>
            <w:tcW w:w="1000" w:type="pct"/>
            <w:hideMark/>
          </w:tcPr>
          <w:p w:rsidR="00125D74" w:rsidRPr="00BF7E4B" w:rsidRDefault="00125D74" w:rsidP="0005709A">
            <w:pPr>
              <w:rPr>
                <w:rFonts w:asciiTheme="minorHAnsi" w:hAnsiTheme="minorHAnsi"/>
                <w:sz w:val="20"/>
                <w:szCs w:val="20"/>
              </w:rPr>
            </w:pPr>
            <w:r w:rsidRPr="00BF7E4B">
              <w:rPr>
                <w:rFonts w:asciiTheme="minorHAnsi" w:hAnsiTheme="minorHAnsi"/>
                <w:sz w:val="20"/>
                <w:szCs w:val="20"/>
              </w:rPr>
              <w:t xml:space="preserve">No </w:t>
            </w:r>
          </w:p>
        </w:tc>
        <w:tc>
          <w:tcPr>
            <w:tcW w:w="2998" w:type="pct"/>
            <w:gridSpan w:val="3"/>
            <w:hideMark/>
          </w:tcPr>
          <w:p w:rsidR="00125D74" w:rsidRPr="00BF7E4B" w:rsidRDefault="00125D74" w:rsidP="0005709A">
            <w:pPr>
              <w:rPr>
                <w:rFonts w:asciiTheme="minorHAnsi" w:hAnsiTheme="minorHAnsi"/>
                <w:sz w:val="20"/>
                <w:szCs w:val="20"/>
              </w:rPr>
            </w:pPr>
            <w:r w:rsidRPr="00BF7E4B">
              <w:rPr>
                <w:rFonts w:asciiTheme="minorHAnsi" w:hAnsiTheme="minorHAnsi"/>
                <w:sz w:val="20"/>
                <w:szCs w:val="20"/>
              </w:rPr>
              <w:t>Mandated by NHVR Intergovernmental Agreement (IGA)</w:t>
            </w:r>
          </w:p>
        </w:tc>
      </w:tr>
    </w:tbl>
    <w:p w:rsidR="00674391" w:rsidRPr="00CF7294" w:rsidRDefault="00674391" w:rsidP="00AB24F2">
      <w:pPr>
        <w:rPr>
          <w:rFonts w:ascii="Arial" w:hAnsi="Arial" w:cs="Arial"/>
        </w:rPr>
      </w:pPr>
    </w:p>
    <w:p w:rsidR="00674391" w:rsidRDefault="00674391" w:rsidP="00AB24F2">
      <w:pPr>
        <w:rPr>
          <w:rFonts w:ascii="Arial" w:hAnsi="Arial" w:cs="Arial"/>
        </w:rPr>
      </w:pPr>
      <w:r w:rsidRPr="00CF7294">
        <w:rPr>
          <w:rFonts w:ascii="Arial" w:hAnsi="Arial" w:cs="Arial"/>
        </w:rPr>
        <w:t>The RIS recommended the removal of over-recovery from the heavy vehicle charges model that meant the industry had been over-taxed since 2007. This was called option A.  Option A would update the heavy vehicle population figures and heavy vehicle infrastructure impact figures in the seven year PayGo charges model.</w:t>
      </w:r>
    </w:p>
    <w:p w:rsidR="00125D74" w:rsidRDefault="00125D74" w:rsidP="00AB24F2">
      <w:pPr>
        <w:rPr>
          <w:rFonts w:ascii="Arial" w:hAnsi="Arial" w:cs="Arial"/>
        </w:rPr>
      </w:pPr>
    </w:p>
    <w:p w:rsidR="00125D74" w:rsidRPr="00125D74" w:rsidRDefault="00125D74" w:rsidP="00125D74">
      <w:pPr>
        <w:rPr>
          <w:rFonts w:ascii="Arial" w:hAnsi="Arial" w:cs="Arial"/>
        </w:rPr>
      </w:pPr>
      <w:r>
        <w:rPr>
          <w:rFonts w:ascii="Arial" w:hAnsi="Arial" w:cs="Arial"/>
        </w:rPr>
        <w:t xml:space="preserve">The ATA supported </w:t>
      </w:r>
      <w:r w:rsidRPr="00125D74">
        <w:rPr>
          <w:rFonts w:ascii="Arial" w:hAnsi="Arial" w:cs="Arial"/>
        </w:rPr>
        <w:t xml:space="preserve">option </w:t>
      </w:r>
      <w:proofErr w:type="gramStart"/>
      <w:r w:rsidRPr="00125D74">
        <w:rPr>
          <w:rFonts w:ascii="Arial" w:hAnsi="Arial" w:cs="Arial"/>
        </w:rPr>
        <w:t>A</w:t>
      </w:r>
      <w:proofErr w:type="gramEnd"/>
      <w:r w:rsidRPr="00125D74">
        <w:rPr>
          <w:rFonts w:ascii="Arial" w:hAnsi="Arial" w:cs="Arial"/>
        </w:rPr>
        <w:t xml:space="preserve"> be</w:t>
      </w:r>
      <w:r>
        <w:rPr>
          <w:rFonts w:ascii="Arial" w:hAnsi="Arial" w:cs="Arial"/>
        </w:rPr>
        <w:t>ing</w:t>
      </w:r>
      <w:r w:rsidRPr="00125D74">
        <w:rPr>
          <w:rFonts w:ascii="Arial" w:hAnsi="Arial" w:cs="Arial"/>
        </w:rPr>
        <w:t xml:space="preserve"> implemented by 1 July 2014, moving to Option B on 1 July 2015 given government timeframes for implementing the road user charge revenue redistribution necessary with option B.   </w:t>
      </w:r>
    </w:p>
    <w:p w:rsidR="00125D74" w:rsidRPr="00CF7294" w:rsidRDefault="00125D74" w:rsidP="00AB24F2">
      <w:pPr>
        <w:rPr>
          <w:rFonts w:ascii="Arial" w:hAnsi="Arial" w:cs="Arial"/>
        </w:rPr>
      </w:pPr>
    </w:p>
    <w:p w:rsidR="00674391" w:rsidRPr="00CF7294" w:rsidRDefault="00674391" w:rsidP="00AB24F2">
      <w:pPr>
        <w:rPr>
          <w:rFonts w:ascii="Arial" w:hAnsi="Arial" w:cs="Arial"/>
        </w:rPr>
      </w:pPr>
    </w:p>
    <w:p w:rsidR="00954EAA" w:rsidRDefault="00E34FE2" w:rsidP="00AB24F2">
      <w:pPr>
        <w:rPr>
          <w:rFonts w:ascii="Arial" w:hAnsi="Arial" w:cs="Arial"/>
        </w:rPr>
      </w:pPr>
      <w:r>
        <w:rPr>
          <w:rFonts w:ascii="Arial" w:hAnsi="Arial" w:cs="Arial"/>
        </w:rPr>
        <w:t>However, t</w:t>
      </w:r>
      <w:r w:rsidR="00674391" w:rsidRPr="00CF7294">
        <w:rPr>
          <w:rFonts w:ascii="Arial" w:hAnsi="Arial" w:cs="Arial"/>
        </w:rPr>
        <w:t>ransport ministers did not agree to the NTC recommendation</w:t>
      </w:r>
      <w:r>
        <w:rPr>
          <w:rFonts w:ascii="Arial" w:hAnsi="Arial" w:cs="Arial"/>
        </w:rPr>
        <w:t xml:space="preserve"> being implemented in 2014 and delayed the implementation of Option A until 1 July 2016.</w:t>
      </w:r>
    </w:p>
    <w:p w:rsidR="00954EAA" w:rsidRPr="00CF7294" w:rsidRDefault="00954EAA" w:rsidP="00AB24F2">
      <w:pPr>
        <w:rPr>
          <w:rFonts w:ascii="Arial" w:hAnsi="Arial" w:cs="Arial"/>
        </w:rPr>
      </w:pPr>
    </w:p>
    <w:p w:rsidR="00674391" w:rsidRPr="00CF7294" w:rsidRDefault="00674391" w:rsidP="00AB24F2">
      <w:pPr>
        <w:rPr>
          <w:rFonts w:ascii="Arial" w:hAnsi="Arial" w:cs="Arial"/>
        </w:rPr>
      </w:pPr>
      <w:r w:rsidRPr="00CF7294">
        <w:rPr>
          <w:rFonts w:ascii="Arial" w:hAnsi="Arial" w:cs="Arial"/>
        </w:rPr>
        <w:t>Becaus</w:t>
      </w:r>
      <w:r w:rsidR="00E34FE2">
        <w:rPr>
          <w:rFonts w:ascii="Arial" w:hAnsi="Arial" w:cs="Arial"/>
        </w:rPr>
        <w:t>e of the</w:t>
      </w:r>
      <w:r w:rsidR="00040877">
        <w:rPr>
          <w:rFonts w:ascii="Arial" w:hAnsi="Arial" w:cs="Arial"/>
        </w:rPr>
        <w:t xml:space="preserve"> decision</w:t>
      </w:r>
      <w:r w:rsidR="00E34FE2">
        <w:rPr>
          <w:rFonts w:ascii="Arial" w:hAnsi="Arial" w:cs="Arial"/>
        </w:rPr>
        <w:t xml:space="preserve"> to delay implementation</w:t>
      </w:r>
      <w:r w:rsidR="00040877">
        <w:rPr>
          <w:rFonts w:ascii="Arial" w:hAnsi="Arial" w:cs="Arial"/>
        </w:rPr>
        <w:t>, in 2014-2015</w:t>
      </w:r>
      <w:r w:rsidRPr="00CF7294">
        <w:rPr>
          <w:rFonts w:ascii="Arial" w:hAnsi="Arial" w:cs="Arial"/>
        </w:rPr>
        <w:t xml:space="preserve"> the heavy vehicle industry </w:t>
      </w:r>
      <w:r w:rsidR="00E34FE2">
        <w:rPr>
          <w:rFonts w:ascii="Arial" w:hAnsi="Arial" w:cs="Arial"/>
        </w:rPr>
        <w:t>was</w:t>
      </w:r>
      <w:r w:rsidRPr="00CF7294">
        <w:rPr>
          <w:rFonts w:ascii="Arial" w:hAnsi="Arial" w:cs="Arial"/>
        </w:rPr>
        <w:t xml:space="preserve"> overcharged by over $200 million according to National Transport Commission figures in registration charges and fuel excise.</w:t>
      </w:r>
      <w:r w:rsidRPr="00CF7294">
        <w:rPr>
          <w:rFonts w:ascii="Arial" w:hAnsi="Arial" w:cs="Arial"/>
          <w:vertAlign w:val="superscript"/>
        </w:rPr>
        <w:footnoteReference w:id="18"/>
      </w:r>
      <w:r w:rsidRPr="00CF7294">
        <w:rPr>
          <w:rFonts w:ascii="Arial" w:hAnsi="Arial" w:cs="Arial"/>
        </w:rPr>
        <w:t xml:space="preserve"> The Australian Government acknowledged the over-recovery and decided to not raise the road user charge in 2014-15.</w:t>
      </w:r>
    </w:p>
    <w:p w:rsidR="00674391" w:rsidRPr="00CF7294" w:rsidRDefault="00674391" w:rsidP="00AB24F2">
      <w:pPr>
        <w:rPr>
          <w:rFonts w:ascii="Arial" w:hAnsi="Arial" w:cs="Arial"/>
        </w:rPr>
      </w:pPr>
    </w:p>
    <w:p w:rsidR="00E92E57" w:rsidRPr="00CF7294" w:rsidRDefault="00E92E57" w:rsidP="00AB24F2">
      <w:pPr>
        <w:rPr>
          <w:rFonts w:ascii="Arial" w:hAnsi="Arial" w:cs="Arial"/>
        </w:rPr>
      </w:pPr>
      <w:r w:rsidRPr="00CF7294">
        <w:rPr>
          <w:rFonts w:ascii="Arial" w:hAnsi="Arial" w:cs="Arial"/>
        </w:rPr>
        <w:t xml:space="preserve">This year the NTC </w:t>
      </w:r>
      <w:r w:rsidR="00040877">
        <w:rPr>
          <w:rFonts w:ascii="Arial" w:hAnsi="Arial" w:cs="Arial"/>
        </w:rPr>
        <w:t>has</w:t>
      </w:r>
      <w:r w:rsidRPr="00CF7294">
        <w:rPr>
          <w:rFonts w:ascii="Arial" w:hAnsi="Arial" w:cs="Arial"/>
        </w:rPr>
        <w:t xml:space="preserve"> recommended a 0.6 per cent increase in heavy vehicle charges, using the discredited and outdated model. This increase will result in a $117 million over-recovery from the heavy vehicle industry in 2015-16, as calculated by the ATA.</w:t>
      </w:r>
    </w:p>
    <w:p w:rsidR="00E92E57" w:rsidRPr="00CF7294" w:rsidRDefault="00E92E57" w:rsidP="00AB24F2">
      <w:pPr>
        <w:rPr>
          <w:rFonts w:ascii="Arial" w:hAnsi="Arial" w:cs="Arial"/>
        </w:rPr>
      </w:pPr>
    </w:p>
    <w:p w:rsidR="00674391" w:rsidRPr="00CF7294" w:rsidRDefault="00E92E57" w:rsidP="00AB24F2">
      <w:pPr>
        <w:rPr>
          <w:rFonts w:ascii="Arial" w:hAnsi="Arial" w:cs="Arial"/>
        </w:rPr>
      </w:pPr>
      <w:r w:rsidRPr="00CF7294">
        <w:rPr>
          <w:rFonts w:ascii="Arial" w:hAnsi="Arial" w:cs="Arial"/>
        </w:rPr>
        <w:t xml:space="preserve">This over-charging will continue until transport ministers do the right thing and implement the NTC recommended changes.  </w:t>
      </w:r>
      <w:r w:rsidR="00674391" w:rsidRPr="00CF7294">
        <w:rPr>
          <w:rFonts w:ascii="Arial" w:hAnsi="Arial" w:cs="Arial"/>
        </w:rPr>
        <w:t xml:space="preserve">The burden of unfair increased taxes </w:t>
      </w:r>
      <w:r w:rsidR="000C340A">
        <w:rPr>
          <w:rFonts w:ascii="Arial" w:hAnsi="Arial" w:cs="Arial"/>
        </w:rPr>
        <w:t>a</w:t>
      </w:r>
      <w:r w:rsidR="00674391" w:rsidRPr="00CF7294">
        <w:rPr>
          <w:rFonts w:ascii="Arial" w:hAnsi="Arial" w:cs="Arial"/>
        </w:rPr>
        <w:t>ffects the competitiveness of the freight industry and Australia as a whole. The charges the heavy vehicle industry pays should be calculated and charged correctly.</w:t>
      </w:r>
    </w:p>
    <w:p w:rsidR="00E86F46" w:rsidRPr="00CF7294" w:rsidRDefault="00E86F46" w:rsidP="00AB24F2">
      <w:pPr>
        <w:rPr>
          <w:rFonts w:ascii="Arial" w:hAnsi="Arial" w:cs="Arial"/>
        </w:rPr>
      </w:pPr>
    </w:p>
    <w:p w:rsidR="00E86F46" w:rsidRPr="00CF7294" w:rsidRDefault="00700B1F" w:rsidP="00AB24F2">
      <w:pPr>
        <w:rPr>
          <w:rFonts w:ascii="Arial" w:hAnsi="Arial" w:cs="Arial"/>
          <w:b/>
        </w:rPr>
      </w:pPr>
      <w:r>
        <w:rPr>
          <w:rFonts w:ascii="Arial" w:hAnsi="Arial" w:cs="Arial"/>
          <w:b/>
        </w:rPr>
        <w:t>Recommendation 5</w:t>
      </w:r>
    </w:p>
    <w:p w:rsidR="00BC31F1" w:rsidRDefault="00BC31F1" w:rsidP="00AB24F2">
      <w:pPr>
        <w:pStyle w:val="NormalWeb"/>
        <w:spacing w:before="0" w:beforeAutospacing="0" w:after="0" w:afterAutospacing="0"/>
        <w:rPr>
          <w:rFonts w:ascii="Arial" w:hAnsi="Arial" w:cs="Arial"/>
          <w:sz w:val="22"/>
        </w:rPr>
      </w:pPr>
    </w:p>
    <w:p w:rsidR="00954EAA" w:rsidRDefault="00BC31F1" w:rsidP="00AB24F2">
      <w:pPr>
        <w:pStyle w:val="NormalWeb"/>
        <w:spacing w:before="0" w:beforeAutospacing="0" w:after="0" w:afterAutospacing="0"/>
        <w:rPr>
          <w:rFonts w:ascii="Arial" w:hAnsi="Arial" w:cs="Arial"/>
          <w:sz w:val="22"/>
        </w:rPr>
      </w:pPr>
      <w:r w:rsidRPr="00BC31F1">
        <w:rPr>
          <w:rFonts w:ascii="Arial" w:hAnsi="Arial" w:cs="Arial"/>
          <w:sz w:val="22"/>
        </w:rPr>
        <w:t>The Government should support heavy vehicle charging option A, as set out in the NTC 2014 Heavy Vehicle Charges Determination RIS. The option should be implemented from 1 July 2016.</w:t>
      </w:r>
      <w:r w:rsidR="00E34FE2">
        <w:rPr>
          <w:rFonts w:ascii="Arial" w:hAnsi="Arial" w:cs="Arial"/>
          <w:sz w:val="22"/>
        </w:rPr>
        <w:t xml:space="preserve"> The Government should then consider implementing Option B once state and Commonwealth </w:t>
      </w:r>
      <w:r w:rsidR="00E34FE2" w:rsidRPr="00E34FE2">
        <w:rPr>
          <w:rFonts w:ascii="Arial" w:hAnsi="Arial" w:cs="Arial"/>
          <w:sz w:val="22"/>
        </w:rPr>
        <w:t>revenue redistribution</w:t>
      </w:r>
      <w:r w:rsidR="00E34FE2">
        <w:rPr>
          <w:rFonts w:ascii="Arial" w:hAnsi="Arial" w:cs="Arial"/>
          <w:sz w:val="22"/>
        </w:rPr>
        <w:t xml:space="preserve"> is agreed by ministers. </w:t>
      </w:r>
    </w:p>
    <w:p w:rsidR="007B68B7" w:rsidRDefault="007B68B7" w:rsidP="00AB24F2">
      <w:pPr>
        <w:pStyle w:val="NormalWeb"/>
        <w:spacing w:before="0" w:beforeAutospacing="0" w:after="0" w:afterAutospacing="0"/>
        <w:rPr>
          <w:rFonts w:ascii="Arial" w:hAnsi="Arial" w:cs="Arial"/>
          <w:iCs/>
          <w:sz w:val="22"/>
          <w:szCs w:val="22"/>
        </w:rPr>
      </w:pPr>
    </w:p>
    <w:p w:rsidR="005446EF" w:rsidRPr="00CF7294" w:rsidRDefault="005446EF" w:rsidP="00AB24F2">
      <w:pPr>
        <w:pStyle w:val="NormalWeb"/>
        <w:spacing w:before="0" w:beforeAutospacing="0" w:after="0" w:afterAutospacing="0"/>
        <w:rPr>
          <w:rFonts w:ascii="Arial" w:hAnsi="Arial" w:cs="Arial"/>
          <w:iCs/>
          <w:sz w:val="22"/>
          <w:szCs w:val="22"/>
        </w:rPr>
      </w:pPr>
    </w:p>
    <w:p w:rsidR="00E92E57" w:rsidRPr="00CF7294" w:rsidRDefault="00E34FE2" w:rsidP="00E34FE2">
      <w:pPr>
        <w:pStyle w:val="Heading1"/>
        <w:numPr>
          <w:ilvl w:val="0"/>
          <w:numId w:val="0"/>
        </w:numPr>
        <w:rPr>
          <w:szCs w:val="22"/>
        </w:rPr>
      </w:pPr>
      <w:bookmarkStart w:id="11" w:name="_Toc420051873"/>
      <w:r>
        <w:rPr>
          <w:szCs w:val="22"/>
        </w:rPr>
        <w:t xml:space="preserve">5. </w:t>
      </w:r>
      <w:r w:rsidR="00E92E57" w:rsidRPr="00CF7294">
        <w:rPr>
          <w:szCs w:val="22"/>
        </w:rPr>
        <w:t>Ensuring competitive neutrality between the government and the industry</w:t>
      </w:r>
      <w:bookmarkEnd w:id="11"/>
    </w:p>
    <w:p w:rsidR="004B47A1" w:rsidRPr="00CF7294" w:rsidRDefault="004B47A1" w:rsidP="00AB24F2">
      <w:pPr>
        <w:shd w:val="clear" w:color="auto" w:fill="FFFFFF"/>
        <w:spacing w:before="100" w:beforeAutospacing="1" w:after="100" w:afterAutospacing="1" w:line="279" w:lineRule="atLeast"/>
        <w:rPr>
          <w:rFonts w:ascii="Arial" w:eastAsia="Times New Roman" w:hAnsi="Arial" w:cs="Arial"/>
          <w:lang w:eastAsia="en-AU"/>
        </w:rPr>
      </w:pPr>
      <w:r w:rsidRPr="00CF7294">
        <w:rPr>
          <w:rFonts w:ascii="Arial" w:eastAsia="Times New Roman" w:hAnsi="Arial" w:cs="Arial"/>
          <w:lang w:eastAsia="en-AU"/>
        </w:rPr>
        <w:t xml:space="preserve">The competition paper makes a strong argument that competitive neutrality between government run businesses and private enterprise should be adhered to: </w:t>
      </w:r>
    </w:p>
    <w:p w:rsidR="004B47A1" w:rsidRPr="00CF7294" w:rsidRDefault="004B47A1" w:rsidP="00F711CA">
      <w:pPr>
        <w:shd w:val="clear" w:color="auto" w:fill="FFFFFF"/>
        <w:spacing w:before="100" w:beforeAutospacing="1" w:after="100" w:afterAutospacing="1" w:line="279" w:lineRule="atLeast"/>
        <w:ind w:left="720" w:right="720"/>
        <w:rPr>
          <w:rFonts w:ascii="Arial" w:hAnsi="Arial" w:cs="Arial"/>
        </w:rPr>
      </w:pPr>
      <w:r w:rsidRPr="00CF7294">
        <w:rPr>
          <w:rFonts w:ascii="Arial" w:hAnsi="Arial" w:cs="Arial"/>
        </w:rPr>
        <w:t xml:space="preserve">Governments compete with the private sector in a variety of markets. If governments enjoy undue advantage relative to other players, this can result in them having lower costs than private sector competitors. Government ownership can result in undue advantage if one or more of the following apply to their business activities: </w:t>
      </w:r>
    </w:p>
    <w:p w:rsidR="004B47A1" w:rsidRPr="00415CCB" w:rsidRDefault="004B47A1" w:rsidP="00F711CA">
      <w:pPr>
        <w:pStyle w:val="ListParagraph"/>
        <w:numPr>
          <w:ilvl w:val="0"/>
          <w:numId w:val="16"/>
        </w:numPr>
        <w:shd w:val="clear" w:color="auto" w:fill="FFFFFF"/>
        <w:spacing w:line="279" w:lineRule="atLeast"/>
        <w:ind w:right="1077"/>
        <w:rPr>
          <w:rFonts w:ascii="Arial" w:hAnsi="Arial" w:cs="Arial"/>
        </w:rPr>
      </w:pPr>
      <w:r w:rsidRPr="00415CCB">
        <w:rPr>
          <w:rFonts w:ascii="Arial" w:hAnsi="Arial" w:cs="Arial"/>
        </w:rPr>
        <w:t>tax exemptions or concessions (for example, relating to income tax, payro</w:t>
      </w:r>
      <w:r w:rsidR="00700B1F">
        <w:rPr>
          <w:rFonts w:ascii="Arial" w:hAnsi="Arial" w:cs="Arial"/>
        </w:rPr>
        <w:t>ll tax, land tax or stamp duty)</w:t>
      </w:r>
    </w:p>
    <w:p w:rsidR="004B47A1" w:rsidRPr="00415CCB" w:rsidRDefault="004B47A1" w:rsidP="00F711CA">
      <w:pPr>
        <w:pStyle w:val="ListParagraph"/>
        <w:numPr>
          <w:ilvl w:val="0"/>
          <w:numId w:val="16"/>
        </w:numPr>
        <w:shd w:val="clear" w:color="auto" w:fill="FFFFFF"/>
        <w:spacing w:line="279" w:lineRule="atLeast"/>
        <w:ind w:right="1077"/>
        <w:rPr>
          <w:rFonts w:ascii="Arial" w:hAnsi="Arial" w:cs="Arial"/>
        </w:rPr>
      </w:pPr>
      <w:r w:rsidRPr="00415CCB">
        <w:rPr>
          <w:rFonts w:ascii="Arial" w:hAnsi="Arial" w:cs="Arial"/>
        </w:rPr>
        <w:t>cheaper debt financing reflecting the lo</w:t>
      </w:r>
      <w:r w:rsidR="00700B1F">
        <w:rPr>
          <w:rFonts w:ascii="Arial" w:hAnsi="Arial" w:cs="Arial"/>
        </w:rPr>
        <w:t>wer credit risk of governments</w:t>
      </w:r>
    </w:p>
    <w:p w:rsidR="004B47A1" w:rsidRPr="00415CCB" w:rsidRDefault="004B47A1" w:rsidP="00F711CA">
      <w:pPr>
        <w:pStyle w:val="ListParagraph"/>
        <w:numPr>
          <w:ilvl w:val="0"/>
          <w:numId w:val="16"/>
        </w:numPr>
        <w:shd w:val="clear" w:color="auto" w:fill="FFFFFF"/>
        <w:spacing w:line="279" w:lineRule="atLeast"/>
        <w:ind w:right="1077"/>
        <w:rPr>
          <w:rFonts w:ascii="Arial" w:hAnsi="Arial" w:cs="Arial"/>
        </w:rPr>
      </w:pPr>
      <w:r w:rsidRPr="00415CCB">
        <w:rPr>
          <w:rFonts w:ascii="Arial" w:hAnsi="Arial" w:cs="Arial"/>
        </w:rPr>
        <w:t>the absence of a requirement to ear</w:t>
      </w:r>
      <w:r w:rsidR="00700B1F">
        <w:rPr>
          <w:rFonts w:ascii="Arial" w:hAnsi="Arial" w:cs="Arial"/>
        </w:rPr>
        <w:t>n a commercial return on assets</w:t>
      </w:r>
      <w:r w:rsidRPr="00415CCB">
        <w:rPr>
          <w:rFonts w:ascii="Arial" w:hAnsi="Arial" w:cs="Arial"/>
        </w:rPr>
        <w:t xml:space="preserve"> </w:t>
      </w:r>
    </w:p>
    <w:p w:rsidR="004B47A1" w:rsidRPr="00415CCB" w:rsidRDefault="004B47A1" w:rsidP="00F711CA">
      <w:pPr>
        <w:pStyle w:val="ListParagraph"/>
        <w:numPr>
          <w:ilvl w:val="0"/>
          <w:numId w:val="16"/>
        </w:numPr>
        <w:shd w:val="clear" w:color="auto" w:fill="FFFFFF"/>
        <w:spacing w:line="279" w:lineRule="atLeast"/>
        <w:ind w:right="1077"/>
        <w:rPr>
          <w:rFonts w:ascii="Arial" w:eastAsia="Times New Roman" w:hAnsi="Arial" w:cs="Arial"/>
          <w:lang w:eastAsia="en-AU"/>
        </w:rPr>
      </w:pPr>
      <w:proofErr w:type="gramStart"/>
      <w:r w:rsidRPr="00415CCB">
        <w:rPr>
          <w:rFonts w:ascii="Arial" w:hAnsi="Arial" w:cs="Arial"/>
        </w:rPr>
        <w:t>exemptions</w:t>
      </w:r>
      <w:proofErr w:type="gramEnd"/>
      <w:r w:rsidRPr="00415CCB">
        <w:rPr>
          <w:rFonts w:ascii="Arial" w:hAnsi="Arial" w:cs="Arial"/>
        </w:rPr>
        <w:t xml:space="preserve"> from regulatory constraints or costs</w:t>
      </w:r>
      <w:r w:rsidR="00700B1F">
        <w:rPr>
          <w:rFonts w:ascii="Arial" w:hAnsi="Arial" w:cs="Arial"/>
        </w:rPr>
        <w:t>.</w:t>
      </w:r>
      <w:r w:rsidR="00A12F39">
        <w:rPr>
          <w:rStyle w:val="FootnoteReference"/>
          <w:rFonts w:ascii="Arial" w:hAnsi="Arial"/>
        </w:rPr>
        <w:footnoteReference w:id="19"/>
      </w:r>
    </w:p>
    <w:p w:rsidR="006018E0" w:rsidRDefault="007518D6" w:rsidP="00F711CA">
      <w:pPr>
        <w:shd w:val="clear" w:color="auto" w:fill="FFFFFF"/>
        <w:spacing w:before="100" w:beforeAutospacing="1" w:after="100" w:afterAutospacing="1" w:line="279" w:lineRule="atLeast"/>
        <w:rPr>
          <w:rFonts w:ascii="Arial" w:eastAsia="Times New Roman" w:hAnsi="Arial" w:cs="Arial"/>
          <w:lang w:eastAsia="en-AU"/>
        </w:rPr>
      </w:pPr>
      <w:r w:rsidRPr="00CF7294">
        <w:rPr>
          <w:rFonts w:ascii="Arial" w:eastAsia="Times New Roman" w:hAnsi="Arial" w:cs="Arial"/>
          <w:lang w:eastAsia="en-AU"/>
        </w:rPr>
        <w:t xml:space="preserve">Currently, </w:t>
      </w:r>
      <w:r w:rsidR="006D3095" w:rsidRPr="00CF7294">
        <w:rPr>
          <w:rFonts w:ascii="Arial" w:eastAsia="Times New Roman" w:hAnsi="Arial" w:cs="Arial"/>
          <w:lang w:eastAsia="en-AU"/>
        </w:rPr>
        <w:t xml:space="preserve">heavy vehicle businesses can become members of accreditation schemes for business management and access regulatory benefits. </w:t>
      </w:r>
      <w:r w:rsidR="00127725" w:rsidRPr="00CF7294">
        <w:rPr>
          <w:rFonts w:ascii="Arial" w:eastAsia="Times New Roman" w:hAnsi="Arial" w:cs="Arial"/>
          <w:lang w:eastAsia="en-AU"/>
        </w:rPr>
        <w:t>They have a range of choices to which accreditation</w:t>
      </w:r>
      <w:r w:rsidR="00E34FE2">
        <w:rPr>
          <w:rFonts w:ascii="Arial" w:eastAsia="Times New Roman" w:hAnsi="Arial" w:cs="Arial"/>
          <w:lang w:eastAsia="en-AU"/>
        </w:rPr>
        <w:t xml:space="preserve"> system they want to implement:</w:t>
      </w:r>
    </w:p>
    <w:p w:rsidR="00F711CA" w:rsidRDefault="00F711CA" w:rsidP="00F711CA">
      <w:pPr>
        <w:shd w:val="clear" w:color="auto" w:fill="FFFFFF"/>
        <w:spacing w:before="100" w:beforeAutospacing="1" w:after="100" w:afterAutospacing="1" w:line="279" w:lineRule="atLeast"/>
        <w:rPr>
          <w:rFonts w:ascii="Arial" w:eastAsia="Times New Roman" w:hAnsi="Arial" w:cs="Arial"/>
          <w:lang w:eastAsia="en-AU"/>
        </w:rPr>
      </w:pPr>
    </w:p>
    <w:p w:rsidR="00F711CA" w:rsidRDefault="00F711CA" w:rsidP="00F711CA">
      <w:pPr>
        <w:shd w:val="clear" w:color="auto" w:fill="FFFFFF"/>
        <w:spacing w:before="100" w:beforeAutospacing="1" w:after="100" w:afterAutospacing="1" w:line="279" w:lineRule="atLeast"/>
        <w:rPr>
          <w:rFonts w:ascii="Arial" w:eastAsia="Times New Roman" w:hAnsi="Arial" w:cs="Arial"/>
          <w:lang w:eastAsia="en-AU"/>
        </w:rPr>
      </w:pPr>
    </w:p>
    <w:p w:rsidR="00C6625F" w:rsidRPr="00CF7294" w:rsidRDefault="000C340A" w:rsidP="00AB24F2">
      <w:pPr>
        <w:shd w:val="clear" w:color="auto" w:fill="FFFFFF"/>
        <w:spacing w:before="100" w:beforeAutospacing="1" w:after="100" w:afterAutospacing="1" w:line="279" w:lineRule="atLeast"/>
        <w:rPr>
          <w:rFonts w:ascii="Arial" w:eastAsia="Times New Roman" w:hAnsi="Arial" w:cs="Arial"/>
          <w:lang w:eastAsia="en-AU"/>
        </w:rPr>
      </w:pPr>
      <w:r>
        <w:rPr>
          <w:rFonts w:ascii="Arial" w:eastAsia="Times New Roman" w:hAnsi="Arial" w:cs="Arial"/>
          <w:lang w:eastAsia="en-AU"/>
        </w:rPr>
        <w:lastRenderedPageBreak/>
        <w:t>There are t</w:t>
      </w:r>
      <w:r w:rsidR="00D21E78" w:rsidRPr="00CF7294">
        <w:rPr>
          <w:rFonts w:ascii="Arial" w:eastAsia="Times New Roman" w:hAnsi="Arial" w:cs="Arial"/>
          <w:lang w:eastAsia="en-AU"/>
        </w:rPr>
        <w:t>wo</w:t>
      </w:r>
      <w:r w:rsidR="00127725" w:rsidRPr="00CF7294">
        <w:rPr>
          <w:rFonts w:ascii="Arial" w:eastAsia="Times New Roman" w:hAnsi="Arial" w:cs="Arial"/>
          <w:lang w:eastAsia="en-AU"/>
        </w:rPr>
        <w:t xml:space="preserve"> industry accreditation systems: </w:t>
      </w:r>
    </w:p>
    <w:p w:rsidR="00127725" w:rsidRPr="000C340A" w:rsidRDefault="00127725" w:rsidP="00AB24F2">
      <w:pPr>
        <w:shd w:val="clear" w:color="auto" w:fill="FFFFFF"/>
        <w:spacing w:before="100" w:beforeAutospacing="1" w:after="100" w:afterAutospacing="1" w:line="279" w:lineRule="atLeast"/>
        <w:rPr>
          <w:rFonts w:ascii="Arial" w:eastAsia="Times New Roman" w:hAnsi="Arial" w:cs="Arial"/>
          <w:i/>
          <w:lang w:eastAsia="en-AU"/>
        </w:rPr>
      </w:pPr>
      <w:r w:rsidRPr="000C340A">
        <w:rPr>
          <w:rFonts w:ascii="Arial" w:eastAsia="Times New Roman" w:hAnsi="Arial" w:cs="Arial"/>
          <w:i/>
          <w:lang w:eastAsia="en-AU"/>
        </w:rPr>
        <w:t>TruckSafe</w:t>
      </w:r>
    </w:p>
    <w:p w:rsidR="00127725" w:rsidRPr="00CF7294" w:rsidRDefault="00127725" w:rsidP="00AB24F2">
      <w:pPr>
        <w:pStyle w:val="ListParagraph"/>
        <w:numPr>
          <w:ilvl w:val="0"/>
          <w:numId w:val="10"/>
        </w:numPr>
        <w:shd w:val="clear" w:color="auto" w:fill="FFFFFF"/>
        <w:spacing w:before="100" w:beforeAutospacing="1" w:after="100" w:afterAutospacing="1" w:line="279" w:lineRule="atLeast"/>
        <w:rPr>
          <w:rFonts w:ascii="Arial" w:eastAsia="Times New Roman" w:hAnsi="Arial" w:cs="Arial"/>
          <w:lang w:eastAsia="en-AU"/>
        </w:rPr>
      </w:pPr>
      <w:r w:rsidRPr="00CF7294">
        <w:rPr>
          <w:rFonts w:ascii="Arial" w:hAnsi="Arial" w:cs="Arial"/>
          <w:color w:val="000000"/>
          <w:shd w:val="clear" w:color="auto" w:fill="FFFFFF"/>
        </w:rPr>
        <w:t xml:space="preserve">A business and risk management system that is aimed at improving the safety and professionalism of trucking operators nationwide. </w:t>
      </w:r>
    </w:p>
    <w:p w:rsidR="00127725" w:rsidRPr="00CF7294" w:rsidRDefault="00D63575" w:rsidP="00AB24F2">
      <w:pPr>
        <w:pStyle w:val="ListParagraph"/>
        <w:numPr>
          <w:ilvl w:val="0"/>
          <w:numId w:val="10"/>
        </w:numPr>
        <w:shd w:val="clear" w:color="auto" w:fill="FFFFFF"/>
        <w:spacing w:before="100" w:beforeAutospacing="1" w:after="100" w:afterAutospacing="1" w:line="279" w:lineRule="atLeast"/>
        <w:rPr>
          <w:rFonts w:ascii="Arial" w:eastAsia="Times New Roman" w:hAnsi="Arial" w:cs="Arial"/>
          <w:lang w:eastAsia="en-AU"/>
        </w:rPr>
      </w:pPr>
      <w:r w:rsidRPr="00CF7294">
        <w:rPr>
          <w:rFonts w:ascii="Arial" w:hAnsi="Arial" w:cs="Arial"/>
          <w:color w:val="000000"/>
          <w:shd w:val="clear" w:color="auto" w:fill="FFFFFF"/>
        </w:rPr>
        <w:t>Operators are audited through a third party auditor</w:t>
      </w:r>
      <w:r w:rsidR="00127725" w:rsidRPr="00CF7294">
        <w:rPr>
          <w:rFonts w:ascii="Arial" w:hAnsi="Arial" w:cs="Arial"/>
          <w:color w:val="000000"/>
          <w:shd w:val="clear" w:color="auto" w:fill="FFFFFF"/>
        </w:rPr>
        <w:t>.</w:t>
      </w:r>
    </w:p>
    <w:p w:rsidR="00127725" w:rsidRPr="00CF7294" w:rsidRDefault="00127725" w:rsidP="00AB24F2">
      <w:pPr>
        <w:pStyle w:val="ListParagraph"/>
        <w:numPr>
          <w:ilvl w:val="0"/>
          <w:numId w:val="10"/>
        </w:numPr>
        <w:shd w:val="clear" w:color="auto" w:fill="FFFFFF"/>
        <w:spacing w:before="100" w:beforeAutospacing="1" w:after="100" w:afterAutospacing="1" w:line="279" w:lineRule="atLeast"/>
        <w:rPr>
          <w:rFonts w:ascii="Arial" w:eastAsia="Times New Roman" w:hAnsi="Arial" w:cs="Arial"/>
          <w:lang w:eastAsia="en-AU"/>
        </w:rPr>
      </w:pPr>
      <w:r w:rsidRPr="00CF7294">
        <w:rPr>
          <w:rFonts w:ascii="Arial" w:hAnsi="Arial" w:cs="Arial"/>
          <w:color w:val="000000"/>
          <w:shd w:val="clear" w:color="auto" w:fill="FFFFFF"/>
        </w:rPr>
        <w:t>Members are bound by the TruckSafe Code of Conduct.</w:t>
      </w:r>
    </w:p>
    <w:p w:rsidR="00127725" w:rsidRPr="000C340A" w:rsidRDefault="00127725" w:rsidP="00AB24F2">
      <w:pPr>
        <w:shd w:val="clear" w:color="auto" w:fill="FFFFFF"/>
        <w:spacing w:before="100" w:beforeAutospacing="1" w:after="100" w:afterAutospacing="1" w:line="279" w:lineRule="atLeast"/>
        <w:rPr>
          <w:rFonts w:ascii="Arial" w:eastAsia="Times New Roman" w:hAnsi="Arial" w:cs="Arial"/>
          <w:i/>
          <w:lang w:eastAsia="en-AU"/>
        </w:rPr>
      </w:pPr>
      <w:r w:rsidRPr="000C340A">
        <w:rPr>
          <w:rFonts w:ascii="Arial" w:eastAsia="Times New Roman" w:hAnsi="Arial" w:cs="Arial"/>
          <w:i/>
          <w:lang w:eastAsia="en-AU"/>
        </w:rPr>
        <w:t xml:space="preserve">ALC </w:t>
      </w:r>
      <w:r w:rsidR="005C71A3" w:rsidRPr="000C340A">
        <w:rPr>
          <w:rFonts w:ascii="Arial" w:eastAsia="Times New Roman" w:hAnsi="Arial" w:cs="Arial"/>
          <w:i/>
          <w:lang w:eastAsia="en-AU"/>
        </w:rPr>
        <w:t>National logistics safety code</w:t>
      </w:r>
      <w:r w:rsidR="00D21E78" w:rsidRPr="000C340A">
        <w:rPr>
          <w:rFonts w:ascii="Arial" w:eastAsia="Times New Roman" w:hAnsi="Arial" w:cs="Arial"/>
          <w:i/>
          <w:lang w:eastAsia="en-AU"/>
        </w:rPr>
        <w:t xml:space="preserve"> (</w:t>
      </w:r>
      <w:proofErr w:type="spellStart"/>
      <w:r w:rsidR="00D21E78" w:rsidRPr="000C340A">
        <w:rPr>
          <w:rFonts w:ascii="Arial" w:eastAsia="Times New Roman" w:hAnsi="Arial" w:cs="Arial"/>
          <w:i/>
          <w:lang w:eastAsia="en-AU"/>
        </w:rPr>
        <w:t>NLSC</w:t>
      </w:r>
      <w:proofErr w:type="spellEnd"/>
      <w:r w:rsidR="00D21E78" w:rsidRPr="000C340A">
        <w:rPr>
          <w:rFonts w:ascii="Arial" w:eastAsia="Times New Roman" w:hAnsi="Arial" w:cs="Arial"/>
          <w:i/>
          <w:lang w:eastAsia="en-AU"/>
        </w:rPr>
        <w:t>)</w:t>
      </w:r>
    </w:p>
    <w:p w:rsidR="005C71A3" w:rsidRPr="00CF7294" w:rsidRDefault="00D63575" w:rsidP="00AB24F2">
      <w:pPr>
        <w:pStyle w:val="ListParagraph"/>
        <w:numPr>
          <w:ilvl w:val="0"/>
          <w:numId w:val="11"/>
        </w:numPr>
        <w:shd w:val="clear" w:color="auto" w:fill="FFFFFF"/>
        <w:spacing w:before="100" w:beforeAutospacing="1" w:after="100" w:afterAutospacing="1" w:line="279" w:lineRule="atLeast"/>
        <w:rPr>
          <w:rFonts w:ascii="Arial" w:eastAsia="Times New Roman" w:hAnsi="Arial" w:cs="Arial"/>
          <w:lang w:eastAsia="en-AU"/>
        </w:rPr>
      </w:pPr>
      <w:r w:rsidRPr="00CF7294">
        <w:rPr>
          <w:rFonts w:ascii="Arial" w:eastAsia="Times New Roman" w:hAnsi="Arial" w:cs="Arial"/>
          <w:lang w:eastAsia="en-AU"/>
        </w:rPr>
        <w:t xml:space="preserve">An </w:t>
      </w:r>
      <w:r w:rsidR="000C340A">
        <w:rPr>
          <w:rFonts w:ascii="Arial" w:eastAsia="Times New Roman" w:hAnsi="Arial" w:cs="Arial"/>
          <w:lang w:eastAsia="en-AU"/>
        </w:rPr>
        <w:t>industry based c</w:t>
      </w:r>
      <w:r w:rsidR="005C71A3" w:rsidRPr="00CF7294">
        <w:rPr>
          <w:rFonts w:ascii="Arial" w:eastAsia="Times New Roman" w:hAnsi="Arial" w:cs="Arial"/>
          <w:lang w:eastAsia="en-AU"/>
        </w:rPr>
        <w:t>ode setting out clearly all participant’s responsibilities when they control or influence the movement of freight in the supply chain, particularly road transport laws and OH&amp;S legislation.</w:t>
      </w:r>
    </w:p>
    <w:p w:rsidR="00627DE0" w:rsidRPr="00C6625F" w:rsidRDefault="00D63575" w:rsidP="00AB24F2">
      <w:pPr>
        <w:pStyle w:val="ListParagraph"/>
        <w:numPr>
          <w:ilvl w:val="0"/>
          <w:numId w:val="11"/>
        </w:numPr>
        <w:shd w:val="clear" w:color="auto" w:fill="FFFFFF"/>
        <w:spacing w:before="100" w:beforeAutospacing="1" w:after="100" w:afterAutospacing="1" w:line="279" w:lineRule="atLeast"/>
        <w:rPr>
          <w:rFonts w:ascii="Arial" w:eastAsia="Times New Roman" w:hAnsi="Arial" w:cs="Arial"/>
          <w:lang w:eastAsia="en-AU"/>
        </w:rPr>
      </w:pPr>
      <w:r w:rsidRPr="00CF7294">
        <w:rPr>
          <w:rFonts w:ascii="Arial" w:hAnsi="Arial" w:cs="Arial"/>
          <w:color w:val="000000"/>
          <w:shd w:val="clear" w:color="auto" w:fill="FFFFFF"/>
        </w:rPr>
        <w:t xml:space="preserve">Operators are audited </w:t>
      </w:r>
      <w:r w:rsidRPr="00627DE0">
        <w:rPr>
          <w:rFonts w:ascii="Arial" w:hAnsi="Arial" w:cs="Arial"/>
          <w:color w:val="000000"/>
          <w:shd w:val="clear" w:color="auto" w:fill="FFFFFF"/>
        </w:rPr>
        <w:t>through a third party auditor.</w:t>
      </w:r>
    </w:p>
    <w:p w:rsidR="00954EAA" w:rsidRPr="00CF7294" w:rsidRDefault="000C340A" w:rsidP="00AB24F2">
      <w:pPr>
        <w:shd w:val="clear" w:color="auto" w:fill="FFFFFF"/>
        <w:spacing w:before="100" w:beforeAutospacing="1" w:after="100" w:afterAutospacing="1" w:line="279" w:lineRule="atLeast"/>
        <w:rPr>
          <w:rFonts w:ascii="Arial" w:eastAsia="Times New Roman" w:hAnsi="Arial" w:cs="Arial"/>
          <w:lang w:eastAsia="en-AU"/>
        </w:rPr>
      </w:pPr>
      <w:r>
        <w:rPr>
          <w:rFonts w:ascii="Arial" w:eastAsia="Times New Roman" w:hAnsi="Arial" w:cs="Arial"/>
          <w:lang w:eastAsia="en-AU"/>
        </w:rPr>
        <w:t>And two</w:t>
      </w:r>
      <w:r w:rsidR="00D21E78" w:rsidRPr="00CF7294">
        <w:rPr>
          <w:rFonts w:ascii="Arial" w:eastAsia="Times New Roman" w:hAnsi="Arial" w:cs="Arial"/>
          <w:lang w:eastAsia="en-AU"/>
        </w:rPr>
        <w:t xml:space="preserve"> Government accreditation system</w:t>
      </w:r>
      <w:r>
        <w:rPr>
          <w:rFonts w:ascii="Arial" w:eastAsia="Times New Roman" w:hAnsi="Arial" w:cs="Arial"/>
          <w:lang w:eastAsia="en-AU"/>
        </w:rPr>
        <w:t>s</w:t>
      </w:r>
      <w:r w:rsidR="006018E0">
        <w:rPr>
          <w:rFonts w:ascii="Arial" w:eastAsia="Times New Roman" w:hAnsi="Arial" w:cs="Arial"/>
          <w:lang w:eastAsia="en-AU"/>
        </w:rPr>
        <w:t>:</w:t>
      </w:r>
      <w:r w:rsidR="00D21E78" w:rsidRPr="00CF7294">
        <w:rPr>
          <w:rFonts w:ascii="Arial" w:eastAsia="Times New Roman" w:hAnsi="Arial" w:cs="Arial"/>
          <w:lang w:eastAsia="en-AU"/>
        </w:rPr>
        <w:t xml:space="preserve"> </w:t>
      </w:r>
    </w:p>
    <w:p w:rsidR="005C71A3" w:rsidRPr="000C340A" w:rsidRDefault="005C71A3" w:rsidP="00AB24F2">
      <w:pPr>
        <w:shd w:val="clear" w:color="auto" w:fill="FFFFFF"/>
        <w:spacing w:before="100" w:beforeAutospacing="1" w:after="100" w:afterAutospacing="1" w:line="279" w:lineRule="atLeast"/>
        <w:rPr>
          <w:rFonts w:ascii="Arial" w:eastAsia="Times New Roman" w:hAnsi="Arial" w:cs="Arial"/>
          <w:i/>
          <w:lang w:eastAsia="en-AU"/>
        </w:rPr>
      </w:pPr>
      <w:r w:rsidRPr="000C340A">
        <w:rPr>
          <w:rFonts w:ascii="Arial" w:eastAsia="Times New Roman" w:hAnsi="Arial" w:cs="Arial"/>
          <w:i/>
          <w:lang w:eastAsia="en-AU"/>
        </w:rPr>
        <w:t>N</w:t>
      </w:r>
      <w:r w:rsidR="00C561F1" w:rsidRPr="000C340A">
        <w:rPr>
          <w:rFonts w:ascii="Arial" w:eastAsia="Times New Roman" w:hAnsi="Arial" w:cs="Arial"/>
          <w:i/>
          <w:lang w:eastAsia="en-AU"/>
        </w:rPr>
        <w:t xml:space="preserve">ational </w:t>
      </w:r>
      <w:r w:rsidRPr="000C340A">
        <w:rPr>
          <w:rFonts w:ascii="Arial" w:eastAsia="Times New Roman" w:hAnsi="Arial" w:cs="Arial"/>
          <w:i/>
          <w:lang w:eastAsia="en-AU"/>
        </w:rPr>
        <w:t>H</w:t>
      </w:r>
      <w:r w:rsidR="00C561F1" w:rsidRPr="000C340A">
        <w:rPr>
          <w:rFonts w:ascii="Arial" w:eastAsia="Times New Roman" w:hAnsi="Arial" w:cs="Arial"/>
          <w:i/>
          <w:lang w:eastAsia="en-AU"/>
        </w:rPr>
        <w:t xml:space="preserve">eavy </w:t>
      </w:r>
      <w:r w:rsidRPr="000C340A">
        <w:rPr>
          <w:rFonts w:ascii="Arial" w:eastAsia="Times New Roman" w:hAnsi="Arial" w:cs="Arial"/>
          <w:i/>
          <w:lang w:eastAsia="en-AU"/>
        </w:rPr>
        <w:t>V</w:t>
      </w:r>
      <w:r w:rsidR="00C561F1" w:rsidRPr="000C340A">
        <w:rPr>
          <w:rFonts w:ascii="Arial" w:eastAsia="Times New Roman" w:hAnsi="Arial" w:cs="Arial"/>
          <w:i/>
          <w:lang w:eastAsia="en-AU"/>
        </w:rPr>
        <w:t xml:space="preserve">ehicle Accreditation </w:t>
      </w:r>
      <w:r w:rsidRPr="000C340A">
        <w:rPr>
          <w:rFonts w:ascii="Arial" w:eastAsia="Times New Roman" w:hAnsi="Arial" w:cs="Arial"/>
          <w:i/>
          <w:lang w:eastAsia="en-AU"/>
        </w:rPr>
        <w:t>S</w:t>
      </w:r>
      <w:r w:rsidR="00C561F1" w:rsidRPr="000C340A">
        <w:rPr>
          <w:rFonts w:ascii="Arial" w:eastAsia="Times New Roman" w:hAnsi="Arial" w:cs="Arial"/>
          <w:i/>
          <w:lang w:eastAsia="en-AU"/>
        </w:rPr>
        <w:t>cheme (NHVAS)</w:t>
      </w:r>
      <w:r w:rsidRPr="000C340A">
        <w:rPr>
          <w:rFonts w:ascii="Arial" w:eastAsia="Times New Roman" w:hAnsi="Arial" w:cs="Arial"/>
          <w:i/>
          <w:lang w:eastAsia="en-AU"/>
        </w:rPr>
        <w:t xml:space="preserve"> </w:t>
      </w:r>
    </w:p>
    <w:p w:rsidR="00D21E78" w:rsidRPr="00CF7294" w:rsidRDefault="00D21E78" w:rsidP="00AB24F2">
      <w:pPr>
        <w:pStyle w:val="ListParagraph"/>
        <w:numPr>
          <w:ilvl w:val="0"/>
          <w:numId w:val="11"/>
        </w:numPr>
        <w:shd w:val="clear" w:color="auto" w:fill="FFFFFF"/>
        <w:spacing w:before="100" w:beforeAutospacing="1" w:after="100" w:afterAutospacing="1" w:line="279" w:lineRule="atLeast"/>
        <w:rPr>
          <w:rFonts w:ascii="Arial" w:eastAsia="Times New Roman" w:hAnsi="Arial" w:cs="Arial"/>
          <w:lang w:eastAsia="en-AU"/>
        </w:rPr>
      </w:pPr>
      <w:r w:rsidRPr="00CF7294">
        <w:rPr>
          <w:rFonts w:ascii="Arial" w:eastAsia="Times New Roman" w:hAnsi="Arial" w:cs="Arial"/>
          <w:lang w:eastAsia="en-AU"/>
        </w:rPr>
        <w:t>A Management system for Mass Management, Maintenance Management, Fatigue Management: Basic Fatigue Management (BFM) and Advanced Fatigue Management (AFM)</w:t>
      </w:r>
    </w:p>
    <w:p w:rsidR="006D3095" w:rsidRPr="00CF7294" w:rsidRDefault="00D21E78" w:rsidP="00AB24F2">
      <w:pPr>
        <w:pStyle w:val="ListParagraph"/>
        <w:numPr>
          <w:ilvl w:val="0"/>
          <w:numId w:val="11"/>
        </w:numPr>
        <w:shd w:val="clear" w:color="auto" w:fill="FFFFFF"/>
        <w:spacing w:before="100" w:beforeAutospacing="1" w:after="100" w:afterAutospacing="1" w:line="279" w:lineRule="atLeast"/>
        <w:rPr>
          <w:rFonts w:ascii="Arial" w:eastAsia="Times New Roman" w:hAnsi="Arial" w:cs="Arial"/>
          <w:lang w:eastAsia="en-AU"/>
        </w:rPr>
      </w:pPr>
      <w:r w:rsidRPr="00CF7294">
        <w:rPr>
          <w:rFonts w:ascii="Arial" w:eastAsia="Times New Roman" w:hAnsi="Arial" w:cs="Arial"/>
          <w:lang w:eastAsia="en-AU"/>
        </w:rPr>
        <w:t xml:space="preserve">Operators can select auditors. </w:t>
      </w:r>
    </w:p>
    <w:p w:rsidR="00D21E78" w:rsidRDefault="00D21E78" w:rsidP="00AB24F2">
      <w:pPr>
        <w:pStyle w:val="ListParagraph"/>
        <w:numPr>
          <w:ilvl w:val="0"/>
          <w:numId w:val="11"/>
        </w:numPr>
        <w:shd w:val="clear" w:color="auto" w:fill="FFFFFF"/>
        <w:spacing w:before="100" w:beforeAutospacing="1" w:after="100" w:afterAutospacing="1" w:line="279" w:lineRule="atLeast"/>
        <w:rPr>
          <w:rFonts w:ascii="Arial" w:eastAsia="Times New Roman" w:hAnsi="Arial" w:cs="Arial"/>
          <w:lang w:eastAsia="en-AU"/>
        </w:rPr>
      </w:pPr>
      <w:r w:rsidRPr="00CF7294">
        <w:rPr>
          <w:rFonts w:ascii="Arial" w:eastAsia="Times New Roman" w:hAnsi="Arial" w:cs="Arial"/>
          <w:lang w:eastAsia="en-AU"/>
        </w:rPr>
        <w:t>Rewards operators with regulatory benefits</w:t>
      </w:r>
      <w:r w:rsidR="00D63575" w:rsidRPr="00CF7294">
        <w:rPr>
          <w:rFonts w:ascii="Arial" w:eastAsia="Times New Roman" w:hAnsi="Arial" w:cs="Arial"/>
          <w:lang w:eastAsia="en-AU"/>
        </w:rPr>
        <w:t xml:space="preserve"> (increased mass limits</w:t>
      </w:r>
      <w:r w:rsidR="00415CCB">
        <w:rPr>
          <w:rFonts w:ascii="Arial" w:eastAsia="Times New Roman" w:hAnsi="Arial" w:cs="Arial"/>
          <w:lang w:eastAsia="en-AU"/>
        </w:rPr>
        <w:t>, in some states an exemption from period</w:t>
      </w:r>
      <w:r w:rsidR="00C561F1">
        <w:rPr>
          <w:rFonts w:ascii="Arial" w:eastAsia="Times New Roman" w:hAnsi="Arial" w:cs="Arial"/>
          <w:lang w:eastAsia="en-AU"/>
        </w:rPr>
        <w:t>ic</w:t>
      </w:r>
      <w:r w:rsidR="00415CCB">
        <w:rPr>
          <w:rFonts w:ascii="Arial" w:eastAsia="Times New Roman" w:hAnsi="Arial" w:cs="Arial"/>
          <w:lang w:eastAsia="en-AU"/>
        </w:rPr>
        <w:t xml:space="preserve"> r</w:t>
      </w:r>
      <w:r w:rsidR="00C561F1">
        <w:rPr>
          <w:rFonts w:ascii="Arial" w:eastAsia="Times New Roman" w:hAnsi="Arial" w:cs="Arial"/>
          <w:lang w:eastAsia="en-AU"/>
        </w:rPr>
        <w:t>oadworthiness inspections and lo</w:t>
      </w:r>
      <w:r w:rsidR="00415CCB">
        <w:rPr>
          <w:rFonts w:ascii="Arial" w:eastAsia="Times New Roman" w:hAnsi="Arial" w:cs="Arial"/>
          <w:lang w:eastAsia="en-AU"/>
        </w:rPr>
        <w:t>nger work hours</w:t>
      </w:r>
      <w:r w:rsidR="00D63575" w:rsidRPr="00CF7294">
        <w:rPr>
          <w:rFonts w:ascii="Arial" w:eastAsia="Times New Roman" w:hAnsi="Arial" w:cs="Arial"/>
          <w:lang w:eastAsia="en-AU"/>
        </w:rPr>
        <w:t>)</w:t>
      </w:r>
      <w:r w:rsidR="00415CCB">
        <w:rPr>
          <w:rFonts w:ascii="Arial" w:eastAsia="Times New Roman" w:hAnsi="Arial" w:cs="Arial"/>
          <w:lang w:eastAsia="en-AU"/>
        </w:rPr>
        <w:t xml:space="preserve"> that</w:t>
      </w:r>
      <w:r w:rsidRPr="00CF7294">
        <w:rPr>
          <w:rFonts w:ascii="Arial" w:eastAsia="Times New Roman" w:hAnsi="Arial" w:cs="Arial"/>
          <w:lang w:eastAsia="en-AU"/>
        </w:rPr>
        <w:t xml:space="preserve"> operators in TruckSafe and the </w:t>
      </w:r>
      <w:proofErr w:type="spellStart"/>
      <w:r w:rsidRPr="00CF7294">
        <w:rPr>
          <w:rFonts w:ascii="Arial" w:eastAsia="Times New Roman" w:hAnsi="Arial" w:cs="Arial"/>
          <w:lang w:eastAsia="en-AU"/>
        </w:rPr>
        <w:t>NLSC</w:t>
      </w:r>
      <w:proofErr w:type="spellEnd"/>
      <w:r w:rsidRPr="00CF7294">
        <w:rPr>
          <w:rFonts w:ascii="Arial" w:eastAsia="Times New Roman" w:hAnsi="Arial" w:cs="Arial"/>
          <w:lang w:eastAsia="en-AU"/>
        </w:rPr>
        <w:t xml:space="preserve"> cannot access. </w:t>
      </w:r>
    </w:p>
    <w:p w:rsidR="000C340A" w:rsidRPr="00577C80" w:rsidRDefault="000C340A" w:rsidP="006C02E3">
      <w:pPr>
        <w:shd w:val="clear" w:color="auto" w:fill="FFFFFF"/>
        <w:spacing w:before="100" w:beforeAutospacing="1" w:after="100" w:afterAutospacing="1" w:line="279" w:lineRule="atLeast"/>
        <w:rPr>
          <w:rFonts w:ascii="Arial" w:eastAsia="Times New Roman" w:hAnsi="Arial" w:cs="Arial"/>
          <w:i/>
          <w:lang w:eastAsia="en-AU"/>
        </w:rPr>
      </w:pPr>
      <w:r w:rsidRPr="00577C80">
        <w:rPr>
          <w:rFonts w:ascii="Arial" w:eastAsia="Times New Roman" w:hAnsi="Arial" w:cs="Arial"/>
          <w:i/>
          <w:lang w:eastAsia="en-AU"/>
        </w:rPr>
        <w:t>Western Australian Heavy Vehicle Accreditation Scheme (</w:t>
      </w:r>
      <w:proofErr w:type="spellStart"/>
      <w:r w:rsidRPr="00577C80">
        <w:rPr>
          <w:rFonts w:ascii="Arial" w:eastAsia="Times New Roman" w:hAnsi="Arial" w:cs="Arial"/>
          <w:i/>
          <w:lang w:eastAsia="en-AU"/>
        </w:rPr>
        <w:t>WAHVAS</w:t>
      </w:r>
      <w:proofErr w:type="spellEnd"/>
      <w:r w:rsidRPr="00577C80">
        <w:rPr>
          <w:rFonts w:ascii="Arial" w:eastAsia="Times New Roman" w:hAnsi="Arial" w:cs="Arial"/>
          <w:i/>
          <w:lang w:eastAsia="en-AU"/>
        </w:rPr>
        <w:t xml:space="preserve">) </w:t>
      </w:r>
    </w:p>
    <w:p w:rsidR="000C340A" w:rsidRDefault="00577C80" w:rsidP="006C02E3">
      <w:pPr>
        <w:pStyle w:val="ListParagraph"/>
        <w:numPr>
          <w:ilvl w:val="0"/>
          <w:numId w:val="19"/>
        </w:numPr>
        <w:shd w:val="clear" w:color="auto" w:fill="FFFFFF"/>
        <w:spacing w:before="100" w:beforeAutospacing="1" w:after="100" w:afterAutospacing="1" w:line="279" w:lineRule="atLeast"/>
        <w:rPr>
          <w:rFonts w:ascii="Arial" w:eastAsia="Times New Roman" w:hAnsi="Arial" w:cs="Arial"/>
          <w:lang w:eastAsia="en-AU"/>
        </w:rPr>
      </w:pPr>
      <w:r>
        <w:rPr>
          <w:rFonts w:ascii="Arial" w:eastAsia="Times New Roman" w:hAnsi="Arial" w:cs="Arial"/>
          <w:lang w:eastAsia="en-AU"/>
        </w:rPr>
        <w:t xml:space="preserve">A fatigue and vehicle maintenance accreditation system relevant to WA operators. </w:t>
      </w:r>
    </w:p>
    <w:p w:rsidR="00577C80" w:rsidRPr="00577C80" w:rsidRDefault="00577C80" w:rsidP="006C02E3">
      <w:pPr>
        <w:pStyle w:val="ListParagraph"/>
        <w:numPr>
          <w:ilvl w:val="0"/>
          <w:numId w:val="19"/>
        </w:numPr>
        <w:shd w:val="clear" w:color="auto" w:fill="FFFFFF"/>
        <w:spacing w:before="100" w:beforeAutospacing="1" w:after="100" w:afterAutospacing="1" w:line="279" w:lineRule="atLeast"/>
        <w:rPr>
          <w:rFonts w:ascii="Arial" w:eastAsia="Times New Roman" w:hAnsi="Arial" w:cs="Arial"/>
          <w:lang w:eastAsia="en-AU"/>
        </w:rPr>
      </w:pPr>
      <w:r>
        <w:rPr>
          <w:rFonts w:ascii="Arial" w:eastAsia="Times New Roman" w:hAnsi="Arial" w:cs="Arial"/>
          <w:lang w:eastAsia="en-AU"/>
        </w:rPr>
        <w:t xml:space="preserve">Mandatory for certain classes of operators who: </w:t>
      </w:r>
    </w:p>
    <w:p w:rsidR="0050677F" w:rsidRPr="0050677F" w:rsidRDefault="0050677F" w:rsidP="006C02E3">
      <w:pPr>
        <w:pStyle w:val="ListParagraph"/>
        <w:numPr>
          <w:ilvl w:val="0"/>
          <w:numId w:val="20"/>
        </w:numPr>
        <w:shd w:val="clear" w:color="auto" w:fill="FFFFFF"/>
        <w:spacing w:before="100" w:beforeAutospacing="1" w:after="100" w:afterAutospacing="1" w:line="279" w:lineRule="atLeast"/>
        <w:rPr>
          <w:rFonts w:ascii="Arial" w:eastAsia="Times New Roman" w:hAnsi="Arial" w:cs="Arial"/>
          <w:lang w:eastAsia="en-AU"/>
        </w:rPr>
      </w:pPr>
      <w:r>
        <w:rPr>
          <w:rFonts w:ascii="Arial" w:hAnsi="Arial" w:cs="Arial"/>
        </w:rPr>
        <w:t>o</w:t>
      </w:r>
      <w:r w:rsidRPr="0050677F">
        <w:rPr>
          <w:rFonts w:ascii="Arial" w:hAnsi="Arial" w:cs="Arial"/>
        </w:rPr>
        <w:t>perate a vehicle or combination with a gross vehicle mass (GVM) exceeding 8 tonnes</w:t>
      </w:r>
      <w:r>
        <w:rPr>
          <w:rFonts w:ascii="Arial" w:hAnsi="Arial" w:cs="Arial"/>
        </w:rPr>
        <w:t xml:space="preserve"> or,</w:t>
      </w:r>
    </w:p>
    <w:p w:rsidR="00577C80" w:rsidRPr="00577C80" w:rsidRDefault="0050677F" w:rsidP="006C02E3">
      <w:pPr>
        <w:pStyle w:val="ListParagraph"/>
        <w:numPr>
          <w:ilvl w:val="0"/>
          <w:numId w:val="20"/>
        </w:numPr>
        <w:shd w:val="clear" w:color="auto" w:fill="FFFFFF"/>
        <w:spacing w:before="100" w:beforeAutospacing="1" w:after="100" w:afterAutospacing="1" w:line="279" w:lineRule="atLeast"/>
        <w:rPr>
          <w:rFonts w:ascii="Arial" w:eastAsia="Times New Roman" w:hAnsi="Arial" w:cs="Arial"/>
          <w:lang w:eastAsia="en-AU"/>
        </w:rPr>
      </w:pPr>
      <w:r>
        <w:rPr>
          <w:rFonts w:ascii="Arial" w:hAnsi="Arial" w:cs="Arial"/>
        </w:rPr>
        <w:t>o</w:t>
      </w:r>
      <w:r w:rsidR="00577C80" w:rsidRPr="00577C80">
        <w:rPr>
          <w:rFonts w:ascii="Arial" w:hAnsi="Arial" w:cs="Arial"/>
        </w:rPr>
        <w:t>perate B-Double or</w:t>
      </w:r>
      <w:r>
        <w:rPr>
          <w:rFonts w:ascii="Arial" w:hAnsi="Arial" w:cs="Arial"/>
        </w:rPr>
        <w:t xml:space="preserve"> Road Train Configurations or,</w:t>
      </w:r>
      <w:r w:rsidR="00577C80" w:rsidRPr="00577C80">
        <w:rPr>
          <w:rFonts w:ascii="Arial" w:hAnsi="Arial" w:cs="Arial"/>
        </w:rPr>
        <w:t xml:space="preserve"> </w:t>
      </w:r>
    </w:p>
    <w:p w:rsidR="00577C80" w:rsidRPr="00577C80" w:rsidRDefault="0050677F" w:rsidP="006C02E3">
      <w:pPr>
        <w:pStyle w:val="ListParagraph"/>
        <w:numPr>
          <w:ilvl w:val="0"/>
          <w:numId w:val="20"/>
        </w:numPr>
        <w:shd w:val="clear" w:color="auto" w:fill="FFFFFF"/>
        <w:spacing w:before="100" w:beforeAutospacing="1" w:after="100" w:afterAutospacing="1" w:line="279" w:lineRule="atLeast"/>
        <w:rPr>
          <w:rFonts w:ascii="Arial" w:eastAsia="Times New Roman" w:hAnsi="Arial" w:cs="Arial"/>
          <w:lang w:eastAsia="en-AU"/>
        </w:rPr>
      </w:pPr>
      <w:r>
        <w:rPr>
          <w:rFonts w:ascii="Arial" w:hAnsi="Arial" w:cs="Arial"/>
        </w:rPr>
        <w:t>o</w:t>
      </w:r>
      <w:r w:rsidR="00577C80" w:rsidRPr="00577C80">
        <w:rPr>
          <w:rFonts w:ascii="Arial" w:hAnsi="Arial" w:cs="Arial"/>
        </w:rPr>
        <w:t>perate Truck &amp; Trailer combinations ov</w:t>
      </w:r>
      <w:r>
        <w:rPr>
          <w:rFonts w:ascii="Arial" w:hAnsi="Arial" w:cs="Arial"/>
        </w:rPr>
        <w:t>er 42.5 tonnes gross mass or,</w:t>
      </w:r>
      <w:r w:rsidR="00577C80" w:rsidRPr="00577C80">
        <w:rPr>
          <w:rFonts w:ascii="Arial" w:hAnsi="Arial" w:cs="Arial"/>
        </w:rPr>
        <w:t xml:space="preserve"> </w:t>
      </w:r>
    </w:p>
    <w:p w:rsidR="00577C80" w:rsidRPr="00577C80" w:rsidRDefault="0050677F" w:rsidP="006C02E3">
      <w:pPr>
        <w:pStyle w:val="ListParagraph"/>
        <w:numPr>
          <w:ilvl w:val="0"/>
          <w:numId w:val="20"/>
        </w:numPr>
        <w:shd w:val="clear" w:color="auto" w:fill="FFFFFF"/>
        <w:spacing w:before="100" w:beforeAutospacing="1" w:after="100" w:afterAutospacing="1" w:line="279" w:lineRule="atLeast"/>
        <w:rPr>
          <w:rFonts w:ascii="Arial" w:eastAsia="Times New Roman" w:hAnsi="Arial" w:cs="Arial"/>
          <w:lang w:eastAsia="en-AU"/>
        </w:rPr>
      </w:pPr>
      <w:r>
        <w:rPr>
          <w:rFonts w:ascii="Arial" w:hAnsi="Arial" w:cs="Arial"/>
        </w:rPr>
        <w:t>r</w:t>
      </w:r>
      <w:r w:rsidR="00577C80" w:rsidRPr="00577C80">
        <w:rPr>
          <w:rFonts w:ascii="Arial" w:hAnsi="Arial" w:cs="Arial"/>
        </w:rPr>
        <w:t xml:space="preserve">equire more than four single trips (oversize or </w:t>
      </w:r>
      <w:proofErr w:type="spellStart"/>
      <w:r w:rsidR="00577C80" w:rsidRPr="00577C80">
        <w:rPr>
          <w:rFonts w:ascii="Arial" w:hAnsi="Arial" w:cs="Arial"/>
        </w:rPr>
        <w:t>overmass</w:t>
      </w:r>
      <w:proofErr w:type="spellEnd"/>
      <w:r w:rsidR="00577C80" w:rsidRPr="00577C80">
        <w:rPr>
          <w:rFonts w:ascii="Arial" w:hAnsi="Arial" w:cs="Arial"/>
        </w:rPr>
        <w:t xml:space="preserve">) per calendar year or; </w:t>
      </w:r>
    </w:p>
    <w:p w:rsidR="00577C80" w:rsidRPr="00577C80" w:rsidRDefault="0050677F" w:rsidP="006C02E3">
      <w:pPr>
        <w:pStyle w:val="ListParagraph"/>
        <w:numPr>
          <w:ilvl w:val="0"/>
          <w:numId w:val="20"/>
        </w:numPr>
        <w:shd w:val="clear" w:color="auto" w:fill="FFFFFF"/>
        <w:spacing w:before="100" w:beforeAutospacing="1" w:after="100" w:afterAutospacing="1" w:line="279" w:lineRule="atLeast"/>
        <w:rPr>
          <w:rFonts w:ascii="Arial" w:eastAsia="Times New Roman" w:hAnsi="Arial" w:cs="Arial"/>
          <w:lang w:eastAsia="en-AU"/>
        </w:rPr>
      </w:pPr>
      <w:r>
        <w:rPr>
          <w:rFonts w:ascii="Arial" w:hAnsi="Arial" w:cs="Arial"/>
        </w:rPr>
        <w:t>o</w:t>
      </w:r>
      <w:r w:rsidR="00577C80" w:rsidRPr="00577C80">
        <w:rPr>
          <w:rFonts w:ascii="Arial" w:hAnsi="Arial" w:cs="Arial"/>
        </w:rPr>
        <w:t>perate under c</w:t>
      </w:r>
      <w:r>
        <w:rPr>
          <w:rFonts w:ascii="Arial" w:hAnsi="Arial" w:cs="Arial"/>
        </w:rPr>
        <w:t xml:space="preserve">oncessional loading scheme or; </w:t>
      </w:r>
    </w:p>
    <w:p w:rsidR="00577C80" w:rsidRPr="00577C80" w:rsidRDefault="0050677F" w:rsidP="006C02E3">
      <w:pPr>
        <w:pStyle w:val="ListParagraph"/>
        <w:numPr>
          <w:ilvl w:val="0"/>
          <w:numId w:val="20"/>
        </w:numPr>
        <w:shd w:val="clear" w:color="auto" w:fill="FFFFFF"/>
        <w:spacing w:before="100" w:beforeAutospacing="1" w:after="100" w:afterAutospacing="1" w:line="279" w:lineRule="atLeast"/>
        <w:rPr>
          <w:rFonts w:ascii="Arial" w:eastAsia="Times New Roman" w:hAnsi="Arial" w:cs="Arial"/>
          <w:lang w:eastAsia="en-AU"/>
        </w:rPr>
      </w:pPr>
      <w:r>
        <w:rPr>
          <w:rFonts w:ascii="Arial" w:hAnsi="Arial" w:cs="Arial"/>
        </w:rPr>
        <w:t>r</w:t>
      </w:r>
      <w:r w:rsidR="00577C80" w:rsidRPr="00577C80">
        <w:rPr>
          <w:rFonts w:ascii="Arial" w:hAnsi="Arial" w:cs="Arial"/>
        </w:rPr>
        <w:t>equire an annual Mai</w:t>
      </w:r>
      <w:r>
        <w:rPr>
          <w:rFonts w:ascii="Arial" w:hAnsi="Arial" w:cs="Arial"/>
        </w:rPr>
        <w:t>n Roads Permit or Notice or,</w:t>
      </w:r>
      <w:r w:rsidR="00577C80" w:rsidRPr="00577C80">
        <w:rPr>
          <w:rFonts w:ascii="Arial" w:hAnsi="Arial" w:cs="Arial"/>
        </w:rPr>
        <w:t xml:space="preserve"> </w:t>
      </w:r>
    </w:p>
    <w:p w:rsidR="00577C80" w:rsidRDefault="00577C80" w:rsidP="006C02E3">
      <w:pPr>
        <w:pStyle w:val="ListParagraph"/>
        <w:numPr>
          <w:ilvl w:val="0"/>
          <w:numId w:val="20"/>
        </w:numPr>
        <w:shd w:val="clear" w:color="auto" w:fill="FFFFFF"/>
        <w:spacing w:before="100" w:beforeAutospacing="1" w:after="100" w:afterAutospacing="1" w:line="279" w:lineRule="atLeast"/>
        <w:rPr>
          <w:rFonts w:ascii="Arial" w:eastAsia="Times New Roman" w:hAnsi="Arial" w:cs="Arial"/>
          <w:lang w:eastAsia="en-AU"/>
        </w:rPr>
      </w:pPr>
      <w:proofErr w:type="gramStart"/>
      <w:r w:rsidRPr="00577C80">
        <w:rPr>
          <w:rFonts w:ascii="Arial" w:hAnsi="Arial" w:cs="Arial"/>
        </w:rPr>
        <w:t>perform</w:t>
      </w:r>
      <w:proofErr w:type="gramEnd"/>
      <w:r w:rsidRPr="00577C80">
        <w:rPr>
          <w:rFonts w:ascii="Arial" w:hAnsi="Arial" w:cs="Arial"/>
        </w:rPr>
        <w:t>, transport tasks for hire or reward (If over 8 tonne)</w:t>
      </w:r>
      <w:r>
        <w:rPr>
          <w:rFonts w:ascii="Arial" w:hAnsi="Arial" w:cs="Arial"/>
        </w:rPr>
        <w:t>.</w:t>
      </w:r>
      <w:r w:rsidRPr="00577C80">
        <w:rPr>
          <w:rFonts w:ascii="Arial" w:eastAsia="Times New Roman" w:hAnsi="Arial" w:cs="Arial"/>
          <w:lang w:eastAsia="en-AU"/>
        </w:rPr>
        <w:t xml:space="preserve"> </w:t>
      </w:r>
    </w:p>
    <w:p w:rsidR="000C340A" w:rsidRPr="0050677F" w:rsidRDefault="0050677F" w:rsidP="00016BB7">
      <w:pPr>
        <w:pStyle w:val="ListParagraph"/>
        <w:numPr>
          <w:ilvl w:val="0"/>
          <w:numId w:val="21"/>
        </w:numPr>
        <w:shd w:val="clear" w:color="auto" w:fill="FFFFFF"/>
        <w:spacing w:before="100" w:beforeAutospacing="1" w:after="100" w:afterAutospacing="1" w:line="279" w:lineRule="atLeast"/>
        <w:rPr>
          <w:rFonts w:ascii="Arial" w:eastAsia="Times New Roman" w:hAnsi="Arial" w:cs="Arial"/>
          <w:lang w:eastAsia="en-AU"/>
        </w:rPr>
      </w:pPr>
      <w:r>
        <w:rPr>
          <w:rFonts w:ascii="Arial" w:eastAsia="Times New Roman" w:hAnsi="Arial" w:cs="Arial"/>
          <w:lang w:eastAsia="en-AU"/>
        </w:rPr>
        <w:t xml:space="preserve">Operators can </w:t>
      </w:r>
      <w:r w:rsidR="00AF3FBA">
        <w:rPr>
          <w:rFonts w:ascii="Arial" w:eastAsia="Times New Roman" w:hAnsi="Arial" w:cs="Arial"/>
          <w:lang w:eastAsia="en-AU"/>
        </w:rPr>
        <w:t xml:space="preserve">generally </w:t>
      </w:r>
      <w:r>
        <w:rPr>
          <w:rFonts w:ascii="Arial" w:eastAsia="Times New Roman" w:hAnsi="Arial" w:cs="Arial"/>
          <w:lang w:eastAsia="en-AU"/>
        </w:rPr>
        <w:t>select auditors.</w:t>
      </w:r>
    </w:p>
    <w:p w:rsidR="00D63575" w:rsidRPr="00CF7294" w:rsidRDefault="00D63575" w:rsidP="00AB24F2">
      <w:pPr>
        <w:shd w:val="clear" w:color="auto" w:fill="FFFFFF"/>
        <w:spacing w:before="100" w:beforeAutospacing="1" w:after="100" w:afterAutospacing="1" w:line="279" w:lineRule="atLeast"/>
        <w:rPr>
          <w:rFonts w:ascii="Arial" w:eastAsia="Times New Roman" w:hAnsi="Arial" w:cs="Arial"/>
          <w:lang w:eastAsia="en-AU"/>
        </w:rPr>
      </w:pPr>
      <w:r w:rsidRPr="00CF7294">
        <w:rPr>
          <w:rFonts w:ascii="Arial" w:eastAsia="Times New Roman" w:hAnsi="Arial" w:cs="Arial"/>
          <w:lang w:eastAsia="en-AU"/>
        </w:rPr>
        <w:t xml:space="preserve">The competition paper clearly notes: </w:t>
      </w:r>
    </w:p>
    <w:p w:rsidR="00D63575" w:rsidRPr="00CF7294" w:rsidRDefault="00D63575" w:rsidP="000C340A">
      <w:pPr>
        <w:shd w:val="clear" w:color="auto" w:fill="FFFFFF"/>
        <w:spacing w:before="100" w:beforeAutospacing="1" w:after="100" w:afterAutospacing="1" w:line="279" w:lineRule="atLeast"/>
        <w:ind w:left="720" w:right="720"/>
        <w:rPr>
          <w:rFonts w:ascii="Arial" w:eastAsia="Times New Roman" w:hAnsi="Arial" w:cs="Arial"/>
          <w:lang w:eastAsia="en-AU"/>
        </w:rPr>
      </w:pPr>
      <w:r w:rsidRPr="00CF7294">
        <w:rPr>
          <w:rFonts w:ascii="Arial" w:eastAsia="Times New Roman" w:hAnsi="Arial" w:cs="Arial"/>
          <w:lang w:eastAsia="en-AU"/>
        </w:rPr>
        <w:t>As part of the Competition Principles Agreement (CPA), all Australian governments undertook to apply competition principles to government business activities. The objective of competitive neutrality, as expressed in the CPA is: … the elimination of resource allocation distortions arising out of the public ownership of entities engaged in significant business activities: Government businesses should not enjoy any net competitive advantage simply as a result of their public sector ownership.</w:t>
      </w:r>
      <w:r w:rsidRPr="00CF7294">
        <w:rPr>
          <w:rFonts w:ascii="Arial" w:hAnsi="Arial" w:cs="Arial"/>
          <w:vertAlign w:val="superscript"/>
        </w:rPr>
        <w:t xml:space="preserve"> </w:t>
      </w:r>
      <w:r w:rsidRPr="00CF7294">
        <w:rPr>
          <w:rFonts w:ascii="Arial" w:eastAsia="Times New Roman" w:hAnsi="Arial" w:cs="Arial"/>
          <w:vertAlign w:val="superscript"/>
          <w:lang w:eastAsia="en-AU"/>
        </w:rPr>
        <w:footnoteReference w:id="20"/>
      </w:r>
    </w:p>
    <w:p w:rsidR="00D21E78" w:rsidRPr="00CF7294" w:rsidRDefault="00D63575" w:rsidP="00AB24F2">
      <w:pPr>
        <w:shd w:val="clear" w:color="auto" w:fill="FFFFFF"/>
        <w:spacing w:before="100" w:beforeAutospacing="1" w:after="100" w:afterAutospacing="1" w:line="279" w:lineRule="atLeast"/>
        <w:rPr>
          <w:rFonts w:ascii="Arial" w:eastAsia="Times New Roman" w:hAnsi="Arial" w:cs="Arial"/>
          <w:lang w:eastAsia="en-AU"/>
        </w:rPr>
      </w:pPr>
      <w:r w:rsidRPr="00CF7294">
        <w:rPr>
          <w:rFonts w:ascii="Arial" w:eastAsia="Times New Roman" w:hAnsi="Arial" w:cs="Arial"/>
          <w:lang w:eastAsia="en-AU"/>
        </w:rPr>
        <w:lastRenderedPageBreak/>
        <w:t xml:space="preserve">The NHVAS does not meet the objectives of competitive neutrality as it directly competes </w:t>
      </w:r>
      <w:r w:rsidR="00D51A46" w:rsidRPr="00CF7294">
        <w:rPr>
          <w:rFonts w:ascii="Arial" w:eastAsia="Times New Roman" w:hAnsi="Arial" w:cs="Arial"/>
          <w:lang w:eastAsia="en-AU"/>
        </w:rPr>
        <w:t xml:space="preserve">with private enterprise and also </w:t>
      </w:r>
      <w:r w:rsidR="00C561F1">
        <w:rPr>
          <w:rFonts w:ascii="Arial" w:eastAsia="Times New Roman" w:hAnsi="Arial" w:cs="Arial"/>
          <w:lang w:eastAsia="en-AU"/>
        </w:rPr>
        <w:t>rewards</w:t>
      </w:r>
      <w:r w:rsidR="00D51A46" w:rsidRPr="00CF7294">
        <w:rPr>
          <w:rFonts w:ascii="Arial" w:eastAsia="Times New Roman" w:hAnsi="Arial" w:cs="Arial"/>
          <w:lang w:eastAsia="en-AU"/>
        </w:rPr>
        <w:t xml:space="preserve"> itself regulatory benefits through virtue of being able to set the rules as the regulator. TruckSafe used to be able to provide its accredited operators with the same regulatory benefits but the government stripped this power from TruckSafe to favour NHVAS. </w:t>
      </w:r>
      <w:r w:rsidR="00AD6DB5" w:rsidRPr="00CF7294">
        <w:rPr>
          <w:rFonts w:ascii="Arial" w:eastAsia="Times New Roman" w:hAnsi="Arial" w:cs="Arial"/>
          <w:lang w:eastAsia="en-AU"/>
        </w:rPr>
        <w:t xml:space="preserve"> </w:t>
      </w:r>
      <w:r w:rsidR="00AF69F7" w:rsidRPr="00CF7294">
        <w:rPr>
          <w:rFonts w:ascii="Arial" w:eastAsia="Times New Roman" w:hAnsi="Arial" w:cs="Arial"/>
          <w:lang w:eastAsia="en-AU"/>
        </w:rPr>
        <w:t xml:space="preserve">The impact of this means that operators may have to join multiple accreditation systems to access the mass regulatory benefits offered by NHVAS, leading to additional costs and time spent by operators having multiple audits. </w:t>
      </w:r>
    </w:p>
    <w:p w:rsidR="00CF7294" w:rsidRPr="00CF7294" w:rsidRDefault="00CF7294" w:rsidP="00AB24F2">
      <w:pPr>
        <w:rPr>
          <w:rFonts w:ascii="Arial" w:hAnsi="Arial" w:cs="Arial"/>
        </w:rPr>
      </w:pPr>
      <w:r w:rsidRPr="00CF7294">
        <w:rPr>
          <w:rFonts w:ascii="Arial" w:hAnsi="Arial" w:cs="Arial"/>
        </w:rPr>
        <w:t>TruckSafe accredited vehicles have half the crash rate of non-accredited vehicles, independent research shows.</w:t>
      </w:r>
    </w:p>
    <w:p w:rsidR="00CF7294" w:rsidRPr="00CF7294" w:rsidRDefault="00CF7294" w:rsidP="00AB24F2">
      <w:pPr>
        <w:rPr>
          <w:rFonts w:ascii="Arial" w:hAnsi="Arial" w:cs="Arial"/>
        </w:rPr>
      </w:pPr>
    </w:p>
    <w:p w:rsidR="00E34FE2" w:rsidRPr="00CF7294" w:rsidRDefault="00CF7294" w:rsidP="00AB24F2">
      <w:pPr>
        <w:rPr>
          <w:rFonts w:ascii="Arial" w:hAnsi="Arial" w:cs="Arial"/>
        </w:rPr>
      </w:pPr>
      <w:r w:rsidRPr="00CF7294">
        <w:rPr>
          <w:rFonts w:ascii="Arial" w:hAnsi="Arial" w:cs="Arial"/>
        </w:rPr>
        <w:t>The research, carried out by Austroads in 2008, examined heavy vehicle crash rates for the three year period from 1 January 2003 to 31 December 2005.</w:t>
      </w:r>
      <w:r w:rsidRPr="00CF7294">
        <w:rPr>
          <w:rStyle w:val="FootnoteReference"/>
          <w:rFonts w:ascii="Arial" w:hAnsi="Arial" w:cs="Arial"/>
        </w:rPr>
        <w:footnoteReference w:id="21"/>
      </w:r>
    </w:p>
    <w:p w:rsidR="00CF7294" w:rsidRPr="00CF7294" w:rsidRDefault="00CF7294" w:rsidP="00AB24F2">
      <w:pPr>
        <w:rPr>
          <w:rFonts w:ascii="Arial" w:hAnsi="Arial" w:cs="Arial"/>
        </w:rPr>
      </w:pPr>
    </w:p>
    <w:p w:rsidR="00CF7294" w:rsidRPr="00CF7294" w:rsidRDefault="00CF7294" w:rsidP="00AB24F2">
      <w:pPr>
        <w:rPr>
          <w:rFonts w:ascii="Arial" w:hAnsi="Arial" w:cs="Arial"/>
        </w:rPr>
      </w:pPr>
      <w:r w:rsidRPr="00CF7294">
        <w:rPr>
          <w:rFonts w:ascii="Arial" w:hAnsi="Arial" w:cs="Arial"/>
        </w:rPr>
        <w:t>Table 1 summarises the outcomes of the research.</w:t>
      </w:r>
    </w:p>
    <w:p w:rsidR="00CF7294" w:rsidRPr="00CF7294" w:rsidRDefault="00CF7294" w:rsidP="00AB24F2">
      <w:pPr>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79"/>
        <w:gridCol w:w="2053"/>
        <w:gridCol w:w="2053"/>
        <w:gridCol w:w="2053"/>
      </w:tblGrid>
      <w:tr w:rsidR="00CF7294" w:rsidRPr="00CF7294" w:rsidTr="006248F8">
        <w:tc>
          <w:tcPr>
            <w:tcW w:w="9242" w:type="dxa"/>
            <w:gridSpan w:val="4"/>
            <w:tcBorders>
              <w:top w:val="nil"/>
              <w:left w:val="nil"/>
              <w:bottom w:val="single" w:sz="4" w:space="0" w:color="auto"/>
              <w:right w:val="nil"/>
            </w:tcBorders>
            <w:tcMar>
              <w:top w:w="57" w:type="dxa"/>
              <w:bottom w:w="57" w:type="dxa"/>
            </w:tcMar>
          </w:tcPr>
          <w:p w:rsidR="00CF7294" w:rsidRPr="00CF7294" w:rsidRDefault="00CF7294" w:rsidP="00AB24F2">
            <w:pPr>
              <w:rPr>
                <w:rFonts w:ascii="Arial" w:hAnsi="Arial" w:cs="Arial"/>
                <w:b/>
                <w:sz w:val="20"/>
                <w:szCs w:val="18"/>
              </w:rPr>
            </w:pPr>
            <w:r w:rsidRPr="00CF7294">
              <w:rPr>
                <w:rFonts w:ascii="Arial" w:hAnsi="Arial" w:cs="Arial"/>
                <w:b/>
                <w:sz w:val="20"/>
                <w:szCs w:val="18"/>
              </w:rPr>
              <w:t>Table 1: Crash rates of TruckSafe and non-NHVAS accredited vehicles, 2003-2005</w:t>
            </w:r>
          </w:p>
        </w:tc>
      </w:tr>
      <w:tr w:rsidR="00CF7294" w:rsidRPr="00CF7294" w:rsidTr="006248F8">
        <w:tc>
          <w:tcPr>
            <w:tcW w:w="3335" w:type="dxa"/>
            <w:tcBorders>
              <w:top w:val="single" w:sz="4" w:space="0" w:color="auto"/>
              <w:left w:val="nil"/>
              <w:bottom w:val="nil"/>
              <w:right w:val="nil"/>
            </w:tcBorders>
            <w:tcMar>
              <w:top w:w="57" w:type="dxa"/>
              <w:bottom w:w="57" w:type="dxa"/>
            </w:tcMar>
          </w:tcPr>
          <w:p w:rsidR="00CF7294" w:rsidRPr="00CF7294" w:rsidRDefault="00CF7294" w:rsidP="00AB24F2">
            <w:pPr>
              <w:rPr>
                <w:rFonts w:ascii="Arial" w:hAnsi="Arial" w:cs="Arial"/>
                <w:b/>
                <w:sz w:val="20"/>
                <w:szCs w:val="18"/>
              </w:rPr>
            </w:pPr>
          </w:p>
        </w:tc>
        <w:tc>
          <w:tcPr>
            <w:tcW w:w="1969" w:type="dxa"/>
            <w:tcBorders>
              <w:top w:val="single" w:sz="4" w:space="0" w:color="auto"/>
              <w:left w:val="nil"/>
              <w:bottom w:val="single" w:sz="4" w:space="0" w:color="auto"/>
              <w:right w:val="nil"/>
            </w:tcBorders>
            <w:tcMar>
              <w:top w:w="57" w:type="dxa"/>
              <w:bottom w:w="57" w:type="dxa"/>
            </w:tcMar>
          </w:tcPr>
          <w:p w:rsidR="00CF7294" w:rsidRPr="00CF7294" w:rsidRDefault="00CF7294" w:rsidP="00AB24F2">
            <w:pPr>
              <w:rPr>
                <w:rFonts w:ascii="Arial" w:hAnsi="Arial" w:cs="Arial"/>
                <w:sz w:val="20"/>
                <w:szCs w:val="18"/>
              </w:rPr>
            </w:pPr>
            <w:r w:rsidRPr="00CF7294">
              <w:rPr>
                <w:rFonts w:ascii="Arial" w:hAnsi="Arial" w:cs="Arial"/>
                <w:sz w:val="20"/>
                <w:szCs w:val="18"/>
              </w:rPr>
              <w:t>Crashes</w:t>
            </w:r>
          </w:p>
        </w:tc>
        <w:tc>
          <w:tcPr>
            <w:tcW w:w="1969" w:type="dxa"/>
            <w:tcBorders>
              <w:top w:val="single" w:sz="4" w:space="0" w:color="auto"/>
              <w:left w:val="nil"/>
              <w:bottom w:val="single" w:sz="4" w:space="0" w:color="auto"/>
              <w:right w:val="nil"/>
            </w:tcBorders>
            <w:tcMar>
              <w:top w:w="57" w:type="dxa"/>
              <w:bottom w:w="57" w:type="dxa"/>
            </w:tcMar>
          </w:tcPr>
          <w:p w:rsidR="00CF7294" w:rsidRPr="00CF7294" w:rsidRDefault="00CF7294" w:rsidP="00AB24F2">
            <w:pPr>
              <w:rPr>
                <w:rFonts w:ascii="Arial" w:hAnsi="Arial" w:cs="Arial"/>
                <w:sz w:val="20"/>
                <w:szCs w:val="18"/>
              </w:rPr>
            </w:pPr>
            <w:r w:rsidRPr="00CF7294">
              <w:rPr>
                <w:rFonts w:ascii="Arial" w:hAnsi="Arial" w:cs="Arial"/>
                <w:sz w:val="20"/>
                <w:szCs w:val="18"/>
              </w:rPr>
              <w:t xml:space="preserve">Vehicle </w:t>
            </w:r>
            <w:proofErr w:type="spellStart"/>
            <w:r w:rsidRPr="00CF7294">
              <w:rPr>
                <w:rFonts w:ascii="Arial" w:hAnsi="Arial" w:cs="Arial"/>
                <w:sz w:val="20"/>
                <w:szCs w:val="18"/>
              </w:rPr>
              <w:t>years</w:t>
            </w:r>
            <w:r w:rsidRPr="00CF7294">
              <w:rPr>
                <w:rFonts w:ascii="Arial" w:hAnsi="Arial" w:cs="Arial"/>
                <w:sz w:val="20"/>
                <w:szCs w:val="18"/>
                <w:vertAlign w:val="superscript"/>
              </w:rPr>
              <w:t>1</w:t>
            </w:r>
            <w:proofErr w:type="spellEnd"/>
          </w:p>
        </w:tc>
        <w:tc>
          <w:tcPr>
            <w:tcW w:w="1969" w:type="dxa"/>
            <w:tcBorders>
              <w:top w:val="single" w:sz="4" w:space="0" w:color="auto"/>
              <w:left w:val="nil"/>
              <w:bottom w:val="single" w:sz="4" w:space="0" w:color="auto"/>
              <w:right w:val="nil"/>
            </w:tcBorders>
            <w:tcMar>
              <w:top w:w="57" w:type="dxa"/>
              <w:bottom w:w="57" w:type="dxa"/>
            </w:tcMar>
          </w:tcPr>
          <w:p w:rsidR="00CF7294" w:rsidRPr="00CF7294" w:rsidRDefault="00CF7294" w:rsidP="00AB24F2">
            <w:pPr>
              <w:rPr>
                <w:rFonts w:ascii="Arial" w:hAnsi="Arial" w:cs="Arial"/>
                <w:sz w:val="20"/>
                <w:szCs w:val="18"/>
              </w:rPr>
            </w:pPr>
            <w:r w:rsidRPr="00CF7294">
              <w:rPr>
                <w:rFonts w:ascii="Arial" w:hAnsi="Arial" w:cs="Arial"/>
                <w:sz w:val="20"/>
                <w:szCs w:val="18"/>
              </w:rPr>
              <w:t>Crash rate</w:t>
            </w:r>
          </w:p>
          <w:p w:rsidR="00CF7294" w:rsidRPr="00CF7294" w:rsidRDefault="00CF7294" w:rsidP="00AB24F2">
            <w:pPr>
              <w:rPr>
                <w:rFonts w:ascii="Arial" w:hAnsi="Arial" w:cs="Arial"/>
                <w:sz w:val="20"/>
                <w:szCs w:val="18"/>
              </w:rPr>
            </w:pPr>
            <w:r w:rsidRPr="00CF7294">
              <w:rPr>
                <w:rFonts w:ascii="Arial" w:hAnsi="Arial" w:cs="Arial"/>
                <w:sz w:val="20"/>
                <w:szCs w:val="18"/>
              </w:rPr>
              <w:t>(crashes/</w:t>
            </w:r>
          </w:p>
          <w:p w:rsidR="00CF7294" w:rsidRPr="00CF7294" w:rsidRDefault="00CF7294" w:rsidP="00AB24F2">
            <w:pPr>
              <w:rPr>
                <w:rFonts w:ascii="Arial" w:hAnsi="Arial" w:cs="Arial"/>
                <w:sz w:val="20"/>
                <w:szCs w:val="18"/>
              </w:rPr>
            </w:pPr>
            <w:r w:rsidRPr="00CF7294">
              <w:rPr>
                <w:rFonts w:ascii="Arial" w:hAnsi="Arial" w:cs="Arial"/>
                <w:sz w:val="20"/>
                <w:szCs w:val="18"/>
              </w:rPr>
              <w:t>vehicle-year)</w:t>
            </w:r>
          </w:p>
        </w:tc>
      </w:tr>
      <w:tr w:rsidR="00CF7294" w:rsidRPr="00CF7294" w:rsidTr="006248F8">
        <w:tc>
          <w:tcPr>
            <w:tcW w:w="3335" w:type="dxa"/>
            <w:tcBorders>
              <w:top w:val="nil"/>
              <w:left w:val="nil"/>
              <w:bottom w:val="nil"/>
              <w:right w:val="nil"/>
            </w:tcBorders>
            <w:tcMar>
              <w:top w:w="57" w:type="dxa"/>
              <w:bottom w:w="0" w:type="dxa"/>
            </w:tcMar>
          </w:tcPr>
          <w:p w:rsidR="00CF7294" w:rsidRPr="00CF7294" w:rsidRDefault="00CF7294" w:rsidP="00AB24F2">
            <w:pPr>
              <w:rPr>
                <w:rFonts w:ascii="Arial" w:hAnsi="Arial" w:cs="Arial"/>
                <w:sz w:val="20"/>
                <w:szCs w:val="18"/>
              </w:rPr>
            </w:pPr>
            <w:r w:rsidRPr="00CF7294">
              <w:rPr>
                <w:rFonts w:ascii="Arial" w:hAnsi="Arial" w:cs="Arial"/>
                <w:sz w:val="20"/>
                <w:szCs w:val="18"/>
              </w:rPr>
              <w:t>Non-NHVAS accredited</w:t>
            </w:r>
          </w:p>
        </w:tc>
        <w:tc>
          <w:tcPr>
            <w:tcW w:w="1969" w:type="dxa"/>
            <w:tcBorders>
              <w:top w:val="nil"/>
              <w:left w:val="nil"/>
              <w:bottom w:val="nil"/>
              <w:right w:val="nil"/>
            </w:tcBorders>
            <w:tcMar>
              <w:top w:w="57" w:type="dxa"/>
              <w:bottom w:w="0" w:type="dxa"/>
            </w:tcMar>
          </w:tcPr>
          <w:p w:rsidR="00CF7294" w:rsidRPr="00CF7294" w:rsidRDefault="00CF7294" w:rsidP="00AB24F2">
            <w:pPr>
              <w:rPr>
                <w:rFonts w:ascii="Arial" w:hAnsi="Arial" w:cs="Arial"/>
                <w:sz w:val="20"/>
                <w:szCs w:val="18"/>
              </w:rPr>
            </w:pPr>
            <w:r w:rsidRPr="00CF7294">
              <w:rPr>
                <w:rFonts w:ascii="Arial" w:hAnsi="Arial" w:cs="Arial"/>
                <w:sz w:val="20"/>
                <w:szCs w:val="18"/>
              </w:rPr>
              <w:t>6,278</w:t>
            </w:r>
          </w:p>
        </w:tc>
        <w:tc>
          <w:tcPr>
            <w:tcW w:w="1969" w:type="dxa"/>
            <w:tcBorders>
              <w:top w:val="nil"/>
              <w:left w:val="nil"/>
              <w:bottom w:val="nil"/>
              <w:right w:val="nil"/>
            </w:tcBorders>
            <w:tcMar>
              <w:top w:w="57" w:type="dxa"/>
              <w:bottom w:w="0" w:type="dxa"/>
            </w:tcMar>
          </w:tcPr>
          <w:p w:rsidR="00CF7294" w:rsidRPr="00CF7294" w:rsidRDefault="00CF7294" w:rsidP="00AB24F2">
            <w:pPr>
              <w:rPr>
                <w:rFonts w:ascii="Arial" w:hAnsi="Arial" w:cs="Arial"/>
                <w:sz w:val="20"/>
                <w:szCs w:val="18"/>
              </w:rPr>
            </w:pPr>
            <w:r w:rsidRPr="00CF7294">
              <w:rPr>
                <w:rFonts w:ascii="Arial" w:hAnsi="Arial" w:cs="Arial"/>
                <w:sz w:val="20"/>
                <w:szCs w:val="18"/>
              </w:rPr>
              <w:t>94,753</w:t>
            </w:r>
          </w:p>
        </w:tc>
        <w:tc>
          <w:tcPr>
            <w:tcW w:w="1969" w:type="dxa"/>
            <w:tcBorders>
              <w:top w:val="nil"/>
              <w:left w:val="nil"/>
              <w:bottom w:val="nil"/>
              <w:right w:val="nil"/>
            </w:tcBorders>
            <w:tcMar>
              <w:top w:w="57" w:type="dxa"/>
              <w:bottom w:w="0" w:type="dxa"/>
            </w:tcMar>
          </w:tcPr>
          <w:p w:rsidR="00CF7294" w:rsidRPr="00CF7294" w:rsidRDefault="00CF7294" w:rsidP="00AB24F2">
            <w:pPr>
              <w:rPr>
                <w:rFonts w:ascii="Arial" w:hAnsi="Arial" w:cs="Arial"/>
                <w:sz w:val="20"/>
                <w:szCs w:val="18"/>
              </w:rPr>
            </w:pPr>
            <w:r w:rsidRPr="00CF7294">
              <w:rPr>
                <w:rFonts w:ascii="Arial" w:hAnsi="Arial" w:cs="Arial"/>
                <w:sz w:val="20"/>
                <w:szCs w:val="18"/>
              </w:rPr>
              <w:t>0.066</w:t>
            </w:r>
          </w:p>
        </w:tc>
      </w:tr>
      <w:tr w:rsidR="00CF7294" w:rsidRPr="00CF7294" w:rsidTr="006248F8">
        <w:tc>
          <w:tcPr>
            <w:tcW w:w="3335" w:type="dxa"/>
            <w:tcBorders>
              <w:top w:val="nil"/>
              <w:left w:val="nil"/>
              <w:bottom w:val="single" w:sz="4" w:space="0" w:color="auto"/>
              <w:right w:val="nil"/>
            </w:tcBorders>
            <w:tcMar>
              <w:top w:w="0" w:type="dxa"/>
              <w:bottom w:w="57" w:type="dxa"/>
            </w:tcMar>
          </w:tcPr>
          <w:p w:rsidR="00CF7294" w:rsidRPr="00CF7294" w:rsidRDefault="00CF7294" w:rsidP="00AB24F2">
            <w:pPr>
              <w:rPr>
                <w:rFonts w:ascii="Arial" w:hAnsi="Arial" w:cs="Arial"/>
                <w:sz w:val="20"/>
                <w:szCs w:val="18"/>
              </w:rPr>
            </w:pPr>
            <w:r w:rsidRPr="00CF7294">
              <w:rPr>
                <w:rFonts w:ascii="Arial" w:hAnsi="Arial" w:cs="Arial"/>
                <w:sz w:val="20"/>
                <w:szCs w:val="18"/>
              </w:rPr>
              <w:t>TruckSafe accredited</w:t>
            </w:r>
          </w:p>
        </w:tc>
        <w:tc>
          <w:tcPr>
            <w:tcW w:w="1969" w:type="dxa"/>
            <w:tcBorders>
              <w:top w:val="nil"/>
              <w:left w:val="nil"/>
              <w:bottom w:val="single" w:sz="4" w:space="0" w:color="auto"/>
              <w:right w:val="nil"/>
            </w:tcBorders>
            <w:tcMar>
              <w:top w:w="0" w:type="dxa"/>
              <w:bottom w:w="57" w:type="dxa"/>
            </w:tcMar>
          </w:tcPr>
          <w:p w:rsidR="00CF7294" w:rsidRPr="00CF7294" w:rsidRDefault="00CF7294" w:rsidP="00AB24F2">
            <w:pPr>
              <w:rPr>
                <w:rFonts w:ascii="Arial" w:hAnsi="Arial" w:cs="Arial"/>
                <w:sz w:val="20"/>
                <w:szCs w:val="18"/>
              </w:rPr>
            </w:pPr>
            <w:r w:rsidRPr="00CF7294">
              <w:rPr>
                <w:rFonts w:ascii="Arial" w:hAnsi="Arial" w:cs="Arial"/>
                <w:sz w:val="20"/>
                <w:szCs w:val="18"/>
              </w:rPr>
              <w:t>408</w:t>
            </w:r>
          </w:p>
        </w:tc>
        <w:tc>
          <w:tcPr>
            <w:tcW w:w="1969" w:type="dxa"/>
            <w:tcBorders>
              <w:top w:val="nil"/>
              <w:left w:val="nil"/>
              <w:bottom w:val="single" w:sz="4" w:space="0" w:color="auto"/>
              <w:right w:val="nil"/>
            </w:tcBorders>
            <w:tcMar>
              <w:top w:w="0" w:type="dxa"/>
              <w:bottom w:w="57" w:type="dxa"/>
            </w:tcMar>
          </w:tcPr>
          <w:p w:rsidR="00CF7294" w:rsidRPr="00CF7294" w:rsidRDefault="00CF7294" w:rsidP="00AB24F2">
            <w:pPr>
              <w:rPr>
                <w:rFonts w:ascii="Arial" w:hAnsi="Arial" w:cs="Arial"/>
                <w:sz w:val="20"/>
                <w:szCs w:val="18"/>
              </w:rPr>
            </w:pPr>
            <w:r w:rsidRPr="00CF7294">
              <w:rPr>
                <w:rFonts w:ascii="Arial" w:hAnsi="Arial" w:cs="Arial"/>
                <w:sz w:val="20"/>
                <w:szCs w:val="18"/>
              </w:rPr>
              <w:t>12,249</w:t>
            </w:r>
          </w:p>
        </w:tc>
        <w:tc>
          <w:tcPr>
            <w:tcW w:w="1969" w:type="dxa"/>
            <w:tcBorders>
              <w:top w:val="nil"/>
              <w:left w:val="nil"/>
              <w:bottom w:val="single" w:sz="4" w:space="0" w:color="auto"/>
              <w:right w:val="nil"/>
            </w:tcBorders>
            <w:tcMar>
              <w:top w:w="0" w:type="dxa"/>
              <w:bottom w:w="57" w:type="dxa"/>
            </w:tcMar>
          </w:tcPr>
          <w:p w:rsidR="00CF7294" w:rsidRPr="00CF7294" w:rsidRDefault="00CF7294" w:rsidP="00AB24F2">
            <w:pPr>
              <w:rPr>
                <w:rFonts w:ascii="Arial" w:hAnsi="Arial" w:cs="Arial"/>
                <w:sz w:val="20"/>
                <w:szCs w:val="18"/>
              </w:rPr>
            </w:pPr>
            <w:r w:rsidRPr="00CF7294">
              <w:rPr>
                <w:rFonts w:ascii="Arial" w:hAnsi="Arial" w:cs="Arial"/>
                <w:sz w:val="20"/>
                <w:szCs w:val="18"/>
              </w:rPr>
              <w:t>0.033</w:t>
            </w:r>
          </w:p>
        </w:tc>
      </w:tr>
      <w:tr w:rsidR="00CF7294" w:rsidRPr="00CF7294" w:rsidTr="006248F8">
        <w:tc>
          <w:tcPr>
            <w:tcW w:w="9242" w:type="dxa"/>
            <w:gridSpan w:val="4"/>
            <w:tcBorders>
              <w:top w:val="single" w:sz="4" w:space="0" w:color="auto"/>
              <w:left w:val="nil"/>
              <w:bottom w:val="nil"/>
              <w:right w:val="nil"/>
            </w:tcBorders>
            <w:tcMar>
              <w:top w:w="57" w:type="dxa"/>
              <w:bottom w:w="57" w:type="dxa"/>
            </w:tcMar>
          </w:tcPr>
          <w:p w:rsidR="00CF7294" w:rsidRPr="00CF7294" w:rsidRDefault="00CF7294" w:rsidP="00AB24F2">
            <w:pPr>
              <w:rPr>
                <w:rFonts w:ascii="Arial" w:hAnsi="Arial" w:cs="Arial"/>
                <w:sz w:val="18"/>
                <w:szCs w:val="16"/>
              </w:rPr>
            </w:pPr>
            <w:proofErr w:type="spellStart"/>
            <w:r w:rsidRPr="00CF7294">
              <w:rPr>
                <w:rFonts w:ascii="Arial" w:hAnsi="Arial" w:cs="Arial"/>
                <w:sz w:val="18"/>
                <w:szCs w:val="16"/>
                <w:vertAlign w:val="superscript"/>
              </w:rPr>
              <w:t>1</w:t>
            </w:r>
            <w:r w:rsidRPr="00CF7294">
              <w:rPr>
                <w:rFonts w:ascii="Arial" w:hAnsi="Arial" w:cs="Arial"/>
                <w:sz w:val="18"/>
                <w:szCs w:val="16"/>
              </w:rPr>
              <w:t>Vehicle</w:t>
            </w:r>
            <w:proofErr w:type="spellEnd"/>
            <w:r w:rsidRPr="00CF7294">
              <w:rPr>
                <w:rFonts w:ascii="Arial" w:hAnsi="Arial" w:cs="Arial"/>
                <w:sz w:val="18"/>
                <w:szCs w:val="16"/>
              </w:rPr>
              <w:t xml:space="preserve"> years are a measure of accident exposure. A vehicle accredited for the whole three years was assigned a vehicle year value of 3.</w:t>
            </w:r>
          </w:p>
        </w:tc>
      </w:tr>
    </w:tbl>
    <w:p w:rsidR="006D3095" w:rsidRPr="00CF7294" w:rsidRDefault="006D3095" w:rsidP="00AB24F2">
      <w:pPr>
        <w:shd w:val="clear" w:color="auto" w:fill="FFFFFF"/>
        <w:spacing w:before="100" w:beforeAutospacing="1" w:after="100" w:afterAutospacing="1" w:line="279" w:lineRule="atLeast"/>
        <w:rPr>
          <w:rFonts w:ascii="Arial" w:eastAsia="Times New Roman" w:hAnsi="Arial" w:cs="Arial"/>
          <w:lang w:eastAsia="en-AU"/>
        </w:rPr>
      </w:pPr>
      <w:r w:rsidRPr="00CF7294">
        <w:rPr>
          <w:rFonts w:ascii="Arial" w:eastAsia="Times New Roman" w:hAnsi="Arial" w:cs="Arial"/>
          <w:lang w:eastAsia="en-AU"/>
        </w:rPr>
        <w:t xml:space="preserve">If the NHVAS was not a government scheme, it </w:t>
      </w:r>
      <w:r w:rsidR="00AD6DB5" w:rsidRPr="00CF7294">
        <w:rPr>
          <w:rFonts w:ascii="Arial" w:eastAsia="Times New Roman" w:hAnsi="Arial" w:cs="Arial"/>
          <w:lang w:eastAsia="en-AU"/>
        </w:rPr>
        <w:t>would not</w:t>
      </w:r>
      <w:r w:rsidRPr="00CF7294">
        <w:rPr>
          <w:rFonts w:ascii="Arial" w:eastAsia="Times New Roman" w:hAnsi="Arial" w:cs="Arial"/>
          <w:lang w:eastAsia="en-AU"/>
        </w:rPr>
        <w:t xml:space="preserve"> meet the standards necessary for the NHVR to register it as an industry code of </w:t>
      </w:r>
      <w:r w:rsidR="00AD6DB5" w:rsidRPr="00CF7294">
        <w:rPr>
          <w:rFonts w:ascii="Arial" w:eastAsia="Times New Roman" w:hAnsi="Arial" w:cs="Arial"/>
          <w:lang w:eastAsia="en-AU"/>
        </w:rPr>
        <w:t xml:space="preserve">practice under </w:t>
      </w:r>
      <w:proofErr w:type="spellStart"/>
      <w:r w:rsidR="00AD6DB5" w:rsidRPr="00CF7294">
        <w:rPr>
          <w:rFonts w:ascii="Arial" w:eastAsia="Times New Roman" w:hAnsi="Arial" w:cs="Arial"/>
          <w:lang w:eastAsia="en-AU"/>
        </w:rPr>
        <w:t>s706</w:t>
      </w:r>
      <w:proofErr w:type="spellEnd"/>
      <w:r w:rsidR="00AD6DB5" w:rsidRPr="00CF7294">
        <w:rPr>
          <w:rFonts w:ascii="Arial" w:eastAsia="Times New Roman" w:hAnsi="Arial" w:cs="Arial"/>
          <w:lang w:eastAsia="en-AU"/>
        </w:rPr>
        <w:t xml:space="preserve"> of the Heavy Vehicle National Law.</w:t>
      </w:r>
    </w:p>
    <w:p w:rsidR="00954EAA" w:rsidRPr="00CF7294" w:rsidRDefault="00AD6DB5" w:rsidP="00AB24F2">
      <w:pPr>
        <w:shd w:val="clear" w:color="auto" w:fill="FFFFFF"/>
        <w:spacing w:before="100" w:beforeAutospacing="1" w:after="100" w:afterAutospacing="1" w:line="279" w:lineRule="atLeast"/>
        <w:rPr>
          <w:rFonts w:ascii="Arial" w:eastAsia="Times New Roman" w:hAnsi="Arial" w:cs="Arial"/>
          <w:lang w:eastAsia="en-AU"/>
        </w:rPr>
      </w:pPr>
      <w:r w:rsidRPr="00CF7294">
        <w:rPr>
          <w:rFonts w:ascii="Arial" w:eastAsia="Times New Roman" w:hAnsi="Arial" w:cs="Arial"/>
          <w:lang w:eastAsia="en-AU"/>
        </w:rPr>
        <w:t xml:space="preserve">It </w:t>
      </w:r>
      <w:r w:rsidR="006F70A2">
        <w:rPr>
          <w:rFonts w:ascii="Arial" w:eastAsia="Times New Roman" w:hAnsi="Arial" w:cs="Arial"/>
          <w:lang w:eastAsia="en-AU"/>
        </w:rPr>
        <w:t>is a matter of concern</w:t>
      </w:r>
      <w:r w:rsidRPr="00CF7294">
        <w:rPr>
          <w:rFonts w:ascii="Arial" w:eastAsia="Times New Roman" w:hAnsi="Arial" w:cs="Arial"/>
          <w:lang w:eastAsia="en-AU"/>
        </w:rPr>
        <w:t xml:space="preserve"> that the</w:t>
      </w:r>
      <w:r w:rsidR="006D3095" w:rsidRPr="00CF7294">
        <w:rPr>
          <w:rFonts w:ascii="Arial" w:eastAsia="Times New Roman" w:hAnsi="Arial" w:cs="Arial"/>
          <w:lang w:eastAsia="en-AU"/>
        </w:rPr>
        <w:t xml:space="preserve"> regulator </w:t>
      </w:r>
      <w:r w:rsidRPr="00CF7294">
        <w:rPr>
          <w:rFonts w:ascii="Arial" w:eastAsia="Times New Roman" w:hAnsi="Arial" w:cs="Arial"/>
          <w:lang w:eastAsia="en-AU"/>
        </w:rPr>
        <w:t>is</w:t>
      </w:r>
      <w:r w:rsidR="006D3095" w:rsidRPr="00CF7294">
        <w:rPr>
          <w:rFonts w:ascii="Arial" w:eastAsia="Times New Roman" w:hAnsi="Arial" w:cs="Arial"/>
          <w:lang w:eastAsia="en-AU"/>
        </w:rPr>
        <w:t xml:space="preserve"> running </w:t>
      </w:r>
      <w:r w:rsidRPr="00CF7294">
        <w:rPr>
          <w:rFonts w:ascii="Arial" w:eastAsia="Times New Roman" w:hAnsi="Arial" w:cs="Arial"/>
          <w:lang w:eastAsia="en-AU"/>
        </w:rPr>
        <w:t>the</w:t>
      </w:r>
      <w:r w:rsidR="006D3095" w:rsidRPr="00CF7294">
        <w:rPr>
          <w:rFonts w:ascii="Arial" w:eastAsia="Times New Roman" w:hAnsi="Arial" w:cs="Arial"/>
          <w:lang w:eastAsia="en-AU"/>
        </w:rPr>
        <w:t xml:space="preserve"> </w:t>
      </w:r>
      <w:r w:rsidRPr="00CF7294">
        <w:rPr>
          <w:rFonts w:ascii="Arial" w:eastAsia="Times New Roman" w:hAnsi="Arial" w:cs="Arial"/>
          <w:lang w:eastAsia="en-AU"/>
        </w:rPr>
        <w:t>scheme and is also regulating it.</w:t>
      </w:r>
      <w:r w:rsidR="006D3095" w:rsidRPr="00CF7294">
        <w:rPr>
          <w:rFonts w:ascii="Arial" w:eastAsia="Times New Roman" w:hAnsi="Arial" w:cs="Arial"/>
          <w:lang w:eastAsia="en-AU"/>
        </w:rPr>
        <w:t xml:space="preserve"> The example of the former Civil Aviation Authority provides a case in point. After it was split into two organisations – CASA (the regulator) and </w:t>
      </w:r>
      <w:proofErr w:type="spellStart"/>
      <w:r w:rsidR="006D3095" w:rsidRPr="00CF7294">
        <w:rPr>
          <w:rFonts w:ascii="Arial" w:eastAsia="Times New Roman" w:hAnsi="Arial" w:cs="Arial"/>
          <w:lang w:eastAsia="en-AU"/>
        </w:rPr>
        <w:t>Airservices</w:t>
      </w:r>
      <w:proofErr w:type="spellEnd"/>
      <w:r w:rsidR="006D3095" w:rsidRPr="00CF7294">
        <w:rPr>
          <w:rFonts w:ascii="Arial" w:eastAsia="Times New Roman" w:hAnsi="Arial" w:cs="Arial"/>
          <w:lang w:eastAsia="en-AU"/>
        </w:rPr>
        <w:t xml:space="preserve"> Australia (the air traffic control provider) – CASA was able to identify and action issues with the air traffic control system</w:t>
      </w:r>
      <w:r w:rsidRPr="00CF7294">
        <w:rPr>
          <w:rFonts w:ascii="Arial" w:eastAsia="Times New Roman" w:hAnsi="Arial" w:cs="Arial"/>
          <w:lang w:eastAsia="en-AU"/>
        </w:rPr>
        <w:t>.</w:t>
      </w:r>
    </w:p>
    <w:p w:rsidR="00AF69F7" w:rsidRPr="00CF7294" w:rsidRDefault="001639E1" w:rsidP="00AB24F2">
      <w:pPr>
        <w:shd w:val="clear" w:color="auto" w:fill="FFFFFF"/>
        <w:spacing w:before="100" w:beforeAutospacing="1" w:after="100" w:afterAutospacing="1" w:line="279" w:lineRule="atLeast"/>
        <w:rPr>
          <w:rFonts w:ascii="Arial" w:eastAsia="Times New Roman" w:hAnsi="Arial" w:cs="Arial"/>
          <w:lang w:eastAsia="en-AU"/>
        </w:rPr>
      </w:pPr>
      <w:r w:rsidRPr="00CF7294">
        <w:rPr>
          <w:rFonts w:ascii="Arial" w:eastAsia="Times New Roman" w:hAnsi="Arial" w:cs="Arial"/>
          <w:lang w:eastAsia="en-AU"/>
        </w:rPr>
        <w:t>NHVAS has also become synonymous with the lowest common denominator in industry, with operators having much less oversight than in TruckSafe</w:t>
      </w:r>
      <w:r w:rsidR="00A94C90">
        <w:rPr>
          <w:rFonts w:ascii="Arial" w:eastAsia="Times New Roman" w:hAnsi="Arial" w:cs="Arial"/>
          <w:lang w:eastAsia="en-AU"/>
        </w:rPr>
        <w:t xml:space="preserve"> and doing the bare minimum to access the regulatory benefits</w:t>
      </w:r>
      <w:r w:rsidRPr="00CF7294">
        <w:rPr>
          <w:rFonts w:ascii="Arial" w:eastAsia="Times New Roman" w:hAnsi="Arial" w:cs="Arial"/>
          <w:lang w:eastAsia="en-AU"/>
        </w:rPr>
        <w:t>. Under TruckSafe</w:t>
      </w:r>
      <w:r w:rsidR="00577C80">
        <w:rPr>
          <w:rFonts w:ascii="Arial" w:eastAsia="Times New Roman" w:hAnsi="Arial" w:cs="Arial"/>
          <w:lang w:eastAsia="en-AU"/>
        </w:rPr>
        <w:t>,</w:t>
      </w:r>
      <w:r w:rsidRPr="00CF7294">
        <w:rPr>
          <w:rFonts w:ascii="Arial" w:eastAsia="Times New Roman" w:hAnsi="Arial" w:cs="Arial"/>
          <w:lang w:eastAsia="en-AU"/>
        </w:rPr>
        <w:t xml:space="preserve"> operators do not choose </w:t>
      </w:r>
      <w:r w:rsidR="000C340A">
        <w:rPr>
          <w:rFonts w:ascii="Arial" w:eastAsia="Times New Roman" w:hAnsi="Arial" w:cs="Arial"/>
          <w:lang w:eastAsia="en-AU"/>
        </w:rPr>
        <w:t xml:space="preserve">their </w:t>
      </w:r>
      <w:r w:rsidRPr="00CF7294">
        <w:rPr>
          <w:rFonts w:ascii="Arial" w:eastAsia="Times New Roman" w:hAnsi="Arial" w:cs="Arial"/>
          <w:lang w:eastAsia="en-AU"/>
        </w:rPr>
        <w:t xml:space="preserve">auditors </w:t>
      </w:r>
      <w:r w:rsidR="005D4ED9" w:rsidRPr="00CF7294">
        <w:rPr>
          <w:rFonts w:ascii="Arial" w:eastAsia="Times New Roman" w:hAnsi="Arial" w:cs="Arial"/>
          <w:lang w:eastAsia="en-AU"/>
        </w:rPr>
        <w:t>ensuring</w:t>
      </w:r>
      <w:r w:rsidRPr="00CF7294">
        <w:rPr>
          <w:rFonts w:ascii="Arial" w:eastAsia="Times New Roman" w:hAnsi="Arial" w:cs="Arial"/>
          <w:lang w:eastAsia="en-AU"/>
        </w:rPr>
        <w:t xml:space="preserve"> real oversight </w:t>
      </w:r>
      <w:r w:rsidR="00577C80">
        <w:rPr>
          <w:rFonts w:ascii="Arial" w:eastAsia="Times New Roman" w:hAnsi="Arial" w:cs="Arial"/>
          <w:lang w:eastAsia="en-AU"/>
        </w:rPr>
        <w:t>of</w:t>
      </w:r>
      <w:r w:rsidRPr="00CF7294">
        <w:rPr>
          <w:rFonts w:ascii="Arial" w:eastAsia="Times New Roman" w:hAnsi="Arial" w:cs="Arial"/>
          <w:lang w:eastAsia="en-AU"/>
        </w:rPr>
        <w:t xml:space="preserve"> the business. Under NHVAS</w:t>
      </w:r>
      <w:r w:rsidR="00577C80">
        <w:rPr>
          <w:rFonts w:ascii="Arial" w:eastAsia="Times New Roman" w:hAnsi="Arial" w:cs="Arial"/>
          <w:lang w:eastAsia="en-AU"/>
        </w:rPr>
        <w:t>,</w:t>
      </w:r>
      <w:r w:rsidRPr="00CF7294">
        <w:rPr>
          <w:rFonts w:ascii="Arial" w:eastAsia="Times New Roman" w:hAnsi="Arial" w:cs="Arial"/>
          <w:lang w:eastAsia="en-AU"/>
        </w:rPr>
        <w:t xml:space="preserve"> </w:t>
      </w:r>
      <w:r w:rsidR="00AF69F7" w:rsidRPr="00CF7294">
        <w:rPr>
          <w:rFonts w:ascii="Arial" w:eastAsia="Times New Roman" w:hAnsi="Arial" w:cs="Arial"/>
          <w:lang w:eastAsia="en-AU"/>
        </w:rPr>
        <w:t xml:space="preserve">there </w:t>
      </w:r>
      <w:r w:rsidR="00263333">
        <w:rPr>
          <w:rFonts w:ascii="Arial" w:eastAsia="Times New Roman" w:hAnsi="Arial" w:cs="Arial"/>
          <w:lang w:eastAsia="en-AU"/>
        </w:rPr>
        <w:t>has been a</w:t>
      </w:r>
      <w:r w:rsidR="00AF69F7" w:rsidRPr="00CF7294">
        <w:rPr>
          <w:rFonts w:ascii="Arial" w:eastAsia="Times New Roman" w:hAnsi="Arial" w:cs="Arial"/>
          <w:lang w:eastAsia="en-AU"/>
        </w:rPr>
        <w:t xml:space="preserve"> perception of ‘selection bias’ and/or the development of a working relationship between auditor and auditee engaged by the company and returning year on year has the potential to compromise the impartiality of the </w:t>
      </w:r>
      <w:r w:rsidR="00263333">
        <w:rPr>
          <w:rFonts w:ascii="Arial" w:eastAsia="Times New Roman" w:hAnsi="Arial" w:cs="Arial"/>
          <w:lang w:eastAsia="en-AU"/>
        </w:rPr>
        <w:t>h</w:t>
      </w:r>
      <w:r w:rsidR="00AF69F7" w:rsidRPr="00CF7294">
        <w:rPr>
          <w:rFonts w:ascii="Arial" w:eastAsia="Times New Roman" w:hAnsi="Arial" w:cs="Arial"/>
          <w:lang w:eastAsia="en-AU"/>
        </w:rPr>
        <w:t xml:space="preserve">eavy </w:t>
      </w:r>
      <w:r w:rsidR="00263333">
        <w:rPr>
          <w:rFonts w:ascii="Arial" w:eastAsia="Times New Roman" w:hAnsi="Arial" w:cs="Arial"/>
          <w:lang w:eastAsia="en-AU"/>
        </w:rPr>
        <w:t>v</w:t>
      </w:r>
      <w:r w:rsidR="00AF69F7" w:rsidRPr="00CF7294">
        <w:rPr>
          <w:rFonts w:ascii="Arial" w:eastAsia="Times New Roman" w:hAnsi="Arial" w:cs="Arial"/>
          <w:lang w:eastAsia="en-AU"/>
        </w:rPr>
        <w:t xml:space="preserve">ehicle auditor process. </w:t>
      </w:r>
      <w:r w:rsidR="00263333">
        <w:rPr>
          <w:rFonts w:ascii="Arial" w:eastAsia="Times New Roman" w:hAnsi="Arial" w:cs="Arial"/>
          <w:lang w:eastAsia="en-AU"/>
        </w:rPr>
        <w:t>Some of these concerns have been addressed by recent reforms to the NHVAS auditor selection process.</w:t>
      </w:r>
    </w:p>
    <w:p w:rsidR="006D3095" w:rsidRDefault="00AF69F7" w:rsidP="00AB24F2">
      <w:pPr>
        <w:shd w:val="clear" w:color="auto" w:fill="FFFFFF"/>
        <w:spacing w:before="100" w:beforeAutospacing="1" w:after="100" w:afterAutospacing="1" w:line="279" w:lineRule="atLeast"/>
        <w:rPr>
          <w:rFonts w:ascii="Arial" w:eastAsia="Times New Roman" w:hAnsi="Arial" w:cs="Arial"/>
          <w:lang w:eastAsia="en-AU"/>
        </w:rPr>
      </w:pPr>
      <w:r w:rsidRPr="00CF7294">
        <w:rPr>
          <w:rFonts w:ascii="Arial" w:eastAsia="Times New Roman" w:hAnsi="Arial" w:cs="Arial"/>
          <w:lang w:eastAsia="en-AU"/>
        </w:rPr>
        <w:t xml:space="preserve">The </w:t>
      </w:r>
      <w:r w:rsidR="00415CCB">
        <w:rPr>
          <w:rFonts w:ascii="Arial" w:eastAsia="Times New Roman" w:hAnsi="Arial" w:cs="Arial"/>
          <w:lang w:eastAsia="en-AU"/>
        </w:rPr>
        <w:t xml:space="preserve">Government should conclude that </w:t>
      </w:r>
      <w:r w:rsidR="00415CCB" w:rsidRPr="00CF7294">
        <w:rPr>
          <w:rFonts w:ascii="Arial" w:eastAsia="Times New Roman" w:hAnsi="Arial" w:cs="Arial"/>
          <w:lang w:eastAsia="en-AU"/>
        </w:rPr>
        <w:t>that</w:t>
      </w:r>
      <w:r w:rsidR="00CF7294" w:rsidRPr="00CF7294">
        <w:rPr>
          <w:rFonts w:ascii="Arial" w:eastAsia="Times New Roman" w:hAnsi="Arial" w:cs="Arial"/>
          <w:lang w:eastAsia="en-AU"/>
        </w:rPr>
        <w:t xml:space="preserve"> </w:t>
      </w:r>
      <w:r w:rsidRPr="00CF7294">
        <w:rPr>
          <w:rFonts w:ascii="Arial" w:eastAsia="Times New Roman" w:hAnsi="Arial" w:cs="Arial"/>
          <w:lang w:eastAsia="en-AU"/>
        </w:rPr>
        <w:t xml:space="preserve">TruckSafe and other industry accreditation systems should be afforded the same regulatory benefits </w:t>
      </w:r>
      <w:r w:rsidR="00415CCB">
        <w:rPr>
          <w:rFonts w:ascii="Arial" w:eastAsia="Times New Roman" w:hAnsi="Arial" w:cs="Arial"/>
          <w:lang w:eastAsia="en-AU"/>
        </w:rPr>
        <w:t xml:space="preserve">available under </w:t>
      </w:r>
      <w:r w:rsidRPr="00CF7294">
        <w:rPr>
          <w:rFonts w:ascii="Arial" w:eastAsia="Times New Roman" w:hAnsi="Arial" w:cs="Arial"/>
          <w:lang w:eastAsia="en-AU"/>
        </w:rPr>
        <w:t>NHVAS</w:t>
      </w:r>
      <w:r w:rsidR="00330D7D" w:rsidRPr="00CF7294">
        <w:rPr>
          <w:rFonts w:ascii="Arial" w:eastAsia="Times New Roman" w:hAnsi="Arial" w:cs="Arial"/>
          <w:lang w:eastAsia="en-AU"/>
        </w:rPr>
        <w:t xml:space="preserve">.  </w:t>
      </w:r>
    </w:p>
    <w:p w:rsidR="00CF7294" w:rsidRPr="00CF7294" w:rsidRDefault="00700B1F" w:rsidP="00F711CA">
      <w:pPr>
        <w:shd w:val="clear" w:color="auto" w:fill="FFFFFF"/>
        <w:spacing w:before="100" w:beforeAutospacing="1" w:after="100" w:afterAutospacing="1" w:line="279" w:lineRule="atLeast"/>
        <w:rPr>
          <w:rFonts w:ascii="Arial" w:eastAsia="Times New Roman" w:hAnsi="Arial" w:cs="Arial"/>
          <w:b/>
          <w:lang w:eastAsia="en-AU"/>
        </w:rPr>
      </w:pPr>
      <w:r>
        <w:rPr>
          <w:rFonts w:ascii="Arial" w:eastAsia="Times New Roman" w:hAnsi="Arial" w:cs="Arial"/>
          <w:b/>
          <w:lang w:eastAsia="en-AU"/>
        </w:rPr>
        <w:t>Recommendation 6</w:t>
      </w:r>
    </w:p>
    <w:p w:rsidR="00CF7294" w:rsidRPr="00CF7294" w:rsidRDefault="00415CCB" w:rsidP="00F711CA">
      <w:pPr>
        <w:shd w:val="clear" w:color="auto" w:fill="FFFFFF"/>
        <w:spacing w:before="100" w:beforeAutospacing="1" w:after="100" w:afterAutospacing="1" w:line="279" w:lineRule="atLeast"/>
        <w:rPr>
          <w:rFonts w:ascii="Arial" w:eastAsia="Times New Roman" w:hAnsi="Arial" w:cs="Arial"/>
          <w:lang w:eastAsia="en-AU"/>
        </w:rPr>
      </w:pPr>
      <w:r w:rsidRPr="00415CCB">
        <w:rPr>
          <w:rFonts w:ascii="Arial" w:eastAsia="Times New Roman" w:hAnsi="Arial" w:cs="Arial"/>
          <w:lang w:eastAsia="en-AU"/>
        </w:rPr>
        <w:t>The Government</w:t>
      </w:r>
      <w:r w:rsidR="00577C80">
        <w:rPr>
          <w:rFonts w:ascii="Arial" w:eastAsia="Times New Roman" w:hAnsi="Arial" w:cs="Arial"/>
          <w:lang w:eastAsia="en-AU"/>
        </w:rPr>
        <w:t xml:space="preserve"> should</w:t>
      </w:r>
      <w:r w:rsidRPr="00415CCB">
        <w:rPr>
          <w:rFonts w:ascii="Arial" w:eastAsia="Times New Roman" w:hAnsi="Arial" w:cs="Arial"/>
          <w:lang w:eastAsia="en-AU"/>
        </w:rPr>
        <w:t xml:space="preserve"> </w:t>
      </w:r>
      <w:r w:rsidR="00577C80">
        <w:rPr>
          <w:rFonts w:ascii="Arial" w:eastAsia="Times New Roman" w:hAnsi="Arial" w:cs="Arial"/>
          <w:lang w:eastAsia="en-AU"/>
        </w:rPr>
        <w:t>work</w:t>
      </w:r>
      <w:r w:rsidR="00F711CA">
        <w:rPr>
          <w:rFonts w:ascii="Arial" w:eastAsia="Times New Roman" w:hAnsi="Arial" w:cs="Arial"/>
          <w:lang w:eastAsia="en-AU"/>
        </w:rPr>
        <w:t xml:space="preserve"> with the state</w:t>
      </w:r>
      <w:r w:rsidR="00577C80">
        <w:rPr>
          <w:rFonts w:ascii="Arial" w:eastAsia="Times New Roman" w:hAnsi="Arial" w:cs="Arial"/>
          <w:lang w:eastAsia="en-AU"/>
        </w:rPr>
        <w:t xml:space="preserve"> participants in the Heavy Vehicle National Law to</w:t>
      </w:r>
      <w:r w:rsidRPr="00415CCB">
        <w:rPr>
          <w:rFonts w:ascii="Arial" w:eastAsia="Times New Roman" w:hAnsi="Arial" w:cs="Arial"/>
          <w:lang w:eastAsia="en-AU"/>
        </w:rPr>
        <w:t xml:space="preserve"> extend the regulatory benefits afforded the Government </w:t>
      </w:r>
      <w:r w:rsidR="00577C80" w:rsidRPr="00577C80">
        <w:rPr>
          <w:rFonts w:ascii="Arial" w:eastAsia="Times New Roman" w:hAnsi="Arial" w:cs="Arial"/>
          <w:lang w:eastAsia="en-AU"/>
        </w:rPr>
        <w:t xml:space="preserve">National Heavy Vehicle Accreditation Scheme </w:t>
      </w:r>
      <w:r w:rsidRPr="00415CCB">
        <w:rPr>
          <w:rFonts w:ascii="Arial" w:eastAsia="Times New Roman" w:hAnsi="Arial" w:cs="Arial"/>
          <w:lang w:eastAsia="en-AU"/>
        </w:rPr>
        <w:t>to industry accreditation schemes to address competitive neutrality</w:t>
      </w:r>
      <w:r>
        <w:rPr>
          <w:rFonts w:ascii="Arial" w:eastAsia="Times New Roman" w:hAnsi="Arial" w:cs="Arial"/>
          <w:lang w:eastAsia="en-AU"/>
        </w:rPr>
        <w:t>.</w:t>
      </w:r>
    </w:p>
    <w:sectPr w:rsidR="00CF7294" w:rsidRPr="00CF7294" w:rsidSect="00A91411">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567" w:left="1134" w:header="703" w:footer="2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CAA" w:rsidRDefault="00FB1CAA" w:rsidP="000F3D9F">
      <w:r>
        <w:separator/>
      </w:r>
    </w:p>
  </w:endnote>
  <w:endnote w:type="continuationSeparator" w:id="0">
    <w:p w:rsidR="00FB1CAA" w:rsidRDefault="00FB1CAA" w:rsidP="000F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CAA" w:rsidRDefault="00FB1CAA" w:rsidP="008E1721">
    <w:pPr>
      <w:ind w:right="-426"/>
      <w:jc w:val="right"/>
      <w:rPr>
        <w:rFonts w:ascii="Arial" w:hAnsi="Arial" w:cs="Arial"/>
        <w:smallCaps/>
        <w:noProof/>
        <w:szCs w:val="23"/>
        <w:lang w:eastAsia="en-AU"/>
      </w:rPr>
    </w:pPr>
    <w:r>
      <w:rPr>
        <w:rFonts w:ascii="Arial" w:hAnsi="Arial" w:cs="Arial"/>
        <w:smallCaps/>
        <w:noProof/>
        <w:szCs w:val="23"/>
        <w:lang w:eastAsia="en-AU"/>
      </w:rPr>
      <w:drawing>
        <wp:inline distT="0" distB="0" distL="0" distR="0">
          <wp:extent cx="1951355" cy="846455"/>
          <wp:effectExtent l="19050" t="0" r="0" b="0"/>
          <wp:docPr id="1" name="Picture 1" descr="LHead Logo AC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ad Logo ACT RGB"/>
                  <pic:cNvPicPr>
                    <a:picLocks noChangeAspect="1" noChangeArrowheads="1"/>
                  </pic:cNvPicPr>
                </pic:nvPicPr>
                <pic:blipFill>
                  <a:blip r:embed="rId1"/>
                  <a:srcRect/>
                  <a:stretch>
                    <a:fillRect/>
                  </a:stretch>
                </pic:blipFill>
                <pic:spPr bwMode="auto">
                  <a:xfrm>
                    <a:off x="0" y="0"/>
                    <a:ext cx="1951355" cy="846455"/>
                  </a:xfrm>
                  <a:prstGeom prst="rect">
                    <a:avLst/>
                  </a:prstGeom>
                  <a:noFill/>
                  <a:ln w="9525">
                    <a:noFill/>
                    <a:miter lim="800000"/>
                    <a:headEnd/>
                    <a:tailEnd/>
                  </a:ln>
                </pic:spPr>
              </pic:pic>
            </a:graphicData>
          </a:graphic>
        </wp:inline>
      </w:drawing>
    </w:r>
  </w:p>
  <w:p w:rsidR="00FB1CAA" w:rsidRPr="00E8056B" w:rsidRDefault="00FB1CAA" w:rsidP="00E8056B">
    <w:pPr>
      <w:jc w:val="right"/>
      <w:rPr>
        <w:rFonts w:ascii="Arial" w:hAnsi="Arial" w:cs="Arial"/>
        <w:sz w:val="16"/>
        <w:szCs w:val="16"/>
      </w:rPr>
    </w:pPr>
  </w:p>
  <w:p w:rsidR="00FB1CAA" w:rsidRPr="00E8056B" w:rsidRDefault="00FB1CAA" w:rsidP="00E8056B">
    <w:pPr>
      <w:pStyle w:val="Footer"/>
      <w:jc w:val="right"/>
      <w:rPr>
        <w:rFonts w:ascii="Arial" w:hAnsi="Arial" w:cs="Arial"/>
        <w:sz w:val="16"/>
        <w:szCs w:val="16"/>
      </w:rPr>
    </w:pPr>
    <w:smartTag w:uri="urn:schemas-microsoft-com:office:smarttags" w:element="place">
      <w:smartTag w:uri="urn:schemas-microsoft-com:office:smarttags" w:element="PlaceName">
        <w:r w:rsidRPr="00E8056B">
          <w:rPr>
            <w:rFonts w:ascii="Arial" w:hAnsi="Arial" w:cs="Arial"/>
            <w:sz w:val="16"/>
            <w:szCs w:val="16"/>
          </w:rPr>
          <w:t>Minter</w:t>
        </w:r>
      </w:smartTag>
      <w:r w:rsidRPr="00E8056B">
        <w:rPr>
          <w:rFonts w:ascii="Arial" w:hAnsi="Arial" w:cs="Arial"/>
          <w:sz w:val="16"/>
          <w:szCs w:val="16"/>
        </w:rPr>
        <w:t xml:space="preserve"> </w:t>
      </w:r>
      <w:smartTag w:uri="urn:schemas-microsoft-com:office:smarttags" w:element="PlaceType">
        <w:smartTag w:uri="urn:schemas-microsoft-com:office:smarttags" w:element="PlaceName">
          <w:r w:rsidRPr="00E8056B">
            <w:rPr>
              <w:rFonts w:ascii="Arial" w:hAnsi="Arial" w:cs="Arial"/>
              <w:sz w:val="16"/>
              <w:szCs w:val="16"/>
            </w:rPr>
            <w:t>Ellison</w:t>
          </w:r>
        </w:smartTag>
      </w:smartTag>
      <w:r w:rsidRPr="00E8056B">
        <w:rPr>
          <w:rFonts w:ascii="Arial" w:hAnsi="Arial" w:cs="Arial"/>
          <w:sz w:val="16"/>
          <w:szCs w:val="16"/>
        </w:rPr>
        <w:t xml:space="preserve"> </w:t>
      </w:r>
      <w:smartTag w:uri="urn:schemas-microsoft-com:office:smarttags" w:element="place">
        <w:r w:rsidRPr="00E8056B">
          <w:rPr>
            <w:rFonts w:ascii="Arial" w:hAnsi="Arial" w:cs="Arial"/>
            <w:sz w:val="16"/>
            <w:szCs w:val="16"/>
          </w:rPr>
          <w:t>Building</w:t>
        </w:r>
      </w:smartTag>
    </w:smartTag>
    <w:r w:rsidRPr="00E8056B">
      <w:rPr>
        <w:rFonts w:ascii="Arial" w:hAnsi="Arial" w:cs="Arial"/>
        <w:sz w:val="16"/>
        <w:szCs w:val="16"/>
      </w:rPr>
      <w:t>, 25 National Circuit, Forrest ACT 2603</w:t>
    </w:r>
  </w:p>
  <w:p w:rsidR="00FB1CAA" w:rsidRPr="00E8056B" w:rsidRDefault="00FB1CAA" w:rsidP="00E8056B">
    <w:pPr>
      <w:pStyle w:val="Footer"/>
      <w:jc w:val="right"/>
      <w:rPr>
        <w:rFonts w:ascii="Arial" w:hAnsi="Arial" w:cs="Arial"/>
        <w:sz w:val="16"/>
        <w:szCs w:val="16"/>
      </w:rPr>
    </w:pPr>
    <w:r w:rsidRPr="00E8056B">
      <w:rPr>
        <w:rFonts w:ascii="Arial" w:hAnsi="Arial" w:cs="Arial"/>
        <w:b/>
        <w:sz w:val="16"/>
        <w:szCs w:val="16"/>
      </w:rPr>
      <w:t>P</w:t>
    </w:r>
    <w:r w:rsidRPr="00E8056B">
      <w:rPr>
        <w:rFonts w:ascii="Arial" w:hAnsi="Arial" w:cs="Arial"/>
        <w:sz w:val="16"/>
        <w:szCs w:val="16"/>
      </w:rPr>
      <w:t xml:space="preserve"> 02 6253 6900 </w:t>
    </w:r>
    <w:r w:rsidRPr="00E8056B">
      <w:rPr>
        <w:rFonts w:ascii="Arial" w:hAnsi="Arial" w:cs="Arial"/>
        <w:b/>
        <w:sz w:val="16"/>
        <w:szCs w:val="16"/>
      </w:rPr>
      <w:t>F</w:t>
    </w:r>
    <w:r w:rsidRPr="00E8056B">
      <w:rPr>
        <w:rFonts w:ascii="Arial" w:hAnsi="Arial" w:cs="Arial"/>
        <w:sz w:val="16"/>
        <w:szCs w:val="16"/>
      </w:rPr>
      <w:t xml:space="preserve"> 02 6253 6999 </w:t>
    </w:r>
    <w:r w:rsidRPr="00E8056B">
      <w:rPr>
        <w:rFonts w:ascii="Arial" w:hAnsi="Arial" w:cs="Arial"/>
        <w:b/>
        <w:sz w:val="16"/>
        <w:szCs w:val="16"/>
      </w:rPr>
      <w:t>E</w:t>
    </w:r>
    <w:r w:rsidRPr="00E8056B">
      <w:rPr>
        <w:rFonts w:ascii="Arial" w:hAnsi="Arial" w:cs="Arial"/>
        <w:sz w:val="16"/>
        <w:szCs w:val="16"/>
      </w:rPr>
      <w:t xml:space="preserve"> </w:t>
    </w:r>
    <w:r>
      <w:rPr>
        <w:rFonts w:ascii="Arial" w:hAnsi="Arial" w:cs="Arial"/>
        <w:bCs/>
        <w:sz w:val="16"/>
        <w:szCs w:val="16"/>
      </w:rPr>
      <w:t>ata@</w:t>
    </w:r>
    <w:r w:rsidRPr="00E8056B">
      <w:rPr>
        <w:rFonts w:ascii="Arial" w:hAnsi="Arial" w:cs="Arial"/>
        <w:bCs/>
        <w:sz w:val="16"/>
        <w:szCs w:val="16"/>
      </w:rPr>
      <w:t>truck.net.au</w:t>
    </w:r>
    <w:r w:rsidRPr="00E8056B">
      <w:rPr>
        <w:rFonts w:ascii="Arial" w:hAnsi="Arial" w:cs="Arial"/>
        <w:b/>
        <w:sz w:val="16"/>
        <w:szCs w:val="16"/>
      </w:rPr>
      <w:t xml:space="preserve"> W</w:t>
    </w:r>
    <w:r w:rsidRPr="00E8056B">
      <w:rPr>
        <w:rFonts w:ascii="Arial" w:hAnsi="Arial" w:cs="Arial"/>
        <w:sz w:val="16"/>
        <w:szCs w:val="16"/>
      </w:rPr>
      <w:t xml:space="preserve"> </w:t>
    </w:r>
    <w:r>
      <w:rPr>
        <w:rFonts w:ascii="Arial" w:hAnsi="Arial" w:cs="Arial"/>
        <w:bCs/>
        <w:sz w:val="16"/>
        <w:szCs w:val="16"/>
      </w:rPr>
      <w:t>www.</w:t>
    </w:r>
    <w:r w:rsidRPr="00E8056B">
      <w:rPr>
        <w:rFonts w:ascii="Arial" w:hAnsi="Arial" w:cs="Arial"/>
        <w:bCs/>
        <w:sz w:val="16"/>
        <w:szCs w:val="16"/>
      </w:rPr>
      <w:t>truck.net.au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CAA" w:rsidRDefault="00FB1CAA">
    <w:pPr>
      <w:pStyle w:val="Footer"/>
      <w:jc w:val="right"/>
    </w:pPr>
    <w:r>
      <w:fldChar w:fldCharType="begin"/>
    </w:r>
    <w:r>
      <w:instrText xml:space="preserve"> PAGE   \* MERGEFORMAT </w:instrText>
    </w:r>
    <w:r>
      <w:fldChar w:fldCharType="separate"/>
    </w:r>
    <w:r>
      <w:rPr>
        <w:noProof/>
      </w:rPr>
      <w:t>7</w:t>
    </w:r>
    <w:r>
      <w:rPr>
        <w:noProof/>
      </w:rPr>
      <w:fldChar w:fldCharType="end"/>
    </w:r>
  </w:p>
  <w:p w:rsidR="00FB1CAA" w:rsidRDefault="00FB1C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CAA" w:rsidRDefault="00FB1CA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000000"/>
        <w:insideH w:val="single" w:sz="4" w:space="0" w:color="000000"/>
      </w:tblBorders>
      <w:tblLook w:val="04A0" w:firstRow="1" w:lastRow="0" w:firstColumn="1" w:lastColumn="0" w:noHBand="0" w:noVBand="1"/>
    </w:tblPr>
    <w:tblGrid>
      <w:gridCol w:w="4825"/>
      <w:gridCol w:w="4813"/>
    </w:tblGrid>
    <w:tr w:rsidR="00FB1CAA" w:rsidRPr="00A91411" w:rsidTr="008E09F4">
      <w:trPr>
        <w:trHeight w:val="57"/>
      </w:trPr>
      <w:tc>
        <w:tcPr>
          <w:tcW w:w="4927" w:type="dxa"/>
          <w:vAlign w:val="center"/>
        </w:tcPr>
        <w:p w:rsidR="00FB1CAA" w:rsidRPr="00A91411" w:rsidRDefault="00FB1CAA" w:rsidP="00E86F46">
          <w:pPr>
            <w:pStyle w:val="Footer"/>
            <w:rPr>
              <w:rFonts w:ascii="Arial" w:hAnsi="Arial" w:cs="Arial"/>
              <w:sz w:val="14"/>
              <w:szCs w:val="14"/>
            </w:rPr>
          </w:pPr>
          <w:r>
            <w:rPr>
              <w:rFonts w:ascii="Arial" w:hAnsi="Arial" w:cs="Arial"/>
              <w:sz w:val="14"/>
              <w:szCs w:val="14"/>
            </w:rPr>
            <w:t xml:space="preserve">ATA Submission: </w:t>
          </w:r>
          <w:r w:rsidRPr="00BC31F1">
            <w:rPr>
              <w:rFonts w:ascii="Arial" w:hAnsi="Arial" w:cs="Arial"/>
              <w:sz w:val="14"/>
              <w:szCs w:val="14"/>
            </w:rPr>
            <w:t>Competition Policy Review: Final Report</w:t>
          </w:r>
        </w:p>
      </w:tc>
      <w:tc>
        <w:tcPr>
          <w:tcW w:w="4927" w:type="dxa"/>
          <w:vAlign w:val="center"/>
        </w:tcPr>
        <w:p w:rsidR="00FB1CAA" w:rsidRPr="00A91411" w:rsidRDefault="00FB1CAA" w:rsidP="00D735FF">
          <w:pPr>
            <w:pStyle w:val="Footer"/>
            <w:jc w:val="right"/>
            <w:rPr>
              <w:rFonts w:ascii="Arial" w:hAnsi="Arial" w:cs="Arial"/>
              <w:sz w:val="14"/>
              <w:szCs w:val="14"/>
            </w:rPr>
          </w:pPr>
          <w:r w:rsidRPr="00A91411">
            <w:rPr>
              <w:rFonts w:ascii="Arial" w:hAnsi="Arial" w:cs="Arial"/>
              <w:sz w:val="14"/>
              <w:szCs w:val="14"/>
            </w:rPr>
            <w:t xml:space="preserve">Page </w:t>
          </w:r>
          <w:r w:rsidRPr="00A91411">
            <w:rPr>
              <w:rFonts w:ascii="Arial" w:hAnsi="Arial" w:cs="Arial"/>
              <w:sz w:val="14"/>
              <w:szCs w:val="14"/>
            </w:rPr>
            <w:fldChar w:fldCharType="begin"/>
          </w:r>
          <w:r w:rsidRPr="00A91411">
            <w:rPr>
              <w:rFonts w:ascii="Arial" w:hAnsi="Arial" w:cs="Arial"/>
              <w:sz w:val="14"/>
              <w:szCs w:val="14"/>
            </w:rPr>
            <w:instrText xml:space="preserve"> PAGE   \* MERGEFORMAT </w:instrText>
          </w:r>
          <w:r w:rsidRPr="00A91411">
            <w:rPr>
              <w:rFonts w:ascii="Arial" w:hAnsi="Arial" w:cs="Arial"/>
              <w:sz w:val="14"/>
              <w:szCs w:val="14"/>
            </w:rPr>
            <w:fldChar w:fldCharType="separate"/>
          </w:r>
          <w:r w:rsidR="00A62E0B">
            <w:rPr>
              <w:rFonts w:ascii="Arial" w:hAnsi="Arial" w:cs="Arial"/>
              <w:noProof/>
              <w:sz w:val="14"/>
              <w:szCs w:val="14"/>
            </w:rPr>
            <w:t>12</w:t>
          </w:r>
          <w:r w:rsidRPr="00A91411">
            <w:rPr>
              <w:rFonts w:ascii="Arial" w:hAnsi="Arial" w:cs="Arial"/>
              <w:sz w:val="14"/>
              <w:szCs w:val="14"/>
            </w:rPr>
            <w:fldChar w:fldCharType="end"/>
          </w:r>
        </w:p>
      </w:tc>
    </w:tr>
  </w:tbl>
  <w:p w:rsidR="00FB1CAA" w:rsidRPr="00A91411" w:rsidRDefault="00FB1CAA">
    <w:pP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CAA" w:rsidRDefault="00FB1C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CAA" w:rsidRDefault="00FB1CAA" w:rsidP="000F3D9F">
      <w:r>
        <w:separator/>
      </w:r>
    </w:p>
  </w:footnote>
  <w:footnote w:type="continuationSeparator" w:id="0">
    <w:p w:rsidR="00FB1CAA" w:rsidRDefault="00FB1CAA" w:rsidP="000F3D9F">
      <w:r>
        <w:continuationSeparator/>
      </w:r>
    </w:p>
  </w:footnote>
  <w:footnote w:id="1">
    <w:p w:rsidR="00FB1CAA" w:rsidRPr="00275252" w:rsidRDefault="00FB1CAA" w:rsidP="004368C5">
      <w:pPr>
        <w:pStyle w:val="FootnoteText"/>
        <w:rPr>
          <w:rFonts w:ascii="Arial" w:hAnsi="Arial" w:cs="Arial"/>
          <w:sz w:val="16"/>
          <w:szCs w:val="16"/>
        </w:rPr>
      </w:pPr>
      <w:r w:rsidRPr="00275252">
        <w:rPr>
          <w:rStyle w:val="FootnoteReference"/>
          <w:rFonts w:ascii="Arial" w:hAnsi="Arial" w:cs="Arial"/>
          <w:sz w:val="16"/>
          <w:szCs w:val="16"/>
        </w:rPr>
        <w:footnoteRef/>
      </w:r>
      <w:r w:rsidRPr="00275252">
        <w:rPr>
          <w:rFonts w:ascii="Arial" w:hAnsi="Arial" w:cs="Arial"/>
          <w:sz w:val="16"/>
          <w:szCs w:val="16"/>
        </w:rPr>
        <w:t xml:space="preserve">Competition Policy review,  </w:t>
      </w:r>
      <w:r w:rsidRPr="00275252">
        <w:rPr>
          <w:rFonts w:ascii="Arial" w:hAnsi="Arial" w:cs="Arial"/>
          <w:i/>
          <w:sz w:val="16"/>
          <w:szCs w:val="16"/>
        </w:rPr>
        <w:t>Competition Policy Review Final Report</w:t>
      </w:r>
      <w:r w:rsidRPr="00275252">
        <w:rPr>
          <w:rFonts w:ascii="Arial" w:hAnsi="Arial" w:cs="Arial"/>
          <w:sz w:val="16"/>
          <w:szCs w:val="16"/>
        </w:rPr>
        <w:t xml:space="preserve">, March 2015, accessible at: </w:t>
      </w:r>
      <w:hyperlink r:id="rId1" w:history="1">
        <w:r w:rsidRPr="00275252">
          <w:rPr>
            <w:rStyle w:val="Hyperlink"/>
            <w:rFonts w:ascii="Arial" w:hAnsi="Arial" w:cs="Arial"/>
            <w:sz w:val="16"/>
            <w:szCs w:val="16"/>
          </w:rPr>
          <w:t>http://competitionpolicyreview.gov.au/files/2015/03/Competition-policy-review-report_online.pdf</w:t>
        </w:r>
      </w:hyperlink>
      <w:r w:rsidRPr="00275252">
        <w:rPr>
          <w:rFonts w:ascii="Arial" w:hAnsi="Arial" w:cs="Arial"/>
          <w:sz w:val="16"/>
          <w:szCs w:val="16"/>
        </w:rPr>
        <w:t xml:space="preserve"> , Page 19</w:t>
      </w:r>
    </w:p>
  </w:footnote>
  <w:footnote w:id="2">
    <w:p w:rsidR="00FB1CAA" w:rsidRPr="00275252" w:rsidRDefault="00FB1CAA" w:rsidP="00702F15">
      <w:pPr>
        <w:pStyle w:val="FootnoteText"/>
        <w:rPr>
          <w:rFonts w:ascii="Arial" w:hAnsi="Arial" w:cs="Arial"/>
          <w:sz w:val="16"/>
          <w:szCs w:val="16"/>
        </w:rPr>
      </w:pPr>
      <w:r w:rsidRPr="00275252">
        <w:rPr>
          <w:rStyle w:val="FootnoteReference"/>
          <w:rFonts w:ascii="Arial" w:hAnsi="Arial" w:cs="Arial"/>
          <w:sz w:val="16"/>
          <w:szCs w:val="16"/>
        </w:rPr>
        <w:footnoteRef/>
      </w:r>
      <w:r w:rsidRPr="00275252">
        <w:rPr>
          <w:rFonts w:ascii="Arial" w:hAnsi="Arial" w:cs="Arial"/>
          <w:sz w:val="16"/>
          <w:szCs w:val="16"/>
        </w:rPr>
        <w:t xml:space="preserve"> Competition Policy review,  </w:t>
      </w:r>
      <w:r w:rsidRPr="00275252">
        <w:rPr>
          <w:rFonts w:ascii="Arial" w:hAnsi="Arial" w:cs="Arial"/>
          <w:i/>
          <w:sz w:val="16"/>
          <w:szCs w:val="16"/>
        </w:rPr>
        <w:t>Competition Policy Review Final Report</w:t>
      </w:r>
      <w:r w:rsidRPr="00275252">
        <w:rPr>
          <w:rFonts w:ascii="Arial" w:hAnsi="Arial" w:cs="Arial"/>
          <w:sz w:val="16"/>
          <w:szCs w:val="16"/>
        </w:rPr>
        <w:t xml:space="preserve">, March 2015, accessible at: </w:t>
      </w:r>
      <w:hyperlink r:id="rId2" w:history="1">
        <w:r w:rsidRPr="00275252">
          <w:rPr>
            <w:rStyle w:val="Hyperlink"/>
            <w:rFonts w:ascii="Arial" w:hAnsi="Arial" w:cs="Arial"/>
            <w:sz w:val="16"/>
            <w:szCs w:val="16"/>
          </w:rPr>
          <w:t>http://competitionpolicyreview.gov.au/files/2015/03/Competition-policy-review-report_online.pdf</w:t>
        </w:r>
      </w:hyperlink>
      <w:r w:rsidRPr="00275252">
        <w:rPr>
          <w:rFonts w:ascii="Arial" w:hAnsi="Arial" w:cs="Arial"/>
          <w:sz w:val="16"/>
          <w:szCs w:val="16"/>
        </w:rPr>
        <w:t xml:space="preserve"> , Page 20</w:t>
      </w:r>
    </w:p>
  </w:footnote>
  <w:footnote w:id="3">
    <w:p w:rsidR="00FB1CAA" w:rsidRPr="00275252" w:rsidRDefault="00FB1CAA" w:rsidP="00CA7E44">
      <w:pPr>
        <w:pStyle w:val="FootnoteText"/>
        <w:rPr>
          <w:rFonts w:ascii="Arial" w:hAnsi="Arial" w:cs="Arial"/>
          <w:sz w:val="16"/>
          <w:szCs w:val="16"/>
        </w:rPr>
      </w:pPr>
      <w:r w:rsidRPr="00275252">
        <w:rPr>
          <w:rStyle w:val="FootnoteReference"/>
          <w:rFonts w:ascii="Arial" w:hAnsi="Arial" w:cs="Arial"/>
          <w:sz w:val="16"/>
          <w:szCs w:val="16"/>
        </w:rPr>
        <w:footnoteRef/>
      </w:r>
      <w:r w:rsidRPr="00275252">
        <w:rPr>
          <w:rFonts w:ascii="Arial" w:hAnsi="Arial" w:cs="Arial"/>
          <w:sz w:val="16"/>
          <w:szCs w:val="16"/>
        </w:rPr>
        <w:t xml:space="preserve"> Bureau of Infrastructure, Transport and Regional Economics, </w:t>
      </w:r>
      <w:r w:rsidRPr="00275252">
        <w:rPr>
          <w:rFonts w:ascii="Arial" w:hAnsi="Arial" w:cs="Arial"/>
          <w:i/>
          <w:sz w:val="16"/>
          <w:szCs w:val="16"/>
        </w:rPr>
        <w:t>Truck productivity: sources, trends and future prospects</w:t>
      </w:r>
      <w:r w:rsidRPr="00275252">
        <w:rPr>
          <w:rFonts w:ascii="Arial" w:hAnsi="Arial" w:cs="Arial"/>
          <w:sz w:val="16"/>
          <w:szCs w:val="16"/>
        </w:rPr>
        <w:t xml:space="preserve">. Report 123. BITRE, Canberra, </w:t>
      </w:r>
      <w:proofErr w:type="gramStart"/>
      <w:r w:rsidRPr="00275252">
        <w:rPr>
          <w:rFonts w:ascii="Arial" w:hAnsi="Arial" w:cs="Arial"/>
          <w:sz w:val="16"/>
          <w:szCs w:val="16"/>
        </w:rPr>
        <w:t>2011.,</w:t>
      </w:r>
      <w:proofErr w:type="gramEnd"/>
      <w:r w:rsidRPr="00275252">
        <w:rPr>
          <w:rFonts w:ascii="Arial" w:hAnsi="Arial" w:cs="Arial"/>
          <w:sz w:val="16"/>
          <w:szCs w:val="16"/>
        </w:rPr>
        <w:t xml:space="preserve"> accessible at: </w:t>
      </w:r>
      <w:hyperlink r:id="rId3" w:history="1">
        <w:r w:rsidRPr="00275252">
          <w:rPr>
            <w:rStyle w:val="Hyperlink"/>
            <w:rFonts w:ascii="Arial" w:hAnsi="Arial" w:cs="Arial"/>
            <w:sz w:val="16"/>
            <w:szCs w:val="16"/>
          </w:rPr>
          <w:t>www.bitre.gov.au/publications/2011/files/report_123.pdf</w:t>
        </w:r>
      </w:hyperlink>
      <w:r w:rsidRPr="00275252">
        <w:rPr>
          <w:rFonts w:ascii="Arial" w:hAnsi="Arial" w:cs="Arial"/>
          <w:sz w:val="16"/>
          <w:szCs w:val="16"/>
        </w:rPr>
        <w:t xml:space="preserve"> page xv.</w:t>
      </w:r>
    </w:p>
  </w:footnote>
  <w:footnote w:id="4">
    <w:p w:rsidR="00FB1CAA" w:rsidRPr="00275252" w:rsidRDefault="00FB1CAA">
      <w:pPr>
        <w:pStyle w:val="FootnoteText"/>
        <w:rPr>
          <w:rFonts w:ascii="Arial" w:hAnsi="Arial" w:cs="Arial"/>
          <w:sz w:val="16"/>
          <w:szCs w:val="16"/>
        </w:rPr>
      </w:pPr>
      <w:r w:rsidRPr="00275252">
        <w:rPr>
          <w:rStyle w:val="FootnoteReference"/>
          <w:rFonts w:ascii="Arial" w:hAnsi="Arial" w:cs="Arial"/>
          <w:sz w:val="16"/>
          <w:szCs w:val="16"/>
        </w:rPr>
        <w:footnoteRef/>
      </w:r>
      <w:r w:rsidRPr="00275252">
        <w:rPr>
          <w:rFonts w:ascii="Arial" w:hAnsi="Arial" w:cs="Arial"/>
          <w:sz w:val="16"/>
          <w:szCs w:val="16"/>
        </w:rPr>
        <w:t xml:space="preserve"> Competition Policy review,  </w:t>
      </w:r>
      <w:r w:rsidRPr="00275252">
        <w:rPr>
          <w:rFonts w:ascii="Arial" w:hAnsi="Arial" w:cs="Arial"/>
          <w:i/>
          <w:sz w:val="16"/>
          <w:szCs w:val="16"/>
        </w:rPr>
        <w:t>Competition Policy Review Final Report</w:t>
      </w:r>
      <w:r w:rsidRPr="00275252">
        <w:rPr>
          <w:rFonts w:ascii="Arial" w:hAnsi="Arial" w:cs="Arial"/>
          <w:sz w:val="16"/>
          <w:szCs w:val="16"/>
        </w:rPr>
        <w:t xml:space="preserve">, March 2015, accessible at: </w:t>
      </w:r>
      <w:hyperlink r:id="rId4" w:history="1">
        <w:r w:rsidRPr="00275252">
          <w:rPr>
            <w:rStyle w:val="Hyperlink"/>
            <w:rFonts w:ascii="Arial" w:hAnsi="Arial" w:cs="Arial"/>
            <w:sz w:val="16"/>
            <w:szCs w:val="16"/>
          </w:rPr>
          <w:t>http://competitionpolicyreview.gov.au/files/2015/03/Competition-policy-review-report_online.pdf</w:t>
        </w:r>
      </w:hyperlink>
      <w:r w:rsidRPr="00275252">
        <w:rPr>
          <w:rFonts w:ascii="Arial" w:hAnsi="Arial" w:cs="Arial"/>
          <w:sz w:val="16"/>
          <w:szCs w:val="16"/>
        </w:rPr>
        <w:t xml:space="preserve"> , Page 212</w:t>
      </w:r>
    </w:p>
  </w:footnote>
  <w:footnote w:id="5">
    <w:p w:rsidR="00FB1CAA" w:rsidRPr="00275252" w:rsidRDefault="00FB1CAA" w:rsidP="002D3049">
      <w:pPr>
        <w:pStyle w:val="FootnoteText"/>
        <w:rPr>
          <w:rFonts w:ascii="Arial" w:hAnsi="Arial" w:cs="Arial"/>
          <w:sz w:val="16"/>
          <w:szCs w:val="16"/>
        </w:rPr>
      </w:pPr>
      <w:r w:rsidRPr="00275252">
        <w:rPr>
          <w:rStyle w:val="FootnoteReference"/>
          <w:rFonts w:ascii="Arial" w:hAnsi="Arial" w:cs="Arial"/>
          <w:sz w:val="16"/>
          <w:szCs w:val="16"/>
        </w:rPr>
        <w:footnoteRef/>
      </w:r>
      <w:r w:rsidRPr="00275252">
        <w:rPr>
          <w:rFonts w:ascii="Arial" w:hAnsi="Arial" w:cs="Arial"/>
          <w:sz w:val="16"/>
          <w:szCs w:val="16"/>
        </w:rPr>
        <w:t xml:space="preserve"> Competition Policy review,  </w:t>
      </w:r>
      <w:r w:rsidRPr="00275252">
        <w:rPr>
          <w:rFonts w:ascii="Arial" w:hAnsi="Arial" w:cs="Arial"/>
          <w:i/>
          <w:sz w:val="16"/>
          <w:szCs w:val="16"/>
        </w:rPr>
        <w:t>Competition Policy Review Final Report</w:t>
      </w:r>
      <w:r w:rsidRPr="00275252">
        <w:rPr>
          <w:rFonts w:ascii="Arial" w:hAnsi="Arial" w:cs="Arial"/>
          <w:sz w:val="16"/>
          <w:szCs w:val="16"/>
        </w:rPr>
        <w:t xml:space="preserve">, March 2015, accessible at: </w:t>
      </w:r>
      <w:hyperlink r:id="rId5" w:history="1">
        <w:r w:rsidRPr="00275252">
          <w:rPr>
            <w:rStyle w:val="Hyperlink"/>
            <w:rFonts w:ascii="Arial" w:hAnsi="Arial" w:cs="Arial"/>
            <w:sz w:val="16"/>
            <w:szCs w:val="16"/>
          </w:rPr>
          <w:t>http://competitionpolicyreview.gov.au/files/2015/03/Competition-policy-review-report_online.pdf</w:t>
        </w:r>
      </w:hyperlink>
      <w:r w:rsidRPr="00275252">
        <w:rPr>
          <w:rFonts w:ascii="Arial" w:hAnsi="Arial" w:cs="Arial"/>
          <w:sz w:val="16"/>
          <w:szCs w:val="16"/>
        </w:rPr>
        <w:t xml:space="preserve"> , Page 8</w:t>
      </w:r>
    </w:p>
  </w:footnote>
  <w:footnote w:id="6">
    <w:p w:rsidR="00FB1CAA" w:rsidRPr="00275252" w:rsidRDefault="00FB1CAA" w:rsidP="009A21E3">
      <w:pPr>
        <w:pStyle w:val="FootnoteText"/>
        <w:rPr>
          <w:rFonts w:ascii="Arial" w:hAnsi="Arial" w:cs="Arial"/>
          <w:sz w:val="16"/>
          <w:szCs w:val="16"/>
        </w:rPr>
      </w:pPr>
      <w:r w:rsidRPr="00275252">
        <w:rPr>
          <w:rStyle w:val="FootnoteReference"/>
          <w:rFonts w:ascii="Arial" w:hAnsi="Arial" w:cs="Arial"/>
          <w:sz w:val="16"/>
          <w:szCs w:val="16"/>
        </w:rPr>
        <w:footnoteRef/>
      </w:r>
      <w:r w:rsidRPr="00275252">
        <w:rPr>
          <w:rFonts w:ascii="Arial" w:hAnsi="Arial" w:cs="Arial"/>
          <w:sz w:val="16"/>
          <w:szCs w:val="16"/>
        </w:rPr>
        <w:t xml:space="preserve"> The Productivity Commission </w:t>
      </w:r>
      <w:r w:rsidRPr="00275252">
        <w:rPr>
          <w:rFonts w:ascii="Arial" w:hAnsi="Arial" w:cs="Arial"/>
          <w:i/>
          <w:sz w:val="16"/>
          <w:szCs w:val="16"/>
        </w:rPr>
        <w:t>Public Infrastructure</w:t>
      </w:r>
      <w:r w:rsidRPr="00275252">
        <w:rPr>
          <w:rFonts w:ascii="Arial" w:hAnsi="Arial" w:cs="Arial"/>
          <w:sz w:val="16"/>
          <w:szCs w:val="16"/>
        </w:rPr>
        <w:t xml:space="preserve">, 2014, accessible at: </w:t>
      </w:r>
      <w:hyperlink r:id="rId6" w:history="1">
        <w:r w:rsidRPr="00275252">
          <w:rPr>
            <w:rStyle w:val="Hyperlink"/>
            <w:rFonts w:ascii="Arial" w:hAnsi="Arial" w:cs="Arial"/>
            <w:sz w:val="16"/>
            <w:szCs w:val="16"/>
          </w:rPr>
          <w:t>http://www.pc.gov.au/inquiries/completed/infrastructure</w:t>
        </w:r>
      </w:hyperlink>
      <w:r w:rsidRPr="00275252">
        <w:rPr>
          <w:rFonts w:ascii="Arial" w:hAnsi="Arial" w:cs="Arial"/>
          <w:sz w:val="16"/>
          <w:szCs w:val="16"/>
        </w:rPr>
        <w:t xml:space="preserve">  Page 297</w:t>
      </w:r>
    </w:p>
  </w:footnote>
  <w:footnote w:id="7">
    <w:p w:rsidR="00FB1CAA" w:rsidRPr="00275252" w:rsidRDefault="00FB1CAA" w:rsidP="009A21E3">
      <w:pPr>
        <w:pStyle w:val="FootnoteText"/>
        <w:rPr>
          <w:rFonts w:ascii="Arial" w:hAnsi="Arial" w:cs="Arial"/>
          <w:sz w:val="16"/>
          <w:szCs w:val="16"/>
        </w:rPr>
      </w:pPr>
      <w:r w:rsidRPr="00275252">
        <w:rPr>
          <w:rStyle w:val="FootnoteReference"/>
          <w:rFonts w:ascii="Arial" w:hAnsi="Arial" w:cs="Arial"/>
          <w:sz w:val="16"/>
          <w:szCs w:val="16"/>
        </w:rPr>
        <w:footnoteRef/>
      </w:r>
      <w:r w:rsidRPr="00275252">
        <w:rPr>
          <w:rFonts w:ascii="Arial" w:hAnsi="Arial" w:cs="Arial"/>
          <w:sz w:val="16"/>
          <w:szCs w:val="16"/>
        </w:rPr>
        <w:t xml:space="preserve"> The Productivity Commission </w:t>
      </w:r>
      <w:r w:rsidRPr="00275252">
        <w:rPr>
          <w:rFonts w:ascii="Arial" w:hAnsi="Arial" w:cs="Arial"/>
          <w:i/>
          <w:sz w:val="16"/>
          <w:szCs w:val="16"/>
        </w:rPr>
        <w:t xml:space="preserve">Public Infrastructure, </w:t>
      </w:r>
      <w:r w:rsidRPr="00275252">
        <w:rPr>
          <w:rFonts w:ascii="Arial" w:hAnsi="Arial" w:cs="Arial"/>
          <w:sz w:val="16"/>
          <w:szCs w:val="16"/>
        </w:rPr>
        <w:t xml:space="preserve">2014, accessible at: </w:t>
      </w:r>
      <w:hyperlink r:id="rId7" w:history="1">
        <w:r w:rsidRPr="00275252">
          <w:rPr>
            <w:rStyle w:val="Hyperlink"/>
            <w:rFonts w:ascii="Arial" w:hAnsi="Arial" w:cs="Arial"/>
            <w:sz w:val="16"/>
            <w:szCs w:val="16"/>
          </w:rPr>
          <w:t>http://www.pc.gov.au/inquiries/completed/infrastructure</w:t>
        </w:r>
      </w:hyperlink>
      <w:r w:rsidRPr="00275252">
        <w:rPr>
          <w:rFonts w:ascii="Arial" w:hAnsi="Arial" w:cs="Arial"/>
          <w:sz w:val="16"/>
          <w:szCs w:val="16"/>
        </w:rPr>
        <w:t xml:space="preserve">  Page 281</w:t>
      </w:r>
    </w:p>
  </w:footnote>
  <w:footnote w:id="8">
    <w:p w:rsidR="00FB1CAA" w:rsidRPr="00275252" w:rsidRDefault="00FB1CAA">
      <w:pPr>
        <w:pStyle w:val="FootnoteText"/>
        <w:rPr>
          <w:rFonts w:ascii="Arial" w:hAnsi="Arial" w:cs="Arial"/>
          <w:sz w:val="16"/>
          <w:szCs w:val="16"/>
        </w:rPr>
      </w:pPr>
      <w:r w:rsidRPr="00275252">
        <w:rPr>
          <w:rStyle w:val="FootnoteReference"/>
          <w:rFonts w:ascii="Arial" w:hAnsi="Arial" w:cs="Arial"/>
          <w:sz w:val="16"/>
          <w:szCs w:val="16"/>
        </w:rPr>
        <w:footnoteRef/>
      </w:r>
      <w:r w:rsidRPr="00275252">
        <w:rPr>
          <w:rFonts w:ascii="Arial" w:hAnsi="Arial" w:cs="Arial"/>
          <w:sz w:val="16"/>
          <w:szCs w:val="16"/>
        </w:rPr>
        <w:t xml:space="preserve"> The Productivity Commission </w:t>
      </w:r>
      <w:r w:rsidRPr="00275252">
        <w:rPr>
          <w:rFonts w:ascii="Arial" w:hAnsi="Arial" w:cs="Arial"/>
          <w:i/>
          <w:sz w:val="16"/>
          <w:szCs w:val="16"/>
        </w:rPr>
        <w:t xml:space="preserve">Public Infrastructure, </w:t>
      </w:r>
      <w:r w:rsidRPr="00275252">
        <w:rPr>
          <w:rFonts w:ascii="Arial" w:hAnsi="Arial" w:cs="Arial"/>
          <w:sz w:val="16"/>
          <w:szCs w:val="16"/>
        </w:rPr>
        <w:t xml:space="preserve">2014, accessible at: </w:t>
      </w:r>
      <w:hyperlink r:id="rId8" w:history="1">
        <w:r w:rsidRPr="00275252">
          <w:rPr>
            <w:rStyle w:val="Hyperlink"/>
            <w:rFonts w:ascii="Arial" w:hAnsi="Arial" w:cs="Arial"/>
            <w:sz w:val="16"/>
            <w:szCs w:val="16"/>
          </w:rPr>
          <w:t>http://www.pc.gov.au/inquiries/completed/infrastructure</w:t>
        </w:r>
      </w:hyperlink>
      <w:r w:rsidRPr="00275252">
        <w:rPr>
          <w:rFonts w:ascii="Arial" w:hAnsi="Arial" w:cs="Arial"/>
          <w:sz w:val="16"/>
          <w:szCs w:val="16"/>
        </w:rPr>
        <w:t xml:space="preserve"> Page 579</w:t>
      </w:r>
    </w:p>
  </w:footnote>
  <w:footnote w:id="9">
    <w:p w:rsidR="00FB1CAA" w:rsidRPr="00275252" w:rsidRDefault="00FB1CAA" w:rsidP="008865D9">
      <w:pPr>
        <w:pStyle w:val="FootnoteText"/>
        <w:rPr>
          <w:rFonts w:ascii="Arial" w:hAnsi="Arial" w:cs="Arial"/>
          <w:sz w:val="16"/>
          <w:szCs w:val="16"/>
        </w:rPr>
      </w:pPr>
      <w:r w:rsidRPr="00275252">
        <w:rPr>
          <w:rStyle w:val="FootnoteReference"/>
          <w:rFonts w:ascii="Arial" w:hAnsi="Arial" w:cs="Arial"/>
          <w:sz w:val="16"/>
          <w:szCs w:val="16"/>
        </w:rPr>
        <w:footnoteRef/>
      </w:r>
      <w:r w:rsidRPr="00275252">
        <w:rPr>
          <w:rFonts w:ascii="Arial" w:hAnsi="Arial" w:cs="Arial"/>
          <w:sz w:val="16"/>
          <w:szCs w:val="16"/>
        </w:rPr>
        <w:t xml:space="preserve"> Australian Government, </w:t>
      </w:r>
      <w:r w:rsidRPr="00275252">
        <w:rPr>
          <w:rFonts w:ascii="Arial" w:hAnsi="Arial" w:cs="Arial"/>
          <w:i/>
          <w:sz w:val="16"/>
          <w:szCs w:val="16"/>
        </w:rPr>
        <w:t xml:space="preserve">Australian Government Response: Productivity Commission Inquiry Report into Public Infrastructure </w:t>
      </w:r>
      <w:r w:rsidRPr="00275252">
        <w:rPr>
          <w:rFonts w:ascii="Arial" w:hAnsi="Arial" w:cs="Arial"/>
          <w:sz w:val="16"/>
          <w:szCs w:val="16"/>
        </w:rPr>
        <w:t xml:space="preserve">,2014 ,accessible at: </w:t>
      </w:r>
      <w:hyperlink r:id="rId9" w:history="1">
        <w:r w:rsidRPr="00275252">
          <w:rPr>
            <w:rStyle w:val="Hyperlink"/>
            <w:rFonts w:ascii="Arial" w:hAnsi="Arial" w:cs="Arial"/>
            <w:sz w:val="16"/>
            <w:szCs w:val="16"/>
          </w:rPr>
          <w:t>http://www.infrastructure.gov.au/infrastructure/publications/files/Productivity_Commission_Inquiry_Report_into_Public_Infrastructure.pdf</w:t>
        </w:r>
      </w:hyperlink>
      <w:r w:rsidRPr="00275252">
        <w:rPr>
          <w:rFonts w:ascii="Arial" w:hAnsi="Arial" w:cs="Arial"/>
          <w:sz w:val="16"/>
          <w:szCs w:val="16"/>
        </w:rPr>
        <w:t xml:space="preserve">,Page 8 </w:t>
      </w:r>
    </w:p>
  </w:footnote>
  <w:footnote w:id="10">
    <w:p w:rsidR="00FB1CAA" w:rsidRPr="00275252" w:rsidRDefault="00FB1CAA">
      <w:pPr>
        <w:pStyle w:val="FootnoteText"/>
        <w:rPr>
          <w:rFonts w:ascii="Arial" w:hAnsi="Arial" w:cs="Arial"/>
          <w:sz w:val="16"/>
          <w:szCs w:val="16"/>
        </w:rPr>
      </w:pPr>
      <w:r w:rsidRPr="00275252">
        <w:rPr>
          <w:rStyle w:val="FootnoteReference"/>
          <w:rFonts w:ascii="Arial" w:hAnsi="Arial" w:cs="Arial"/>
          <w:sz w:val="16"/>
          <w:szCs w:val="16"/>
        </w:rPr>
        <w:footnoteRef/>
      </w:r>
      <w:r w:rsidRPr="00275252">
        <w:rPr>
          <w:rFonts w:ascii="Arial" w:hAnsi="Arial" w:cs="Arial"/>
          <w:sz w:val="16"/>
          <w:szCs w:val="16"/>
        </w:rPr>
        <w:t xml:space="preserve"> The Productivity Commission </w:t>
      </w:r>
      <w:r w:rsidRPr="00275252">
        <w:rPr>
          <w:rFonts w:ascii="Arial" w:hAnsi="Arial" w:cs="Arial"/>
          <w:i/>
          <w:sz w:val="16"/>
          <w:szCs w:val="16"/>
        </w:rPr>
        <w:t xml:space="preserve">Public Infrastructure, </w:t>
      </w:r>
      <w:r w:rsidRPr="00275252">
        <w:rPr>
          <w:rFonts w:ascii="Arial" w:hAnsi="Arial" w:cs="Arial"/>
          <w:sz w:val="16"/>
          <w:szCs w:val="16"/>
        </w:rPr>
        <w:t xml:space="preserve">2014, accessible at: </w:t>
      </w:r>
      <w:hyperlink r:id="rId10" w:history="1">
        <w:r w:rsidRPr="00275252">
          <w:rPr>
            <w:rStyle w:val="Hyperlink"/>
            <w:rFonts w:ascii="Arial" w:hAnsi="Arial" w:cs="Arial"/>
            <w:sz w:val="16"/>
            <w:szCs w:val="16"/>
          </w:rPr>
          <w:t>http://www.pc.gov.au/inquiries/completed/infrastructure</w:t>
        </w:r>
      </w:hyperlink>
      <w:r w:rsidRPr="00275252">
        <w:rPr>
          <w:rFonts w:ascii="Arial" w:hAnsi="Arial" w:cs="Arial"/>
          <w:sz w:val="16"/>
          <w:szCs w:val="16"/>
        </w:rPr>
        <w:t xml:space="preserve">  Page 76</w:t>
      </w:r>
    </w:p>
  </w:footnote>
  <w:footnote w:id="11">
    <w:p w:rsidR="00FB1CAA" w:rsidRPr="00275252" w:rsidRDefault="00FB1CAA" w:rsidP="008865D9">
      <w:pPr>
        <w:pStyle w:val="FootnoteText"/>
        <w:rPr>
          <w:rFonts w:ascii="Arial" w:hAnsi="Arial" w:cs="Arial"/>
          <w:sz w:val="16"/>
          <w:szCs w:val="16"/>
        </w:rPr>
      </w:pPr>
      <w:r w:rsidRPr="00275252">
        <w:rPr>
          <w:rStyle w:val="FootnoteReference"/>
          <w:rFonts w:ascii="Arial" w:hAnsi="Arial" w:cs="Arial"/>
          <w:sz w:val="16"/>
          <w:szCs w:val="16"/>
        </w:rPr>
        <w:footnoteRef/>
      </w:r>
      <w:r w:rsidRPr="00275252">
        <w:rPr>
          <w:rFonts w:ascii="Arial" w:hAnsi="Arial" w:cs="Arial"/>
          <w:sz w:val="16"/>
          <w:szCs w:val="16"/>
        </w:rPr>
        <w:t xml:space="preserve"> The Productivity Commission </w:t>
      </w:r>
      <w:r w:rsidRPr="00275252">
        <w:rPr>
          <w:rFonts w:ascii="Arial" w:hAnsi="Arial" w:cs="Arial"/>
          <w:i/>
          <w:sz w:val="16"/>
          <w:szCs w:val="16"/>
        </w:rPr>
        <w:t xml:space="preserve">Public Infrastructure, </w:t>
      </w:r>
      <w:r w:rsidRPr="00275252">
        <w:rPr>
          <w:rFonts w:ascii="Arial" w:hAnsi="Arial" w:cs="Arial"/>
          <w:sz w:val="16"/>
          <w:szCs w:val="16"/>
        </w:rPr>
        <w:t xml:space="preserve">2014, accessible at: </w:t>
      </w:r>
      <w:hyperlink r:id="rId11" w:history="1">
        <w:r w:rsidRPr="00275252">
          <w:rPr>
            <w:rStyle w:val="Hyperlink"/>
            <w:rFonts w:ascii="Arial" w:hAnsi="Arial" w:cs="Arial"/>
            <w:sz w:val="16"/>
            <w:szCs w:val="16"/>
          </w:rPr>
          <w:t>http://www.pc.gov.au/inquiries/completed/infrastructure</w:t>
        </w:r>
      </w:hyperlink>
      <w:r w:rsidRPr="00275252">
        <w:rPr>
          <w:rFonts w:ascii="Arial" w:hAnsi="Arial" w:cs="Arial"/>
          <w:sz w:val="16"/>
          <w:szCs w:val="16"/>
        </w:rPr>
        <w:t xml:space="preserve">  Page 92</w:t>
      </w:r>
    </w:p>
  </w:footnote>
  <w:footnote w:id="12">
    <w:p w:rsidR="00FB1CAA" w:rsidRPr="00275252" w:rsidRDefault="00FB1CAA" w:rsidP="008865D9">
      <w:pPr>
        <w:pStyle w:val="FootnoteText"/>
        <w:rPr>
          <w:rFonts w:ascii="Arial" w:hAnsi="Arial" w:cs="Arial"/>
          <w:sz w:val="16"/>
          <w:szCs w:val="16"/>
        </w:rPr>
      </w:pPr>
      <w:r w:rsidRPr="00275252">
        <w:rPr>
          <w:rStyle w:val="FootnoteReference"/>
          <w:rFonts w:ascii="Arial" w:hAnsi="Arial" w:cs="Arial"/>
          <w:sz w:val="16"/>
          <w:szCs w:val="16"/>
        </w:rPr>
        <w:footnoteRef/>
      </w:r>
      <w:r w:rsidRPr="00275252">
        <w:rPr>
          <w:rFonts w:ascii="Arial" w:hAnsi="Arial" w:cs="Arial"/>
          <w:sz w:val="16"/>
          <w:szCs w:val="16"/>
        </w:rPr>
        <w:t xml:space="preserve"> Australian Government, </w:t>
      </w:r>
      <w:r w:rsidRPr="00275252">
        <w:rPr>
          <w:rFonts w:ascii="Arial" w:hAnsi="Arial" w:cs="Arial"/>
          <w:i/>
          <w:sz w:val="16"/>
          <w:szCs w:val="16"/>
        </w:rPr>
        <w:t xml:space="preserve">Australian Government Response: Productivity Commission Inquiry Report into Public Infrastructure </w:t>
      </w:r>
      <w:r w:rsidRPr="00275252">
        <w:rPr>
          <w:rFonts w:ascii="Arial" w:hAnsi="Arial" w:cs="Arial"/>
          <w:sz w:val="16"/>
          <w:szCs w:val="16"/>
        </w:rPr>
        <w:t xml:space="preserve">,2014 ,accessible at: </w:t>
      </w:r>
      <w:hyperlink r:id="rId12" w:history="1">
        <w:r w:rsidRPr="00275252">
          <w:rPr>
            <w:rStyle w:val="Hyperlink"/>
            <w:rFonts w:ascii="Arial" w:hAnsi="Arial" w:cs="Arial"/>
            <w:sz w:val="16"/>
            <w:szCs w:val="16"/>
          </w:rPr>
          <w:t>http://www.infrastructure.gov.au/infrastructure/publications/files/Productivity_Commission_Inquiry_Report_into_Public_Infrastructure.pdf</w:t>
        </w:r>
      </w:hyperlink>
      <w:r w:rsidRPr="00275252">
        <w:rPr>
          <w:rFonts w:ascii="Arial" w:hAnsi="Arial" w:cs="Arial"/>
          <w:sz w:val="16"/>
          <w:szCs w:val="16"/>
        </w:rPr>
        <w:t>,Page 4</w:t>
      </w:r>
    </w:p>
  </w:footnote>
  <w:footnote w:id="13">
    <w:p w:rsidR="00FB1CAA" w:rsidRPr="00275252" w:rsidRDefault="00FB1CAA" w:rsidP="009D3EC7">
      <w:pPr>
        <w:pStyle w:val="FootnoteText"/>
        <w:rPr>
          <w:rFonts w:ascii="Arial" w:hAnsi="Arial" w:cs="Arial"/>
          <w:sz w:val="16"/>
          <w:szCs w:val="16"/>
        </w:rPr>
      </w:pPr>
      <w:r w:rsidRPr="00275252">
        <w:rPr>
          <w:rStyle w:val="FootnoteReference"/>
          <w:rFonts w:ascii="Arial" w:hAnsi="Arial" w:cs="Arial"/>
          <w:sz w:val="16"/>
          <w:szCs w:val="16"/>
        </w:rPr>
        <w:footnoteRef/>
      </w:r>
      <w:r w:rsidRPr="00275252">
        <w:rPr>
          <w:rFonts w:ascii="Arial" w:hAnsi="Arial" w:cs="Arial"/>
          <w:sz w:val="16"/>
          <w:szCs w:val="16"/>
        </w:rPr>
        <w:t xml:space="preserve"> Competition Policy review,  </w:t>
      </w:r>
      <w:r w:rsidRPr="00275252">
        <w:rPr>
          <w:rFonts w:ascii="Arial" w:hAnsi="Arial" w:cs="Arial"/>
          <w:i/>
          <w:sz w:val="16"/>
          <w:szCs w:val="16"/>
        </w:rPr>
        <w:t>Competition Policy Review Final Report</w:t>
      </w:r>
      <w:r w:rsidRPr="00275252">
        <w:rPr>
          <w:rFonts w:ascii="Arial" w:hAnsi="Arial" w:cs="Arial"/>
          <w:sz w:val="16"/>
          <w:szCs w:val="16"/>
        </w:rPr>
        <w:t xml:space="preserve">, March 2015, accessible at: </w:t>
      </w:r>
      <w:hyperlink r:id="rId13" w:history="1">
        <w:r w:rsidRPr="00275252">
          <w:rPr>
            <w:rStyle w:val="Hyperlink"/>
            <w:rFonts w:ascii="Arial" w:hAnsi="Arial" w:cs="Arial"/>
            <w:sz w:val="16"/>
            <w:szCs w:val="16"/>
          </w:rPr>
          <w:t>http://competitionpolicyreview.gov.au/files/2015/03/Competition-policy-review-report_online.pdf</w:t>
        </w:r>
      </w:hyperlink>
      <w:r w:rsidRPr="00275252">
        <w:rPr>
          <w:rFonts w:ascii="Arial" w:hAnsi="Arial" w:cs="Arial"/>
          <w:sz w:val="16"/>
          <w:szCs w:val="16"/>
        </w:rPr>
        <w:t xml:space="preserve"> , Page 217</w:t>
      </w:r>
    </w:p>
  </w:footnote>
  <w:footnote w:id="14">
    <w:p w:rsidR="00FB1CAA" w:rsidRPr="00275252" w:rsidRDefault="00FB1CAA" w:rsidP="006248F8">
      <w:pPr>
        <w:pStyle w:val="FootnoteText"/>
        <w:rPr>
          <w:rFonts w:ascii="Arial" w:hAnsi="Arial" w:cs="Arial"/>
          <w:sz w:val="16"/>
          <w:szCs w:val="16"/>
        </w:rPr>
      </w:pPr>
      <w:r w:rsidRPr="00275252">
        <w:rPr>
          <w:rStyle w:val="FootnoteReference"/>
          <w:rFonts w:ascii="Arial" w:hAnsi="Arial" w:cs="Arial"/>
          <w:sz w:val="16"/>
          <w:szCs w:val="16"/>
        </w:rPr>
        <w:footnoteRef/>
      </w:r>
      <w:r w:rsidRPr="00275252">
        <w:rPr>
          <w:rFonts w:ascii="Arial" w:hAnsi="Arial" w:cs="Arial"/>
          <w:sz w:val="16"/>
          <w:szCs w:val="16"/>
        </w:rPr>
        <w:t xml:space="preserve"> PricewaterhouseCoopers, </w:t>
      </w:r>
      <w:r w:rsidRPr="00275252">
        <w:rPr>
          <w:rFonts w:ascii="Arial" w:hAnsi="Arial" w:cs="Arial"/>
          <w:i/>
          <w:iCs/>
          <w:sz w:val="16"/>
          <w:szCs w:val="16"/>
        </w:rPr>
        <w:t xml:space="preserve">A future strategy for road supply and charging in Australia, </w:t>
      </w:r>
      <w:r w:rsidRPr="00275252">
        <w:rPr>
          <w:rFonts w:ascii="Arial" w:hAnsi="Arial" w:cs="Arial"/>
          <w:sz w:val="16"/>
          <w:szCs w:val="16"/>
        </w:rPr>
        <w:t xml:space="preserve">2013, accessible at: </w:t>
      </w:r>
      <w:hyperlink r:id="rId14" w:history="1">
        <w:r w:rsidRPr="00275252">
          <w:rPr>
            <w:rStyle w:val="Hyperlink"/>
            <w:rFonts w:ascii="Arial" w:hAnsi="Arial" w:cs="Arial"/>
            <w:sz w:val="16"/>
            <w:szCs w:val="16"/>
          </w:rPr>
          <w:t>www.truck.net.au/industry-resources/future-strategy-road-supply-and-charging-australia</w:t>
        </w:r>
      </w:hyperlink>
      <w:r w:rsidRPr="00275252">
        <w:rPr>
          <w:rFonts w:ascii="Arial" w:hAnsi="Arial" w:cs="Arial"/>
          <w:sz w:val="16"/>
          <w:szCs w:val="16"/>
        </w:rPr>
        <w:t xml:space="preserve"> ,Page 18 </w:t>
      </w:r>
    </w:p>
  </w:footnote>
  <w:footnote w:id="15">
    <w:p w:rsidR="00FB1CAA" w:rsidRPr="00275252" w:rsidRDefault="00FB1CAA">
      <w:pPr>
        <w:pStyle w:val="FootnoteText"/>
        <w:rPr>
          <w:rFonts w:ascii="Arial" w:hAnsi="Arial" w:cs="Arial"/>
          <w:sz w:val="16"/>
          <w:szCs w:val="16"/>
        </w:rPr>
      </w:pPr>
      <w:r w:rsidRPr="00275252">
        <w:rPr>
          <w:rStyle w:val="FootnoteReference"/>
          <w:rFonts w:ascii="Arial" w:hAnsi="Arial" w:cs="Arial"/>
          <w:sz w:val="16"/>
          <w:szCs w:val="16"/>
        </w:rPr>
        <w:footnoteRef/>
      </w:r>
      <w:r w:rsidRPr="00275252">
        <w:rPr>
          <w:rFonts w:ascii="Arial" w:hAnsi="Arial" w:cs="Arial"/>
          <w:sz w:val="16"/>
          <w:szCs w:val="16"/>
        </w:rPr>
        <w:t xml:space="preserve"> </w:t>
      </w:r>
      <w:r w:rsidRPr="00275252">
        <w:rPr>
          <w:rFonts w:ascii="Arial" w:hAnsi="Arial" w:cs="Arial"/>
          <w:bCs/>
          <w:sz w:val="16"/>
          <w:szCs w:val="16"/>
          <w:lang w:eastAsia="en-AU"/>
        </w:rPr>
        <w:t xml:space="preserve">Independent Pricing and regulatory Tribunal </w:t>
      </w:r>
      <w:r w:rsidRPr="00275252">
        <w:rPr>
          <w:rFonts w:ascii="Arial" w:hAnsi="Arial" w:cs="Arial"/>
          <w:bCs/>
          <w:i/>
          <w:sz w:val="16"/>
          <w:szCs w:val="16"/>
          <w:lang w:eastAsia="en-AU"/>
        </w:rPr>
        <w:t xml:space="preserve">, </w:t>
      </w:r>
      <w:r w:rsidRPr="00275252">
        <w:rPr>
          <w:rFonts w:ascii="Arial" w:hAnsi="Arial" w:cs="Arial"/>
          <w:i/>
          <w:sz w:val="16"/>
          <w:szCs w:val="16"/>
          <w:lang w:eastAsia="en-AU"/>
        </w:rPr>
        <w:t>Review of access pricing on the NSW grain line network</w:t>
      </w:r>
      <w:r w:rsidRPr="00275252">
        <w:rPr>
          <w:rFonts w:ascii="Arial" w:hAnsi="Arial" w:cs="Arial"/>
          <w:sz w:val="16"/>
          <w:szCs w:val="16"/>
          <w:lang w:eastAsia="en-AU"/>
        </w:rPr>
        <w:t xml:space="preserve">, accessible at: </w:t>
      </w:r>
      <w:hyperlink r:id="rId15" w:history="1">
        <w:r w:rsidRPr="00275252">
          <w:rPr>
            <w:rStyle w:val="Hyperlink"/>
            <w:rFonts w:ascii="Arial" w:hAnsi="Arial" w:cs="Arial"/>
            <w:sz w:val="16"/>
            <w:szCs w:val="16"/>
            <w:lang w:eastAsia="en-AU"/>
          </w:rPr>
          <w:t>http://www.ipart.nsw.gov.au/Home/Industries/Other/Reviews/Grain</w:t>
        </w:r>
      </w:hyperlink>
      <w:r w:rsidRPr="00275252">
        <w:rPr>
          <w:rFonts w:ascii="Arial" w:hAnsi="Arial" w:cs="Arial"/>
          <w:sz w:val="16"/>
          <w:szCs w:val="16"/>
          <w:lang w:eastAsia="en-AU"/>
        </w:rPr>
        <w:t xml:space="preserve">  April 2012, page 20 </w:t>
      </w:r>
    </w:p>
  </w:footnote>
  <w:footnote w:id="16">
    <w:p w:rsidR="00FB1CAA" w:rsidRPr="00275252" w:rsidRDefault="00FB1CAA">
      <w:pPr>
        <w:pStyle w:val="FootnoteText"/>
        <w:rPr>
          <w:rFonts w:ascii="Arial" w:hAnsi="Arial" w:cs="Arial"/>
          <w:sz w:val="16"/>
          <w:szCs w:val="16"/>
        </w:rPr>
      </w:pPr>
      <w:r w:rsidRPr="00275252">
        <w:rPr>
          <w:rStyle w:val="FootnoteReference"/>
          <w:rFonts w:ascii="Arial" w:hAnsi="Arial" w:cs="Arial"/>
          <w:sz w:val="16"/>
          <w:szCs w:val="16"/>
        </w:rPr>
        <w:footnoteRef/>
      </w:r>
      <w:r w:rsidRPr="00275252">
        <w:rPr>
          <w:rFonts w:ascii="Arial" w:hAnsi="Arial" w:cs="Arial"/>
          <w:sz w:val="16"/>
          <w:szCs w:val="16"/>
        </w:rPr>
        <w:t xml:space="preserve"> Bureau of Infrastructure, Transport and Regional Economics</w:t>
      </w:r>
      <w:r w:rsidRPr="00275252">
        <w:rPr>
          <w:rFonts w:ascii="Arial" w:hAnsi="Arial" w:cs="Arial"/>
          <w:i/>
          <w:sz w:val="16"/>
          <w:szCs w:val="16"/>
        </w:rPr>
        <w:t>, Road and rail freight: competitors or complements?</w:t>
      </w:r>
      <w:r w:rsidRPr="00275252">
        <w:rPr>
          <w:rFonts w:ascii="Arial" w:hAnsi="Arial" w:cs="Arial"/>
          <w:sz w:val="16"/>
          <w:szCs w:val="16"/>
        </w:rPr>
        <w:t xml:space="preserve"> accessible at </w:t>
      </w:r>
      <w:hyperlink r:id="rId16" w:history="1">
        <w:r w:rsidRPr="00275252">
          <w:rPr>
            <w:rStyle w:val="Hyperlink"/>
            <w:rFonts w:ascii="Arial" w:hAnsi="Arial" w:cs="Arial"/>
            <w:sz w:val="16"/>
            <w:szCs w:val="16"/>
          </w:rPr>
          <w:t>https://www.bitre.gov.au/publications/2009/files/is_034.pdf</w:t>
        </w:r>
      </w:hyperlink>
      <w:r w:rsidRPr="00275252">
        <w:rPr>
          <w:rFonts w:ascii="Arial" w:hAnsi="Arial" w:cs="Arial"/>
          <w:sz w:val="16"/>
          <w:szCs w:val="16"/>
        </w:rPr>
        <w:t xml:space="preserve">  , April 2009, Page 9 </w:t>
      </w:r>
    </w:p>
  </w:footnote>
  <w:footnote w:id="17">
    <w:p w:rsidR="00FB1CAA" w:rsidRPr="00275252" w:rsidRDefault="00FB1CAA">
      <w:pPr>
        <w:pStyle w:val="FootnoteText"/>
        <w:rPr>
          <w:rFonts w:ascii="Arial" w:hAnsi="Arial" w:cs="Arial"/>
          <w:sz w:val="16"/>
          <w:szCs w:val="16"/>
        </w:rPr>
      </w:pPr>
      <w:r w:rsidRPr="00275252">
        <w:rPr>
          <w:rStyle w:val="FootnoteReference"/>
          <w:rFonts w:ascii="Arial" w:hAnsi="Arial" w:cs="Arial"/>
          <w:sz w:val="16"/>
          <w:szCs w:val="16"/>
        </w:rPr>
        <w:footnoteRef/>
      </w:r>
      <w:r w:rsidRPr="00275252">
        <w:rPr>
          <w:rFonts w:ascii="Arial" w:hAnsi="Arial" w:cs="Arial"/>
          <w:sz w:val="16"/>
          <w:szCs w:val="16"/>
        </w:rPr>
        <w:t xml:space="preserve"> Bureau of Infrastructure, Transport and Regional Economics</w:t>
      </w:r>
      <w:r w:rsidRPr="00275252">
        <w:rPr>
          <w:rFonts w:ascii="Arial" w:hAnsi="Arial" w:cs="Arial"/>
          <w:i/>
          <w:sz w:val="16"/>
          <w:szCs w:val="16"/>
        </w:rPr>
        <w:t>, Road and rail freight: competitors or complements?</w:t>
      </w:r>
      <w:r w:rsidRPr="00275252">
        <w:rPr>
          <w:rFonts w:ascii="Arial" w:hAnsi="Arial" w:cs="Arial"/>
          <w:sz w:val="16"/>
          <w:szCs w:val="16"/>
        </w:rPr>
        <w:t xml:space="preserve"> accessible at </w:t>
      </w:r>
      <w:hyperlink r:id="rId17" w:history="1">
        <w:r w:rsidRPr="00275252">
          <w:rPr>
            <w:rStyle w:val="Hyperlink"/>
            <w:rFonts w:ascii="Arial" w:hAnsi="Arial" w:cs="Arial"/>
            <w:sz w:val="16"/>
            <w:szCs w:val="16"/>
          </w:rPr>
          <w:t>https://www.bitre.gov.au/publications/2009/files/is_034.pdf</w:t>
        </w:r>
      </w:hyperlink>
      <w:r w:rsidRPr="00275252">
        <w:rPr>
          <w:rFonts w:ascii="Arial" w:hAnsi="Arial" w:cs="Arial"/>
          <w:sz w:val="16"/>
          <w:szCs w:val="16"/>
        </w:rPr>
        <w:t xml:space="preserve">  , April 2009 Page 10</w:t>
      </w:r>
    </w:p>
  </w:footnote>
  <w:footnote w:id="18">
    <w:p w:rsidR="00FB1CAA" w:rsidRPr="00275252" w:rsidRDefault="00FB1CAA" w:rsidP="00674391">
      <w:pPr>
        <w:pStyle w:val="FootnoteText"/>
        <w:rPr>
          <w:rFonts w:ascii="Arial" w:hAnsi="Arial" w:cs="Arial"/>
          <w:sz w:val="16"/>
          <w:szCs w:val="16"/>
        </w:rPr>
      </w:pPr>
      <w:r w:rsidRPr="00275252">
        <w:rPr>
          <w:rStyle w:val="FootnoteReference"/>
          <w:rFonts w:ascii="Arial" w:hAnsi="Arial" w:cs="Arial"/>
          <w:sz w:val="16"/>
          <w:szCs w:val="16"/>
        </w:rPr>
        <w:footnoteRef/>
      </w:r>
      <w:r w:rsidRPr="00275252">
        <w:rPr>
          <w:rFonts w:ascii="Arial" w:hAnsi="Arial" w:cs="Arial"/>
          <w:sz w:val="16"/>
          <w:szCs w:val="16"/>
        </w:rPr>
        <w:t xml:space="preserve"> National Transport Commission, </w:t>
      </w:r>
      <w:r w:rsidRPr="00275252">
        <w:rPr>
          <w:rFonts w:ascii="Arial" w:hAnsi="Arial" w:cs="Arial"/>
          <w:i/>
          <w:sz w:val="16"/>
          <w:szCs w:val="16"/>
        </w:rPr>
        <w:t>2014 Heavy Vehicle Charges Determination RIS February 2014</w:t>
      </w:r>
      <w:r w:rsidRPr="00275252">
        <w:rPr>
          <w:rFonts w:ascii="Arial" w:hAnsi="Arial" w:cs="Arial"/>
          <w:sz w:val="16"/>
          <w:szCs w:val="16"/>
        </w:rPr>
        <w:t>, Accessible at :</w:t>
      </w:r>
      <w:hyperlink r:id="rId18" w:history="1">
        <w:r w:rsidRPr="00275252">
          <w:rPr>
            <w:rStyle w:val="Hyperlink"/>
            <w:rFonts w:ascii="Arial" w:hAnsi="Arial" w:cs="Arial"/>
            <w:sz w:val="16"/>
            <w:szCs w:val="16"/>
          </w:rPr>
          <w:t>http://www.ntc.gov.au/Media/Reports/(D72A1250-2EA5-5377-2008-17FE01D3DC72).pdf</w:t>
        </w:r>
      </w:hyperlink>
      <w:r w:rsidRPr="00275252">
        <w:rPr>
          <w:rStyle w:val="Hyperlink"/>
          <w:rFonts w:ascii="Arial" w:hAnsi="Arial" w:cs="Arial"/>
          <w:color w:val="auto"/>
          <w:sz w:val="16"/>
          <w:szCs w:val="16"/>
        </w:rPr>
        <w:t>,</w:t>
      </w:r>
      <w:r w:rsidRPr="00275252">
        <w:rPr>
          <w:rFonts w:ascii="Arial" w:hAnsi="Arial" w:cs="Arial"/>
          <w:sz w:val="16"/>
          <w:szCs w:val="16"/>
        </w:rPr>
        <w:t xml:space="preserve"> Page 59 </w:t>
      </w:r>
    </w:p>
  </w:footnote>
  <w:footnote w:id="19">
    <w:p w:rsidR="00FB1CAA" w:rsidRPr="00275252" w:rsidRDefault="00FB1CAA">
      <w:pPr>
        <w:pStyle w:val="FootnoteText"/>
        <w:rPr>
          <w:rFonts w:ascii="Arial" w:hAnsi="Arial" w:cs="Arial"/>
          <w:sz w:val="16"/>
          <w:szCs w:val="16"/>
        </w:rPr>
      </w:pPr>
      <w:r w:rsidRPr="00275252">
        <w:rPr>
          <w:rStyle w:val="FootnoteReference"/>
          <w:rFonts w:ascii="Arial" w:hAnsi="Arial" w:cs="Arial"/>
          <w:sz w:val="16"/>
          <w:szCs w:val="16"/>
        </w:rPr>
        <w:footnoteRef/>
      </w:r>
      <w:r w:rsidRPr="00275252">
        <w:rPr>
          <w:rFonts w:ascii="Arial" w:hAnsi="Arial" w:cs="Arial"/>
          <w:sz w:val="16"/>
          <w:szCs w:val="16"/>
        </w:rPr>
        <w:t xml:space="preserve"> Competition Policy review,  </w:t>
      </w:r>
      <w:r w:rsidRPr="00275252">
        <w:rPr>
          <w:rFonts w:ascii="Arial" w:hAnsi="Arial" w:cs="Arial"/>
          <w:i/>
          <w:sz w:val="16"/>
          <w:szCs w:val="16"/>
        </w:rPr>
        <w:t>Competition Policy Review Final Report</w:t>
      </w:r>
      <w:r w:rsidRPr="00275252">
        <w:rPr>
          <w:rFonts w:ascii="Arial" w:hAnsi="Arial" w:cs="Arial"/>
          <w:sz w:val="16"/>
          <w:szCs w:val="16"/>
        </w:rPr>
        <w:t xml:space="preserve">, March 2015, accessible at: </w:t>
      </w:r>
      <w:hyperlink r:id="rId19" w:history="1">
        <w:r w:rsidRPr="00275252">
          <w:rPr>
            <w:rStyle w:val="Hyperlink"/>
            <w:rFonts w:ascii="Arial" w:hAnsi="Arial" w:cs="Arial"/>
            <w:sz w:val="16"/>
            <w:szCs w:val="16"/>
          </w:rPr>
          <w:t>http://competitionpolicyreview.gov.au/files/2015/03/Competition-policy-review-report_online.pdf</w:t>
        </w:r>
      </w:hyperlink>
      <w:r w:rsidRPr="00275252">
        <w:rPr>
          <w:rFonts w:ascii="Arial" w:hAnsi="Arial" w:cs="Arial"/>
          <w:sz w:val="16"/>
          <w:szCs w:val="16"/>
        </w:rPr>
        <w:t xml:space="preserve"> , Page 255</w:t>
      </w:r>
    </w:p>
  </w:footnote>
  <w:footnote w:id="20">
    <w:p w:rsidR="00FB1CAA" w:rsidRPr="00275252" w:rsidRDefault="00FB1CAA" w:rsidP="00D63575">
      <w:pPr>
        <w:pStyle w:val="FootnoteText"/>
        <w:rPr>
          <w:rFonts w:ascii="Arial" w:hAnsi="Arial" w:cs="Arial"/>
          <w:sz w:val="16"/>
          <w:szCs w:val="16"/>
        </w:rPr>
      </w:pPr>
      <w:r w:rsidRPr="00275252">
        <w:rPr>
          <w:rStyle w:val="FootnoteReference"/>
          <w:rFonts w:ascii="Arial" w:hAnsi="Arial" w:cs="Arial"/>
          <w:sz w:val="16"/>
          <w:szCs w:val="16"/>
        </w:rPr>
        <w:footnoteRef/>
      </w:r>
      <w:r w:rsidRPr="00275252">
        <w:rPr>
          <w:rFonts w:ascii="Arial" w:hAnsi="Arial" w:cs="Arial"/>
          <w:sz w:val="16"/>
          <w:szCs w:val="16"/>
        </w:rPr>
        <w:t xml:space="preserve"> Competition Policy review,  </w:t>
      </w:r>
      <w:r w:rsidRPr="00275252">
        <w:rPr>
          <w:rFonts w:ascii="Arial" w:hAnsi="Arial" w:cs="Arial"/>
          <w:i/>
          <w:sz w:val="16"/>
          <w:szCs w:val="16"/>
        </w:rPr>
        <w:t>Competition Policy Review Final Report</w:t>
      </w:r>
      <w:r w:rsidRPr="00275252">
        <w:rPr>
          <w:rFonts w:ascii="Arial" w:hAnsi="Arial" w:cs="Arial"/>
          <w:sz w:val="16"/>
          <w:szCs w:val="16"/>
        </w:rPr>
        <w:t xml:space="preserve">, March 2015, accessible at: </w:t>
      </w:r>
      <w:hyperlink r:id="rId20" w:history="1">
        <w:r w:rsidRPr="00275252">
          <w:rPr>
            <w:rStyle w:val="Hyperlink"/>
            <w:rFonts w:ascii="Arial" w:hAnsi="Arial" w:cs="Arial"/>
            <w:sz w:val="16"/>
            <w:szCs w:val="16"/>
          </w:rPr>
          <w:t>http://competitionpolicyreview.gov.au/files/2015/03/Competition-policy-review-report_online.pdf</w:t>
        </w:r>
      </w:hyperlink>
      <w:r w:rsidRPr="00275252">
        <w:rPr>
          <w:rFonts w:ascii="Arial" w:hAnsi="Arial" w:cs="Arial"/>
          <w:sz w:val="16"/>
          <w:szCs w:val="16"/>
        </w:rPr>
        <w:t xml:space="preserve"> , Page 255</w:t>
      </w:r>
    </w:p>
  </w:footnote>
  <w:footnote w:id="21">
    <w:p w:rsidR="00FB1CAA" w:rsidRPr="00275252" w:rsidRDefault="00FB1CAA" w:rsidP="00CF7294">
      <w:pPr>
        <w:pStyle w:val="FootnoteText"/>
        <w:rPr>
          <w:rFonts w:ascii="Arial" w:hAnsi="Arial" w:cs="Arial"/>
          <w:sz w:val="16"/>
          <w:szCs w:val="16"/>
        </w:rPr>
      </w:pPr>
      <w:r w:rsidRPr="00275252">
        <w:rPr>
          <w:rStyle w:val="FootnoteReference"/>
          <w:rFonts w:ascii="Arial" w:hAnsi="Arial" w:cs="Arial"/>
          <w:sz w:val="16"/>
          <w:szCs w:val="16"/>
        </w:rPr>
        <w:footnoteRef/>
      </w:r>
      <w:r w:rsidRPr="00275252">
        <w:rPr>
          <w:rFonts w:ascii="Arial" w:hAnsi="Arial" w:cs="Arial"/>
          <w:sz w:val="16"/>
          <w:szCs w:val="16"/>
        </w:rPr>
        <w:t xml:space="preserve"> Austroads (2008). </w:t>
      </w:r>
      <w:r w:rsidRPr="00275252">
        <w:rPr>
          <w:rFonts w:ascii="Arial" w:hAnsi="Arial" w:cs="Arial"/>
          <w:i/>
          <w:sz w:val="16"/>
          <w:szCs w:val="16"/>
        </w:rPr>
        <w:t>Analysis of the Safety Benefits of Heavy Vehicle Accreditation Schemes</w:t>
      </w:r>
      <w:r w:rsidRPr="00275252">
        <w:rPr>
          <w:rFonts w:ascii="Arial" w:hAnsi="Arial" w:cs="Arial"/>
          <w:sz w:val="16"/>
          <w:szCs w:val="16"/>
        </w:rPr>
        <w:t>. Research report AP-</w:t>
      </w:r>
      <w:proofErr w:type="spellStart"/>
      <w:r w:rsidRPr="00275252">
        <w:rPr>
          <w:rFonts w:ascii="Arial" w:hAnsi="Arial" w:cs="Arial"/>
          <w:sz w:val="16"/>
          <w:szCs w:val="16"/>
        </w:rPr>
        <w:t>R319</w:t>
      </w:r>
      <w:proofErr w:type="spellEnd"/>
      <w:r w:rsidRPr="00275252">
        <w:rPr>
          <w:rFonts w:ascii="Arial" w:hAnsi="Arial" w:cs="Arial"/>
          <w:sz w:val="16"/>
          <w:szCs w:val="16"/>
        </w:rPr>
        <w:t>/08. Austroads is a strategic research body funded by the Australian, New Zealand, and state and territory road transport agencies.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CAA" w:rsidRPr="00E8056B" w:rsidRDefault="00FB1CAA" w:rsidP="001C3659">
    <w:pPr>
      <w:jc w:val="right"/>
      <w:rPr>
        <w:rFonts w:ascii="Arial" w:hAnsi="Arial" w:cs="Arial"/>
        <w:color w:val="FF0000"/>
        <w:sz w:val="18"/>
        <w:szCs w:val="18"/>
      </w:rPr>
    </w:pPr>
    <w:r w:rsidRPr="00E8056B">
      <w:rPr>
        <w:rFonts w:ascii="Arial" w:hAnsi="Arial" w:cs="Arial"/>
        <w:color w:val="000064"/>
        <w:sz w:val="18"/>
        <w:szCs w:val="18"/>
      </w:rPr>
      <w:t xml:space="preserve">AUSTRALIAN TRUCKING </w:t>
    </w:r>
    <w:r w:rsidRPr="00E8056B">
      <w:rPr>
        <w:rFonts w:ascii="Arial" w:hAnsi="Arial" w:cs="Arial"/>
        <w:color w:val="FF0000"/>
        <w:sz w:val="18"/>
        <w:szCs w:val="18"/>
      </w:rPr>
      <w:t>ASSOCIATION</w:t>
    </w:r>
  </w:p>
  <w:p w:rsidR="00FB1CAA" w:rsidRDefault="00FB1C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CAA" w:rsidRDefault="00FB1C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CAA" w:rsidRPr="0019542E" w:rsidRDefault="00FB1CAA" w:rsidP="00986804">
    <w:pPr>
      <w:jc w:val="right"/>
      <w:rPr>
        <w:sz w:val="4"/>
        <w:szCs w:val="4"/>
      </w:rPr>
    </w:pPr>
    <w:r w:rsidRPr="00565F92">
      <w:rPr>
        <w:rFonts w:ascii="Arial" w:hAnsi="Arial" w:cs="Arial"/>
        <w:color w:val="000064"/>
        <w:sz w:val="18"/>
        <w:szCs w:val="18"/>
      </w:rPr>
      <w:t xml:space="preserve">AUSTRALIAN TRUCKING </w:t>
    </w:r>
    <w:r w:rsidRPr="00565F92">
      <w:rPr>
        <w:rFonts w:ascii="Arial" w:hAnsi="Arial" w:cs="Arial"/>
        <w:color w:val="FF0000"/>
        <w:sz w:val="18"/>
        <w:szCs w:val="18"/>
      </w:rPr>
      <w:t>ASSOCIATION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CAA" w:rsidRDefault="00FB1C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1036"/>
    <w:multiLevelType w:val="hybridMultilevel"/>
    <w:tmpl w:val="2926E346"/>
    <w:lvl w:ilvl="0" w:tplc="0C090001">
      <w:start w:val="1"/>
      <w:numFmt w:val="bullet"/>
      <w:lvlText w:val=""/>
      <w:lvlJc w:val="left"/>
      <w:pPr>
        <w:ind w:left="720" w:hanging="360"/>
      </w:pPr>
      <w:rPr>
        <w:rFonts w:ascii="Symbol" w:hAnsi="Symbol" w:hint="default"/>
      </w:rPr>
    </w:lvl>
    <w:lvl w:ilvl="1" w:tplc="90EC4668">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491310"/>
    <w:multiLevelType w:val="hybridMultilevel"/>
    <w:tmpl w:val="26840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613774"/>
    <w:multiLevelType w:val="hybridMultilevel"/>
    <w:tmpl w:val="4B22D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7822C8"/>
    <w:multiLevelType w:val="hybridMultilevel"/>
    <w:tmpl w:val="37D42FF6"/>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4" w15:restartNumberingAfterBreak="0">
    <w:nsid w:val="17FE32EE"/>
    <w:multiLevelType w:val="hybridMultilevel"/>
    <w:tmpl w:val="1A9A06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9B1577C"/>
    <w:multiLevelType w:val="hybridMultilevel"/>
    <w:tmpl w:val="08DE93E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1E7235F6"/>
    <w:multiLevelType w:val="hybridMultilevel"/>
    <w:tmpl w:val="BFACE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DF0147"/>
    <w:multiLevelType w:val="hybridMultilevel"/>
    <w:tmpl w:val="72745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B03D47"/>
    <w:multiLevelType w:val="hybridMultilevel"/>
    <w:tmpl w:val="0FC2D1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C83FE8"/>
    <w:multiLevelType w:val="hybridMultilevel"/>
    <w:tmpl w:val="EF88E13E"/>
    <w:lvl w:ilvl="0" w:tplc="0C090001">
      <w:start w:val="1"/>
      <w:numFmt w:val="bullet"/>
      <w:lvlText w:val=""/>
      <w:lvlJc w:val="left"/>
      <w:pPr>
        <w:ind w:left="751" w:hanging="360"/>
      </w:pPr>
      <w:rPr>
        <w:rFonts w:ascii="Symbol" w:hAnsi="Symbol" w:hint="default"/>
      </w:rPr>
    </w:lvl>
    <w:lvl w:ilvl="1" w:tplc="0C090003" w:tentative="1">
      <w:start w:val="1"/>
      <w:numFmt w:val="bullet"/>
      <w:lvlText w:val="o"/>
      <w:lvlJc w:val="left"/>
      <w:pPr>
        <w:ind w:left="1471" w:hanging="360"/>
      </w:pPr>
      <w:rPr>
        <w:rFonts w:ascii="Courier New" w:hAnsi="Courier New" w:cs="Courier New" w:hint="default"/>
      </w:rPr>
    </w:lvl>
    <w:lvl w:ilvl="2" w:tplc="0C090005" w:tentative="1">
      <w:start w:val="1"/>
      <w:numFmt w:val="bullet"/>
      <w:lvlText w:val=""/>
      <w:lvlJc w:val="left"/>
      <w:pPr>
        <w:ind w:left="2191" w:hanging="360"/>
      </w:pPr>
      <w:rPr>
        <w:rFonts w:ascii="Wingdings" w:hAnsi="Wingdings" w:hint="default"/>
      </w:rPr>
    </w:lvl>
    <w:lvl w:ilvl="3" w:tplc="0C090001" w:tentative="1">
      <w:start w:val="1"/>
      <w:numFmt w:val="bullet"/>
      <w:lvlText w:val=""/>
      <w:lvlJc w:val="left"/>
      <w:pPr>
        <w:ind w:left="2911" w:hanging="360"/>
      </w:pPr>
      <w:rPr>
        <w:rFonts w:ascii="Symbol" w:hAnsi="Symbol" w:hint="default"/>
      </w:rPr>
    </w:lvl>
    <w:lvl w:ilvl="4" w:tplc="0C090003" w:tentative="1">
      <w:start w:val="1"/>
      <w:numFmt w:val="bullet"/>
      <w:lvlText w:val="o"/>
      <w:lvlJc w:val="left"/>
      <w:pPr>
        <w:ind w:left="3631" w:hanging="360"/>
      </w:pPr>
      <w:rPr>
        <w:rFonts w:ascii="Courier New" w:hAnsi="Courier New" w:cs="Courier New" w:hint="default"/>
      </w:rPr>
    </w:lvl>
    <w:lvl w:ilvl="5" w:tplc="0C090005" w:tentative="1">
      <w:start w:val="1"/>
      <w:numFmt w:val="bullet"/>
      <w:lvlText w:val=""/>
      <w:lvlJc w:val="left"/>
      <w:pPr>
        <w:ind w:left="4351" w:hanging="360"/>
      </w:pPr>
      <w:rPr>
        <w:rFonts w:ascii="Wingdings" w:hAnsi="Wingdings" w:hint="default"/>
      </w:rPr>
    </w:lvl>
    <w:lvl w:ilvl="6" w:tplc="0C090001" w:tentative="1">
      <w:start w:val="1"/>
      <w:numFmt w:val="bullet"/>
      <w:lvlText w:val=""/>
      <w:lvlJc w:val="left"/>
      <w:pPr>
        <w:ind w:left="5071" w:hanging="360"/>
      </w:pPr>
      <w:rPr>
        <w:rFonts w:ascii="Symbol" w:hAnsi="Symbol" w:hint="default"/>
      </w:rPr>
    </w:lvl>
    <w:lvl w:ilvl="7" w:tplc="0C090003" w:tentative="1">
      <w:start w:val="1"/>
      <w:numFmt w:val="bullet"/>
      <w:lvlText w:val="o"/>
      <w:lvlJc w:val="left"/>
      <w:pPr>
        <w:ind w:left="5791" w:hanging="360"/>
      </w:pPr>
      <w:rPr>
        <w:rFonts w:ascii="Courier New" w:hAnsi="Courier New" w:cs="Courier New" w:hint="default"/>
      </w:rPr>
    </w:lvl>
    <w:lvl w:ilvl="8" w:tplc="0C090005" w:tentative="1">
      <w:start w:val="1"/>
      <w:numFmt w:val="bullet"/>
      <w:lvlText w:val=""/>
      <w:lvlJc w:val="left"/>
      <w:pPr>
        <w:ind w:left="6511" w:hanging="360"/>
      </w:pPr>
      <w:rPr>
        <w:rFonts w:ascii="Wingdings" w:hAnsi="Wingdings" w:hint="default"/>
      </w:rPr>
    </w:lvl>
  </w:abstractNum>
  <w:abstractNum w:abstractNumId="10" w15:restartNumberingAfterBreak="0">
    <w:nsid w:val="3DA35423"/>
    <w:multiLevelType w:val="hybridMultilevel"/>
    <w:tmpl w:val="8968C0E4"/>
    <w:lvl w:ilvl="0" w:tplc="815878FA">
      <w:start w:val="1"/>
      <w:numFmt w:val="decimal"/>
      <w:pStyle w:val="RecommendationStyle"/>
      <w:lvlText w:val="Recommendation %1"/>
      <w:lvlJc w:val="left"/>
      <w:pPr>
        <w:tabs>
          <w:tab w:val="num" w:pos="1192"/>
        </w:tabs>
      </w:pPr>
      <w:rPr>
        <w:rFonts w:ascii="Arial" w:hAnsi="Arial" w:cs="Times New Roman" w:hint="default"/>
        <w:b/>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6100DC5"/>
    <w:multiLevelType w:val="hybridMultilevel"/>
    <w:tmpl w:val="FC4484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7636987"/>
    <w:multiLevelType w:val="hybridMultilevel"/>
    <w:tmpl w:val="5BCC2D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5B67C8B"/>
    <w:multiLevelType w:val="hybridMultilevel"/>
    <w:tmpl w:val="CE2E3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1B60ED"/>
    <w:multiLevelType w:val="hybridMultilevel"/>
    <w:tmpl w:val="5B9E25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D554ED9"/>
    <w:multiLevelType w:val="multilevel"/>
    <w:tmpl w:val="652E1C90"/>
    <w:lvl w:ilvl="0">
      <w:start w:val="1"/>
      <w:numFmt w:val="decimal"/>
      <w:pStyle w:val="Heading1"/>
      <w:lvlText w:val="%1."/>
      <w:lvlJc w:val="left"/>
      <w:pPr>
        <w:ind w:left="360" w:hanging="360"/>
      </w:pPr>
      <w:rPr>
        <w:rFonts w:cs="Times New Roman" w:hint="default"/>
      </w:rPr>
    </w:lvl>
    <w:lvl w:ilvl="1">
      <w:start w:val="1"/>
      <w:numFmt w:val="decimal"/>
      <w:pStyle w:val="ATAHeading2"/>
      <w:lvlText w:val="%1.%2."/>
      <w:lvlJc w:val="left"/>
      <w:pPr>
        <w:ind w:left="716" w:hanging="432"/>
      </w:pPr>
      <w:rPr>
        <w:rFonts w:cs="Times New Roman" w:hint="default"/>
      </w:rPr>
    </w:lvl>
    <w:lvl w:ilvl="2">
      <w:start w:val="1"/>
      <w:numFmt w:val="decimal"/>
      <w:pStyle w:val="ATAHeading3"/>
      <w:lvlText w:val="%1.%2.%3."/>
      <w:lvlJc w:val="left"/>
      <w:pPr>
        <w:ind w:left="1224" w:hanging="504"/>
      </w:pPr>
      <w:rPr>
        <w:rFonts w:cs="Times New Roman" w:hint="default"/>
        <w:b/>
        <w:color w:val="00006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608A4F16"/>
    <w:multiLevelType w:val="hybridMultilevel"/>
    <w:tmpl w:val="353EEB58"/>
    <w:lvl w:ilvl="0" w:tplc="4DAC2470">
      <w:start w:val="2"/>
      <w:numFmt w:val="bullet"/>
      <w:lvlText w:val="-"/>
      <w:lvlJc w:val="left"/>
      <w:pPr>
        <w:ind w:left="1080" w:hanging="360"/>
      </w:pPr>
      <w:rPr>
        <w:rFonts w:ascii="Calibri" w:eastAsia="Calibri"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63C9528B"/>
    <w:multiLevelType w:val="multilevel"/>
    <w:tmpl w:val="A5F42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0D25B8"/>
    <w:multiLevelType w:val="hybridMultilevel"/>
    <w:tmpl w:val="1312DD00"/>
    <w:lvl w:ilvl="0" w:tplc="CDE200F4">
      <w:start w:val="4"/>
      <w:numFmt w:val="bullet"/>
      <w:lvlText w:val="·"/>
      <w:lvlJc w:val="left"/>
      <w:pPr>
        <w:ind w:left="360" w:hanging="360"/>
      </w:pPr>
      <w:rPr>
        <w:rFonts w:ascii="Calibri" w:eastAsia="Calibri" w:hAnsi="Calibri"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7543612B"/>
    <w:multiLevelType w:val="hybridMultilevel"/>
    <w:tmpl w:val="EE0AB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CF471E"/>
    <w:multiLevelType w:val="hybridMultilevel"/>
    <w:tmpl w:val="173E1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0"/>
  </w:num>
  <w:num w:numId="4">
    <w:abstractNumId w:val="9"/>
  </w:num>
  <w:num w:numId="5">
    <w:abstractNumId w:val="14"/>
  </w:num>
  <w:num w:numId="6">
    <w:abstractNumId w:val="11"/>
  </w:num>
  <w:num w:numId="7">
    <w:abstractNumId w:val="12"/>
  </w:num>
  <w:num w:numId="8">
    <w:abstractNumId w:val="7"/>
  </w:num>
  <w:num w:numId="9">
    <w:abstractNumId w:val="18"/>
  </w:num>
  <w:num w:numId="10">
    <w:abstractNumId w:val="3"/>
  </w:num>
  <w:num w:numId="11">
    <w:abstractNumId w:val="20"/>
  </w:num>
  <w:num w:numId="12">
    <w:abstractNumId w:val="4"/>
  </w:num>
  <w:num w:numId="13">
    <w:abstractNumId w:val="17"/>
  </w:num>
  <w:num w:numId="14">
    <w:abstractNumId w:val="8"/>
  </w:num>
  <w:num w:numId="15">
    <w:abstractNumId w:val="2"/>
  </w:num>
  <w:num w:numId="16">
    <w:abstractNumId w:val="5"/>
  </w:num>
  <w:num w:numId="17">
    <w:abstractNumId w:val="13"/>
  </w:num>
  <w:num w:numId="18">
    <w:abstractNumId w:val="1"/>
  </w:num>
  <w:num w:numId="19">
    <w:abstractNumId w:val="6"/>
  </w:num>
  <w:num w:numId="20">
    <w:abstractNumId w:val="16"/>
  </w:num>
  <w:num w:numId="21">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8E9"/>
    <w:rsid w:val="0000052A"/>
    <w:rsid w:val="00000CE3"/>
    <w:rsid w:val="00001E4D"/>
    <w:rsid w:val="00005A35"/>
    <w:rsid w:val="00005E0D"/>
    <w:rsid w:val="00006297"/>
    <w:rsid w:val="00006C53"/>
    <w:rsid w:val="00007723"/>
    <w:rsid w:val="00007CA7"/>
    <w:rsid w:val="00011661"/>
    <w:rsid w:val="00012205"/>
    <w:rsid w:val="000156D1"/>
    <w:rsid w:val="000169A5"/>
    <w:rsid w:val="00016BB7"/>
    <w:rsid w:val="00020B9C"/>
    <w:rsid w:val="00021886"/>
    <w:rsid w:val="00021D7D"/>
    <w:rsid w:val="00023CC7"/>
    <w:rsid w:val="00027E86"/>
    <w:rsid w:val="0003251D"/>
    <w:rsid w:val="00032A0E"/>
    <w:rsid w:val="00035304"/>
    <w:rsid w:val="0003555D"/>
    <w:rsid w:val="00035CFC"/>
    <w:rsid w:val="00037042"/>
    <w:rsid w:val="0004081E"/>
    <w:rsid w:val="00040876"/>
    <w:rsid w:val="00040877"/>
    <w:rsid w:val="00040B35"/>
    <w:rsid w:val="00040C3C"/>
    <w:rsid w:val="00043541"/>
    <w:rsid w:val="000447B1"/>
    <w:rsid w:val="00044E68"/>
    <w:rsid w:val="00046251"/>
    <w:rsid w:val="00046823"/>
    <w:rsid w:val="00050AC8"/>
    <w:rsid w:val="00050CE6"/>
    <w:rsid w:val="00052E9C"/>
    <w:rsid w:val="00053DCB"/>
    <w:rsid w:val="00056113"/>
    <w:rsid w:val="00056A74"/>
    <w:rsid w:val="00056DE2"/>
    <w:rsid w:val="00060253"/>
    <w:rsid w:val="00060365"/>
    <w:rsid w:val="00060651"/>
    <w:rsid w:val="000623F3"/>
    <w:rsid w:val="0006283B"/>
    <w:rsid w:val="00063D15"/>
    <w:rsid w:val="00067698"/>
    <w:rsid w:val="00070737"/>
    <w:rsid w:val="000715F0"/>
    <w:rsid w:val="00071A71"/>
    <w:rsid w:val="00072340"/>
    <w:rsid w:val="0007542B"/>
    <w:rsid w:val="00075E7B"/>
    <w:rsid w:val="00077364"/>
    <w:rsid w:val="00080C08"/>
    <w:rsid w:val="00083C15"/>
    <w:rsid w:val="000848A1"/>
    <w:rsid w:val="00086A56"/>
    <w:rsid w:val="00087208"/>
    <w:rsid w:val="00091EB9"/>
    <w:rsid w:val="00093679"/>
    <w:rsid w:val="00094FE3"/>
    <w:rsid w:val="00095C3B"/>
    <w:rsid w:val="00096B02"/>
    <w:rsid w:val="00096FAC"/>
    <w:rsid w:val="00097329"/>
    <w:rsid w:val="000976B9"/>
    <w:rsid w:val="000A2163"/>
    <w:rsid w:val="000A2996"/>
    <w:rsid w:val="000A2BCF"/>
    <w:rsid w:val="000A2C1A"/>
    <w:rsid w:val="000A4409"/>
    <w:rsid w:val="000A4EB0"/>
    <w:rsid w:val="000A6499"/>
    <w:rsid w:val="000B0410"/>
    <w:rsid w:val="000B069A"/>
    <w:rsid w:val="000B1819"/>
    <w:rsid w:val="000B496C"/>
    <w:rsid w:val="000C049C"/>
    <w:rsid w:val="000C0C35"/>
    <w:rsid w:val="000C0F58"/>
    <w:rsid w:val="000C340A"/>
    <w:rsid w:val="000C4A62"/>
    <w:rsid w:val="000C7BBC"/>
    <w:rsid w:val="000D0226"/>
    <w:rsid w:val="000D033C"/>
    <w:rsid w:val="000D5E4E"/>
    <w:rsid w:val="000D6EF5"/>
    <w:rsid w:val="000D7CD4"/>
    <w:rsid w:val="000E7B14"/>
    <w:rsid w:val="000F028E"/>
    <w:rsid w:val="000F0F7B"/>
    <w:rsid w:val="000F314E"/>
    <w:rsid w:val="000F34E0"/>
    <w:rsid w:val="000F3ACC"/>
    <w:rsid w:val="000F3D9F"/>
    <w:rsid w:val="000F53C2"/>
    <w:rsid w:val="000F566E"/>
    <w:rsid w:val="000F5BB5"/>
    <w:rsid w:val="000F7F6F"/>
    <w:rsid w:val="00100A35"/>
    <w:rsid w:val="0010292E"/>
    <w:rsid w:val="00103E24"/>
    <w:rsid w:val="001051CB"/>
    <w:rsid w:val="00110610"/>
    <w:rsid w:val="00110A53"/>
    <w:rsid w:val="001121A8"/>
    <w:rsid w:val="00112A33"/>
    <w:rsid w:val="0011347C"/>
    <w:rsid w:val="00114FC5"/>
    <w:rsid w:val="001176CB"/>
    <w:rsid w:val="00121A4F"/>
    <w:rsid w:val="00121A53"/>
    <w:rsid w:val="00122285"/>
    <w:rsid w:val="00123C93"/>
    <w:rsid w:val="00124BE7"/>
    <w:rsid w:val="00124F32"/>
    <w:rsid w:val="00125023"/>
    <w:rsid w:val="001253A5"/>
    <w:rsid w:val="00125D74"/>
    <w:rsid w:val="00126E09"/>
    <w:rsid w:val="00127725"/>
    <w:rsid w:val="0013041A"/>
    <w:rsid w:val="001320D2"/>
    <w:rsid w:val="00132E36"/>
    <w:rsid w:val="00134E0D"/>
    <w:rsid w:val="001368EB"/>
    <w:rsid w:val="00141274"/>
    <w:rsid w:val="00141395"/>
    <w:rsid w:val="0014179F"/>
    <w:rsid w:val="0014300C"/>
    <w:rsid w:val="001431E4"/>
    <w:rsid w:val="001440F0"/>
    <w:rsid w:val="0014683D"/>
    <w:rsid w:val="00150065"/>
    <w:rsid w:val="0015008C"/>
    <w:rsid w:val="0015062F"/>
    <w:rsid w:val="0015211C"/>
    <w:rsid w:val="00152A71"/>
    <w:rsid w:val="001533F1"/>
    <w:rsid w:val="0015359E"/>
    <w:rsid w:val="0015386B"/>
    <w:rsid w:val="001552BC"/>
    <w:rsid w:val="00160FE3"/>
    <w:rsid w:val="001611AB"/>
    <w:rsid w:val="00162A32"/>
    <w:rsid w:val="00163879"/>
    <w:rsid w:val="001639E1"/>
    <w:rsid w:val="00166CBD"/>
    <w:rsid w:val="00167142"/>
    <w:rsid w:val="00167289"/>
    <w:rsid w:val="00172FC4"/>
    <w:rsid w:val="00174273"/>
    <w:rsid w:val="001745E7"/>
    <w:rsid w:val="00176C09"/>
    <w:rsid w:val="001807A8"/>
    <w:rsid w:val="001811B8"/>
    <w:rsid w:val="00182251"/>
    <w:rsid w:val="001855CD"/>
    <w:rsid w:val="0019542E"/>
    <w:rsid w:val="00195C1B"/>
    <w:rsid w:val="00197B9E"/>
    <w:rsid w:val="00197CB4"/>
    <w:rsid w:val="001A0DC3"/>
    <w:rsid w:val="001A0DEF"/>
    <w:rsid w:val="001A3A47"/>
    <w:rsid w:val="001A6510"/>
    <w:rsid w:val="001A6DFC"/>
    <w:rsid w:val="001B0529"/>
    <w:rsid w:val="001B0E57"/>
    <w:rsid w:val="001B1D37"/>
    <w:rsid w:val="001B2CD7"/>
    <w:rsid w:val="001B3675"/>
    <w:rsid w:val="001B36AC"/>
    <w:rsid w:val="001B3E52"/>
    <w:rsid w:val="001B5390"/>
    <w:rsid w:val="001C05C2"/>
    <w:rsid w:val="001C0C68"/>
    <w:rsid w:val="001C125D"/>
    <w:rsid w:val="001C3659"/>
    <w:rsid w:val="001C5B41"/>
    <w:rsid w:val="001D2D61"/>
    <w:rsid w:val="001D50C7"/>
    <w:rsid w:val="001D5C1C"/>
    <w:rsid w:val="001D64A9"/>
    <w:rsid w:val="001D64FE"/>
    <w:rsid w:val="001D77A8"/>
    <w:rsid w:val="001D7817"/>
    <w:rsid w:val="001D7CDE"/>
    <w:rsid w:val="001E0A75"/>
    <w:rsid w:val="001E1BA9"/>
    <w:rsid w:val="001E3543"/>
    <w:rsid w:val="001E3AC7"/>
    <w:rsid w:val="001E474C"/>
    <w:rsid w:val="001E5BE0"/>
    <w:rsid w:val="001E5C29"/>
    <w:rsid w:val="001E70A3"/>
    <w:rsid w:val="001F0C6E"/>
    <w:rsid w:val="001F1455"/>
    <w:rsid w:val="001F187C"/>
    <w:rsid w:val="001F7268"/>
    <w:rsid w:val="001F72F9"/>
    <w:rsid w:val="00200A50"/>
    <w:rsid w:val="0020303C"/>
    <w:rsid w:val="002041FF"/>
    <w:rsid w:val="002067C0"/>
    <w:rsid w:val="00207DE8"/>
    <w:rsid w:val="00210088"/>
    <w:rsid w:val="0021270C"/>
    <w:rsid w:val="0021283E"/>
    <w:rsid w:val="00212C7E"/>
    <w:rsid w:val="002137D3"/>
    <w:rsid w:val="00214282"/>
    <w:rsid w:val="00215F0D"/>
    <w:rsid w:val="00216CE6"/>
    <w:rsid w:val="00220718"/>
    <w:rsid w:val="00221121"/>
    <w:rsid w:val="00225B24"/>
    <w:rsid w:val="002278E9"/>
    <w:rsid w:val="0023094F"/>
    <w:rsid w:val="00230C4F"/>
    <w:rsid w:val="00230DFC"/>
    <w:rsid w:val="002333DB"/>
    <w:rsid w:val="002336F6"/>
    <w:rsid w:val="00237081"/>
    <w:rsid w:val="00241C15"/>
    <w:rsid w:val="0024248F"/>
    <w:rsid w:val="0024360C"/>
    <w:rsid w:val="00243731"/>
    <w:rsid w:val="00244F62"/>
    <w:rsid w:val="00250025"/>
    <w:rsid w:val="0025225E"/>
    <w:rsid w:val="002527BE"/>
    <w:rsid w:val="00252AA9"/>
    <w:rsid w:val="002542D1"/>
    <w:rsid w:val="00254301"/>
    <w:rsid w:val="002543DF"/>
    <w:rsid w:val="00255617"/>
    <w:rsid w:val="002568F6"/>
    <w:rsid w:val="00257D05"/>
    <w:rsid w:val="00260827"/>
    <w:rsid w:val="00260FBD"/>
    <w:rsid w:val="00262C0A"/>
    <w:rsid w:val="00263333"/>
    <w:rsid w:val="00263A7C"/>
    <w:rsid w:val="002647C3"/>
    <w:rsid w:val="00264A3B"/>
    <w:rsid w:val="00265EB9"/>
    <w:rsid w:val="00266881"/>
    <w:rsid w:val="00266915"/>
    <w:rsid w:val="00270995"/>
    <w:rsid w:val="00275252"/>
    <w:rsid w:val="00277981"/>
    <w:rsid w:val="00277D24"/>
    <w:rsid w:val="00281D40"/>
    <w:rsid w:val="00282EF9"/>
    <w:rsid w:val="0028399D"/>
    <w:rsid w:val="0028616B"/>
    <w:rsid w:val="00291C6F"/>
    <w:rsid w:val="0029355B"/>
    <w:rsid w:val="002938B5"/>
    <w:rsid w:val="00295501"/>
    <w:rsid w:val="00296633"/>
    <w:rsid w:val="00296A47"/>
    <w:rsid w:val="002A061F"/>
    <w:rsid w:val="002A14C8"/>
    <w:rsid w:val="002A243F"/>
    <w:rsid w:val="002A3F63"/>
    <w:rsid w:val="002A4859"/>
    <w:rsid w:val="002A4F45"/>
    <w:rsid w:val="002A5C2E"/>
    <w:rsid w:val="002A7CB7"/>
    <w:rsid w:val="002B0559"/>
    <w:rsid w:val="002B0F48"/>
    <w:rsid w:val="002B172B"/>
    <w:rsid w:val="002B3668"/>
    <w:rsid w:val="002B381D"/>
    <w:rsid w:val="002B3A7A"/>
    <w:rsid w:val="002B54EF"/>
    <w:rsid w:val="002B77BC"/>
    <w:rsid w:val="002B7A60"/>
    <w:rsid w:val="002B7C87"/>
    <w:rsid w:val="002C015C"/>
    <w:rsid w:val="002C0499"/>
    <w:rsid w:val="002C1799"/>
    <w:rsid w:val="002C1FD6"/>
    <w:rsid w:val="002C2485"/>
    <w:rsid w:val="002C5598"/>
    <w:rsid w:val="002D1187"/>
    <w:rsid w:val="002D3049"/>
    <w:rsid w:val="002D411B"/>
    <w:rsid w:val="002D592D"/>
    <w:rsid w:val="002D67A7"/>
    <w:rsid w:val="002D684A"/>
    <w:rsid w:val="002E06F2"/>
    <w:rsid w:val="002E226D"/>
    <w:rsid w:val="002E453E"/>
    <w:rsid w:val="002E5D82"/>
    <w:rsid w:val="002E5F39"/>
    <w:rsid w:val="002E6075"/>
    <w:rsid w:val="002E7897"/>
    <w:rsid w:val="002E7F28"/>
    <w:rsid w:val="002F2F65"/>
    <w:rsid w:val="002F3241"/>
    <w:rsid w:val="002F438C"/>
    <w:rsid w:val="002F50FD"/>
    <w:rsid w:val="002F5A71"/>
    <w:rsid w:val="002F632C"/>
    <w:rsid w:val="00302E87"/>
    <w:rsid w:val="00304B46"/>
    <w:rsid w:val="003054ED"/>
    <w:rsid w:val="00306FBF"/>
    <w:rsid w:val="00307FF7"/>
    <w:rsid w:val="00314E77"/>
    <w:rsid w:val="00315333"/>
    <w:rsid w:val="0032008B"/>
    <w:rsid w:val="00320AFE"/>
    <w:rsid w:val="00321A43"/>
    <w:rsid w:val="0032308F"/>
    <w:rsid w:val="00325A6C"/>
    <w:rsid w:val="00325D5A"/>
    <w:rsid w:val="003265BF"/>
    <w:rsid w:val="00330D7D"/>
    <w:rsid w:val="00330F29"/>
    <w:rsid w:val="00336512"/>
    <w:rsid w:val="00336760"/>
    <w:rsid w:val="00336EBD"/>
    <w:rsid w:val="00342826"/>
    <w:rsid w:val="003467F0"/>
    <w:rsid w:val="00350300"/>
    <w:rsid w:val="003505E9"/>
    <w:rsid w:val="00351556"/>
    <w:rsid w:val="00351657"/>
    <w:rsid w:val="00351843"/>
    <w:rsid w:val="00351D4B"/>
    <w:rsid w:val="003533CA"/>
    <w:rsid w:val="00354394"/>
    <w:rsid w:val="0035493A"/>
    <w:rsid w:val="00354DA6"/>
    <w:rsid w:val="003551F0"/>
    <w:rsid w:val="00356D3A"/>
    <w:rsid w:val="00360759"/>
    <w:rsid w:val="00360AD1"/>
    <w:rsid w:val="00364BA5"/>
    <w:rsid w:val="0036535E"/>
    <w:rsid w:val="00372137"/>
    <w:rsid w:val="00374463"/>
    <w:rsid w:val="00374990"/>
    <w:rsid w:val="00380998"/>
    <w:rsid w:val="003828AD"/>
    <w:rsid w:val="00384772"/>
    <w:rsid w:val="00385F00"/>
    <w:rsid w:val="00385F9E"/>
    <w:rsid w:val="00386846"/>
    <w:rsid w:val="0039063B"/>
    <w:rsid w:val="00390696"/>
    <w:rsid w:val="003911E4"/>
    <w:rsid w:val="00393037"/>
    <w:rsid w:val="0039442F"/>
    <w:rsid w:val="00394470"/>
    <w:rsid w:val="003A223A"/>
    <w:rsid w:val="003A4520"/>
    <w:rsid w:val="003A4982"/>
    <w:rsid w:val="003A65E7"/>
    <w:rsid w:val="003A6FCB"/>
    <w:rsid w:val="003B1937"/>
    <w:rsid w:val="003B2024"/>
    <w:rsid w:val="003B23CF"/>
    <w:rsid w:val="003B56E7"/>
    <w:rsid w:val="003B6265"/>
    <w:rsid w:val="003B74E4"/>
    <w:rsid w:val="003B76E9"/>
    <w:rsid w:val="003B7C68"/>
    <w:rsid w:val="003C2311"/>
    <w:rsid w:val="003C2DEE"/>
    <w:rsid w:val="003C42D2"/>
    <w:rsid w:val="003C4664"/>
    <w:rsid w:val="003C6E58"/>
    <w:rsid w:val="003D0AC3"/>
    <w:rsid w:val="003D1163"/>
    <w:rsid w:val="003D27E1"/>
    <w:rsid w:val="003D3DC0"/>
    <w:rsid w:val="003D4281"/>
    <w:rsid w:val="003D5C05"/>
    <w:rsid w:val="003D6F49"/>
    <w:rsid w:val="003D75FC"/>
    <w:rsid w:val="003D7B74"/>
    <w:rsid w:val="003E2B20"/>
    <w:rsid w:val="003E3D6A"/>
    <w:rsid w:val="003E4EFE"/>
    <w:rsid w:val="003E7053"/>
    <w:rsid w:val="003F0B5C"/>
    <w:rsid w:val="003F0F16"/>
    <w:rsid w:val="003F6CA9"/>
    <w:rsid w:val="003F7F33"/>
    <w:rsid w:val="00400142"/>
    <w:rsid w:val="004008C7"/>
    <w:rsid w:val="004008D8"/>
    <w:rsid w:val="00402138"/>
    <w:rsid w:val="00403823"/>
    <w:rsid w:val="00404392"/>
    <w:rsid w:val="00404731"/>
    <w:rsid w:val="00404820"/>
    <w:rsid w:val="004053D4"/>
    <w:rsid w:val="00406222"/>
    <w:rsid w:val="00407B99"/>
    <w:rsid w:val="00407EF2"/>
    <w:rsid w:val="00410341"/>
    <w:rsid w:val="004115B6"/>
    <w:rsid w:val="00411625"/>
    <w:rsid w:val="004116EA"/>
    <w:rsid w:val="00411877"/>
    <w:rsid w:val="0041272C"/>
    <w:rsid w:val="004130C2"/>
    <w:rsid w:val="00413868"/>
    <w:rsid w:val="00414BFC"/>
    <w:rsid w:val="00415126"/>
    <w:rsid w:val="00415CCB"/>
    <w:rsid w:val="004168B8"/>
    <w:rsid w:val="00420431"/>
    <w:rsid w:val="0042052C"/>
    <w:rsid w:val="00420F75"/>
    <w:rsid w:val="00421306"/>
    <w:rsid w:val="00422BB7"/>
    <w:rsid w:val="00423CC7"/>
    <w:rsid w:val="00423CCC"/>
    <w:rsid w:val="00424D3E"/>
    <w:rsid w:val="0042557B"/>
    <w:rsid w:val="004263BE"/>
    <w:rsid w:val="00430160"/>
    <w:rsid w:val="00432273"/>
    <w:rsid w:val="004353C2"/>
    <w:rsid w:val="004368C5"/>
    <w:rsid w:val="00440231"/>
    <w:rsid w:val="00440310"/>
    <w:rsid w:val="00441E31"/>
    <w:rsid w:val="00443123"/>
    <w:rsid w:val="004436EB"/>
    <w:rsid w:val="00445CDC"/>
    <w:rsid w:val="00446D2E"/>
    <w:rsid w:val="00450FF8"/>
    <w:rsid w:val="00454D08"/>
    <w:rsid w:val="00455514"/>
    <w:rsid w:val="00462423"/>
    <w:rsid w:val="00463025"/>
    <w:rsid w:val="004640D1"/>
    <w:rsid w:val="00466E7F"/>
    <w:rsid w:val="00472A2D"/>
    <w:rsid w:val="00473A75"/>
    <w:rsid w:val="00475C39"/>
    <w:rsid w:val="00483BAA"/>
    <w:rsid w:val="00483F2E"/>
    <w:rsid w:val="00484068"/>
    <w:rsid w:val="004847D2"/>
    <w:rsid w:val="00484C78"/>
    <w:rsid w:val="004854A3"/>
    <w:rsid w:val="00485B5E"/>
    <w:rsid w:val="00487F0F"/>
    <w:rsid w:val="00491112"/>
    <w:rsid w:val="00491E01"/>
    <w:rsid w:val="004952A7"/>
    <w:rsid w:val="0049636E"/>
    <w:rsid w:val="004977DE"/>
    <w:rsid w:val="00497CD2"/>
    <w:rsid w:val="004A2F6F"/>
    <w:rsid w:val="004A325F"/>
    <w:rsid w:val="004B0BF5"/>
    <w:rsid w:val="004B26EB"/>
    <w:rsid w:val="004B3EF6"/>
    <w:rsid w:val="004B47A1"/>
    <w:rsid w:val="004B4B20"/>
    <w:rsid w:val="004B509F"/>
    <w:rsid w:val="004B5FA9"/>
    <w:rsid w:val="004B6187"/>
    <w:rsid w:val="004B64C9"/>
    <w:rsid w:val="004B6C90"/>
    <w:rsid w:val="004C21BB"/>
    <w:rsid w:val="004C377A"/>
    <w:rsid w:val="004C3CC3"/>
    <w:rsid w:val="004C4A80"/>
    <w:rsid w:val="004C7AD5"/>
    <w:rsid w:val="004C7EE3"/>
    <w:rsid w:val="004D099F"/>
    <w:rsid w:val="004D2EAD"/>
    <w:rsid w:val="004D3774"/>
    <w:rsid w:val="004D42D0"/>
    <w:rsid w:val="004D6BAD"/>
    <w:rsid w:val="004E1322"/>
    <w:rsid w:val="004E1EBB"/>
    <w:rsid w:val="004E5885"/>
    <w:rsid w:val="004E5EA3"/>
    <w:rsid w:val="004E5EDA"/>
    <w:rsid w:val="004F112A"/>
    <w:rsid w:val="004F38D2"/>
    <w:rsid w:val="004F3B07"/>
    <w:rsid w:val="004F500B"/>
    <w:rsid w:val="004F79DA"/>
    <w:rsid w:val="00500BCF"/>
    <w:rsid w:val="00501270"/>
    <w:rsid w:val="00502292"/>
    <w:rsid w:val="005022E4"/>
    <w:rsid w:val="0050368F"/>
    <w:rsid w:val="00503808"/>
    <w:rsid w:val="00504707"/>
    <w:rsid w:val="00504A7C"/>
    <w:rsid w:val="0050677F"/>
    <w:rsid w:val="00510952"/>
    <w:rsid w:val="00510A99"/>
    <w:rsid w:val="00512B6D"/>
    <w:rsid w:val="005146B1"/>
    <w:rsid w:val="0052056E"/>
    <w:rsid w:val="0052077A"/>
    <w:rsid w:val="005223FD"/>
    <w:rsid w:val="005227BF"/>
    <w:rsid w:val="00525303"/>
    <w:rsid w:val="0053137B"/>
    <w:rsid w:val="0053194E"/>
    <w:rsid w:val="0053236A"/>
    <w:rsid w:val="00532ADF"/>
    <w:rsid w:val="00532BFB"/>
    <w:rsid w:val="00532EDD"/>
    <w:rsid w:val="00532F0A"/>
    <w:rsid w:val="00533381"/>
    <w:rsid w:val="00533467"/>
    <w:rsid w:val="00533DD1"/>
    <w:rsid w:val="0053492E"/>
    <w:rsid w:val="00535863"/>
    <w:rsid w:val="005359BF"/>
    <w:rsid w:val="005365E0"/>
    <w:rsid w:val="00540454"/>
    <w:rsid w:val="00542877"/>
    <w:rsid w:val="00543163"/>
    <w:rsid w:val="005434F6"/>
    <w:rsid w:val="0054422F"/>
    <w:rsid w:val="005446EF"/>
    <w:rsid w:val="005448EE"/>
    <w:rsid w:val="00545151"/>
    <w:rsid w:val="00545CB8"/>
    <w:rsid w:val="00550256"/>
    <w:rsid w:val="005507D4"/>
    <w:rsid w:val="005520B3"/>
    <w:rsid w:val="00552251"/>
    <w:rsid w:val="00552289"/>
    <w:rsid w:val="005551EA"/>
    <w:rsid w:val="00555450"/>
    <w:rsid w:val="005571CA"/>
    <w:rsid w:val="0056179B"/>
    <w:rsid w:val="00564094"/>
    <w:rsid w:val="0056479F"/>
    <w:rsid w:val="005648B3"/>
    <w:rsid w:val="00564DAA"/>
    <w:rsid w:val="00565F92"/>
    <w:rsid w:val="00566D20"/>
    <w:rsid w:val="0057019E"/>
    <w:rsid w:val="0057128B"/>
    <w:rsid w:val="0057591D"/>
    <w:rsid w:val="0057695E"/>
    <w:rsid w:val="00576ED0"/>
    <w:rsid w:val="00576F0D"/>
    <w:rsid w:val="005773CF"/>
    <w:rsid w:val="0057783F"/>
    <w:rsid w:val="00577C80"/>
    <w:rsid w:val="00580BDF"/>
    <w:rsid w:val="0058247C"/>
    <w:rsid w:val="00583369"/>
    <w:rsid w:val="00587C8F"/>
    <w:rsid w:val="00590DF2"/>
    <w:rsid w:val="00593217"/>
    <w:rsid w:val="00593696"/>
    <w:rsid w:val="0059482D"/>
    <w:rsid w:val="00596872"/>
    <w:rsid w:val="005A2A86"/>
    <w:rsid w:val="005A38CD"/>
    <w:rsid w:val="005A76C2"/>
    <w:rsid w:val="005B0230"/>
    <w:rsid w:val="005B1179"/>
    <w:rsid w:val="005B34B7"/>
    <w:rsid w:val="005B3729"/>
    <w:rsid w:val="005B4CA8"/>
    <w:rsid w:val="005B4D17"/>
    <w:rsid w:val="005B4F21"/>
    <w:rsid w:val="005B64D9"/>
    <w:rsid w:val="005B68E9"/>
    <w:rsid w:val="005C1810"/>
    <w:rsid w:val="005C31A0"/>
    <w:rsid w:val="005C4492"/>
    <w:rsid w:val="005C473F"/>
    <w:rsid w:val="005C4952"/>
    <w:rsid w:val="005C63F7"/>
    <w:rsid w:val="005C71A3"/>
    <w:rsid w:val="005C7729"/>
    <w:rsid w:val="005C788B"/>
    <w:rsid w:val="005D00E8"/>
    <w:rsid w:val="005D2355"/>
    <w:rsid w:val="005D2445"/>
    <w:rsid w:val="005D31FD"/>
    <w:rsid w:val="005D4399"/>
    <w:rsid w:val="005D4ED9"/>
    <w:rsid w:val="005D6CD2"/>
    <w:rsid w:val="005E117A"/>
    <w:rsid w:val="005E11FC"/>
    <w:rsid w:val="005E20ED"/>
    <w:rsid w:val="005E23F5"/>
    <w:rsid w:val="005E25FA"/>
    <w:rsid w:val="005E28FB"/>
    <w:rsid w:val="005E6294"/>
    <w:rsid w:val="005E661C"/>
    <w:rsid w:val="005E6D8B"/>
    <w:rsid w:val="005F01B0"/>
    <w:rsid w:val="005F1009"/>
    <w:rsid w:val="005F1435"/>
    <w:rsid w:val="005F21D1"/>
    <w:rsid w:val="005F31DF"/>
    <w:rsid w:val="005F4FBC"/>
    <w:rsid w:val="005F528E"/>
    <w:rsid w:val="005F5ACC"/>
    <w:rsid w:val="005F69CC"/>
    <w:rsid w:val="00600132"/>
    <w:rsid w:val="006007D6"/>
    <w:rsid w:val="00600AC6"/>
    <w:rsid w:val="006014C4"/>
    <w:rsid w:val="006018E0"/>
    <w:rsid w:val="00601B01"/>
    <w:rsid w:val="00601F5C"/>
    <w:rsid w:val="00603655"/>
    <w:rsid w:val="00605F3F"/>
    <w:rsid w:val="00605FB9"/>
    <w:rsid w:val="00610223"/>
    <w:rsid w:val="006109E9"/>
    <w:rsid w:val="00610CFE"/>
    <w:rsid w:val="006110D1"/>
    <w:rsid w:val="006123DD"/>
    <w:rsid w:val="00613AD2"/>
    <w:rsid w:val="00614BF7"/>
    <w:rsid w:val="00623887"/>
    <w:rsid w:val="006244DA"/>
    <w:rsid w:val="006248F8"/>
    <w:rsid w:val="00625BAD"/>
    <w:rsid w:val="00625E9E"/>
    <w:rsid w:val="006278F6"/>
    <w:rsid w:val="00627DE0"/>
    <w:rsid w:val="00627F56"/>
    <w:rsid w:val="0063291A"/>
    <w:rsid w:val="00632AA0"/>
    <w:rsid w:val="00632D04"/>
    <w:rsid w:val="006331D5"/>
    <w:rsid w:val="00634824"/>
    <w:rsid w:val="0063609C"/>
    <w:rsid w:val="0063713C"/>
    <w:rsid w:val="00640DAD"/>
    <w:rsid w:val="006458F3"/>
    <w:rsid w:val="00646B21"/>
    <w:rsid w:val="00647FBE"/>
    <w:rsid w:val="00650566"/>
    <w:rsid w:val="006509D3"/>
    <w:rsid w:val="00651339"/>
    <w:rsid w:val="0065569F"/>
    <w:rsid w:val="0065699B"/>
    <w:rsid w:val="00657446"/>
    <w:rsid w:val="00662A4B"/>
    <w:rsid w:val="00662CFC"/>
    <w:rsid w:val="00664D33"/>
    <w:rsid w:val="00666A1A"/>
    <w:rsid w:val="00667036"/>
    <w:rsid w:val="006672AB"/>
    <w:rsid w:val="0066769B"/>
    <w:rsid w:val="006677C7"/>
    <w:rsid w:val="00674391"/>
    <w:rsid w:val="006751F9"/>
    <w:rsid w:val="00682B89"/>
    <w:rsid w:val="00682C81"/>
    <w:rsid w:val="00683D7C"/>
    <w:rsid w:val="00685443"/>
    <w:rsid w:val="00685459"/>
    <w:rsid w:val="006858FF"/>
    <w:rsid w:val="006859F7"/>
    <w:rsid w:val="00686470"/>
    <w:rsid w:val="0069019B"/>
    <w:rsid w:val="00692625"/>
    <w:rsid w:val="006932F3"/>
    <w:rsid w:val="00693363"/>
    <w:rsid w:val="006939CC"/>
    <w:rsid w:val="0069483A"/>
    <w:rsid w:val="00694C83"/>
    <w:rsid w:val="006A0105"/>
    <w:rsid w:val="006A1612"/>
    <w:rsid w:val="006A1B4C"/>
    <w:rsid w:val="006A208A"/>
    <w:rsid w:val="006A44AC"/>
    <w:rsid w:val="006A522F"/>
    <w:rsid w:val="006A52C4"/>
    <w:rsid w:val="006A63AE"/>
    <w:rsid w:val="006A63B2"/>
    <w:rsid w:val="006A7735"/>
    <w:rsid w:val="006A797E"/>
    <w:rsid w:val="006B36C8"/>
    <w:rsid w:val="006B4B45"/>
    <w:rsid w:val="006B558F"/>
    <w:rsid w:val="006B7D6C"/>
    <w:rsid w:val="006C02E3"/>
    <w:rsid w:val="006C38AD"/>
    <w:rsid w:val="006C428F"/>
    <w:rsid w:val="006D3095"/>
    <w:rsid w:val="006D4D41"/>
    <w:rsid w:val="006D7818"/>
    <w:rsid w:val="006E026F"/>
    <w:rsid w:val="006E05E7"/>
    <w:rsid w:val="006E0E88"/>
    <w:rsid w:val="006E26D5"/>
    <w:rsid w:val="006E477E"/>
    <w:rsid w:val="006E5159"/>
    <w:rsid w:val="006E7F59"/>
    <w:rsid w:val="006F0376"/>
    <w:rsid w:val="006F050F"/>
    <w:rsid w:val="006F0BC5"/>
    <w:rsid w:val="006F0C79"/>
    <w:rsid w:val="006F0EA4"/>
    <w:rsid w:val="006F2893"/>
    <w:rsid w:val="006F70A2"/>
    <w:rsid w:val="0070064F"/>
    <w:rsid w:val="00700B1F"/>
    <w:rsid w:val="00702F15"/>
    <w:rsid w:val="00704823"/>
    <w:rsid w:val="00704E66"/>
    <w:rsid w:val="00705AA4"/>
    <w:rsid w:val="007062D8"/>
    <w:rsid w:val="00710395"/>
    <w:rsid w:val="00714204"/>
    <w:rsid w:val="007162A5"/>
    <w:rsid w:val="0071719F"/>
    <w:rsid w:val="0071762D"/>
    <w:rsid w:val="00717BAD"/>
    <w:rsid w:val="0072199D"/>
    <w:rsid w:val="00724B23"/>
    <w:rsid w:val="00725BC0"/>
    <w:rsid w:val="00726797"/>
    <w:rsid w:val="007270C9"/>
    <w:rsid w:val="00731DC4"/>
    <w:rsid w:val="00737149"/>
    <w:rsid w:val="00740005"/>
    <w:rsid w:val="00740DF8"/>
    <w:rsid w:val="00741304"/>
    <w:rsid w:val="007468FB"/>
    <w:rsid w:val="00746BF5"/>
    <w:rsid w:val="007470CF"/>
    <w:rsid w:val="00750515"/>
    <w:rsid w:val="007518D6"/>
    <w:rsid w:val="00751BF0"/>
    <w:rsid w:val="00753F95"/>
    <w:rsid w:val="0075427A"/>
    <w:rsid w:val="00754EBD"/>
    <w:rsid w:val="007551E1"/>
    <w:rsid w:val="00755E69"/>
    <w:rsid w:val="00757C3B"/>
    <w:rsid w:val="0076023A"/>
    <w:rsid w:val="0076304F"/>
    <w:rsid w:val="00763C32"/>
    <w:rsid w:val="00773733"/>
    <w:rsid w:val="00774FE0"/>
    <w:rsid w:val="0077582D"/>
    <w:rsid w:val="00776E81"/>
    <w:rsid w:val="007802E1"/>
    <w:rsid w:val="00780FAD"/>
    <w:rsid w:val="00782256"/>
    <w:rsid w:val="0078459F"/>
    <w:rsid w:val="00791216"/>
    <w:rsid w:val="00791617"/>
    <w:rsid w:val="00792CEB"/>
    <w:rsid w:val="00793AD6"/>
    <w:rsid w:val="00793EA7"/>
    <w:rsid w:val="007940E8"/>
    <w:rsid w:val="00795047"/>
    <w:rsid w:val="007A673A"/>
    <w:rsid w:val="007A69C1"/>
    <w:rsid w:val="007B03E4"/>
    <w:rsid w:val="007B3B54"/>
    <w:rsid w:val="007B3BE2"/>
    <w:rsid w:val="007B665E"/>
    <w:rsid w:val="007B68B7"/>
    <w:rsid w:val="007B711A"/>
    <w:rsid w:val="007C2538"/>
    <w:rsid w:val="007C385B"/>
    <w:rsid w:val="007C3F49"/>
    <w:rsid w:val="007C5879"/>
    <w:rsid w:val="007C5AD5"/>
    <w:rsid w:val="007C746E"/>
    <w:rsid w:val="007C7FD7"/>
    <w:rsid w:val="007D2DD2"/>
    <w:rsid w:val="007D4DD3"/>
    <w:rsid w:val="007D608A"/>
    <w:rsid w:val="007D7F92"/>
    <w:rsid w:val="007E0773"/>
    <w:rsid w:val="007E0ABA"/>
    <w:rsid w:val="007E1D9A"/>
    <w:rsid w:val="007E3FCC"/>
    <w:rsid w:val="007E6163"/>
    <w:rsid w:val="007E7978"/>
    <w:rsid w:val="007E7BC6"/>
    <w:rsid w:val="007E7F34"/>
    <w:rsid w:val="007F0554"/>
    <w:rsid w:val="007F15BB"/>
    <w:rsid w:val="007F2D2A"/>
    <w:rsid w:val="007F3589"/>
    <w:rsid w:val="007F4404"/>
    <w:rsid w:val="007F44BE"/>
    <w:rsid w:val="007F4C48"/>
    <w:rsid w:val="007F4E1E"/>
    <w:rsid w:val="007F53C1"/>
    <w:rsid w:val="007F772F"/>
    <w:rsid w:val="00800C52"/>
    <w:rsid w:val="008015F8"/>
    <w:rsid w:val="0080211A"/>
    <w:rsid w:val="00804638"/>
    <w:rsid w:val="00804B17"/>
    <w:rsid w:val="008056CD"/>
    <w:rsid w:val="008062BF"/>
    <w:rsid w:val="00806502"/>
    <w:rsid w:val="008109A7"/>
    <w:rsid w:val="00811687"/>
    <w:rsid w:val="0081411F"/>
    <w:rsid w:val="00814C62"/>
    <w:rsid w:val="00821537"/>
    <w:rsid w:val="0082345F"/>
    <w:rsid w:val="00823880"/>
    <w:rsid w:val="008241D3"/>
    <w:rsid w:val="00824D91"/>
    <w:rsid w:val="00825673"/>
    <w:rsid w:val="008257C1"/>
    <w:rsid w:val="00825C08"/>
    <w:rsid w:val="0083058C"/>
    <w:rsid w:val="00830A8A"/>
    <w:rsid w:val="00831AA7"/>
    <w:rsid w:val="008324F2"/>
    <w:rsid w:val="00832C0D"/>
    <w:rsid w:val="00833D88"/>
    <w:rsid w:val="008361ED"/>
    <w:rsid w:val="00836304"/>
    <w:rsid w:val="0084078A"/>
    <w:rsid w:val="00841BE9"/>
    <w:rsid w:val="00846848"/>
    <w:rsid w:val="00846C4C"/>
    <w:rsid w:val="008479ED"/>
    <w:rsid w:val="00847D7A"/>
    <w:rsid w:val="00850D33"/>
    <w:rsid w:val="00852672"/>
    <w:rsid w:val="00852A83"/>
    <w:rsid w:val="00853473"/>
    <w:rsid w:val="00854D3E"/>
    <w:rsid w:val="008561E9"/>
    <w:rsid w:val="00861D20"/>
    <w:rsid w:val="00863B20"/>
    <w:rsid w:val="008648BB"/>
    <w:rsid w:val="008653DE"/>
    <w:rsid w:val="008679F8"/>
    <w:rsid w:val="00870397"/>
    <w:rsid w:val="00871395"/>
    <w:rsid w:val="0087242A"/>
    <w:rsid w:val="00872E19"/>
    <w:rsid w:val="00873A2F"/>
    <w:rsid w:val="00874AAE"/>
    <w:rsid w:val="00874B64"/>
    <w:rsid w:val="00875BF1"/>
    <w:rsid w:val="00877FD8"/>
    <w:rsid w:val="008808E3"/>
    <w:rsid w:val="00881A97"/>
    <w:rsid w:val="00882C09"/>
    <w:rsid w:val="00883178"/>
    <w:rsid w:val="00883881"/>
    <w:rsid w:val="008850A1"/>
    <w:rsid w:val="00885151"/>
    <w:rsid w:val="008865D9"/>
    <w:rsid w:val="00887CBC"/>
    <w:rsid w:val="00890346"/>
    <w:rsid w:val="008929C1"/>
    <w:rsid w:val="00893728"/>
    <w:rsid w:val="008979D4"/>
    <w:rsid w:val="008A1D8B"/>
    <w:rsid w:val="008A3948"/>
    <w:rsid w:val="008A3C27"/>
    <w:rsid w:val="008A5088"/>
    <w:rsid w:val="008A5FC4"/>
    <w:rsid w:val="008A74F8"/>
    <w:rsid w:val="008B04A0"/>
    <w:rsid w:val="008B0EEF"/>
    <w:rsid w:val="008B123F"/>
    <w:rsid w:val="008B2A89"/>
    <w:rsid w:val="008B3178"/>
    <w:rsid w:val="008B4082"/>
    <w:rsid w:val="008B7312"/>
    <w:rsid w:val="008C09D2"/>
    <w:rsid w:val="008C10AA"/>
    <w:rsid w:val="008C14D4"/>
    <w:rsid w:val="008C1818"/>
    <w:rsid w:val="008C21B5"/>
    <w:rsid w:val="008C21E6"/>
    <w:rsid w:val="008C3592"/>
    <w:rsid w:val="008C38B7"/>
    <w:rsid w:val="008C480A"/>
    <w:rsid w:val="008C6E07"/>
    <w:rsid w:val="008C7EC0"/>
    <w:rsid w:val="008D0899"/>
    <w:rsid w:val="008D0B92"/>
    <w:rsid w:val="008D3C61"/>
    <w:rsid w:val="008D3E3D"/>
    <w:rsid w:val="008D42D4"/>
    <w:rsid w:val="008D451E"/>
    <w:rsid w:val="008D49C3"/>
    <w:rsid w:val="008D6B14"/>
    <w:rsid w:val="008D7A86"/>
    <w:rsid w:val="008E09F4"/>
    <w:rsid w:val="008E0C8C"/>
    <w:rsid w:val="008E0E01"/>
    <w:rsid w:val="008E1721"/>
    <w:rsid w:val="008E2AB0"/>
    <w:rsid w:val="008E3865"/>
    <w:rsid w:val="008E417C"/>
    <w:rsid w:val="008E4B38"/>
    <w:rsid w:val="008E5878"/>
    <w:rsid w:val="008F09AB"/>
    <w:rsid w:val="008F11A3"/>
    <w:rsid w:val="008F7601"/>
    <w:rsid w:val="008F79E1"/>
    <w:rsid w:val="0090378D"/>
    <w:rsid w:val="00904039"/>
    <w:rsid w:val="00907440"/>
    <w:rsid w:val="009074A6"/>
    <w:rsid w:val="00907971"/>
    <w:rsid w:val="00907A05"/>
    <w:rsid w:val="009100A8"/>
    <w:rsid w:val="00910BE8"/>
    <w:rsid w:val="00912187"/>
    <w:rsid w:val="009132E3"/>
    <w:rsid w:val="00913890"/>
    <w:rsid w:val="009148AC"/>
    <w:rsid w:val="00914C1D"/>
    <w:rsid w:val="00915F3F"/>
    <w:rsid w:val="00916228"/>
    <w:rsid w:val="00916D0E"/>
    <w:rsid w:val="0091747C"/>
    <w:rsid w:val="00922A9B"/>
    <w:rsid w:val="009231B2"/>
    <w:rsid w:val="00923ADD"/>
    <w:rsid w:val="00925758"/>
    <w:rsid w:val="0092738A"/>
    <w:rsid w:val="009279F2"/>
    <w:rsid w:val="00931B2F"/>
    <w:rsid w:val="00932BAB"/>
    <w:rsid w:val="0093306C"/>
    <w:rsid w:val="009339FC"/>
    <w:rsid w:val="009350CE"/>
    <w:rsid w:val="00940B60"/>
    <w:rsid w:val="00940D05"/>
    <w:rsid w:val="009433C1"/>
    <w:rsid w:val="00943829"/>
    <w:rsid w:val="0094402B"/>
    <w:rsid w:val="00946DC5"/>
    <w:rsid w:val="00946E17"/>
    <w:rsid w:val="00947011"/>
    <w:rsid w:val="00947278"/>
    <w:rsid w:val="00947EF3"/>
    <w:rsid w:val="009539FA"/>
    <w:rsid w:val="00953A05"/>
    <w:rsid w:val="00954EAA"/>
    <w:rsid w:val="00960FE0"/>
    <w:rsid w:val="0096247E"/>
    <w:rsid w:val="00963D1D"/>
    <w:rsid w:val="00964284"/>
    <w:rsid w:val="00965069"/>
    <w:rsid w:val="00965175"/>
    <w:rsid w:val="00965FDF"/>
    <w:rsid w:val="00967D17"/>
    <w:rsid w:val="009802CB"/>
    <w:rsid w:val="0098465E"/>
    <w:rsid w:val="00985AD3"/>
    <w:rsid w:val="00985D31"/>
    <w:rsid w:val="00986804"/>
    <w:rsid w:val="00986D67"/>
    <w:rsid w:val="0099070F"/>
    <w:rsid w:val="00990992"/>
    <w:rsid w:val="009934D7"/>
    <w:rsid w:val="00993BAE"/>
    <w:rsid w:val="00993E39"/>
    <w:rsid w:val="0099546D"/>
    <w:rsid w:val="00996370"/>
    <w:rsid w:val="00997EED"/>
    <w:rsid w:val="009A21E3"/>
    <w:rsid w:val="009A22F4"/>
    <w:rsid w:val="009A375C"/>
    <w:rsid w:val="009A3853"/>
    <w:rsid w:val="009B0520"/>
    <w:rsid w:val="009B2803"/>
    <w:rsid w:val="009B4220"/>
    <w:rsid w:val="009B49D4"/>
    <w:rsid w:val="009B5742"/>
    <w:rsid w:val="009B73F5"/>
    <w:rsid w:val="009C3182"/>
    <w:rsid w:val="009C34F3"/>
    <w:rsid w:val="009C5367"/>
    <w:rsid w:val="009C5B87"/>
    <w:rsid w:val="009C6717"/>
    <w:rsid w:val="009D2F28"/>
    <w:rsid w:val="009D3731"/>
    <w:rsid w:val="009D38A1"/>
    <w:rsid w:val="009D3EC7"/>
    <w:rsid w:val="009E3C08"/>
    <w:rsid w:val="009E6C6B"/>
    <w:rsid w:val="009E77F2"/>
    <w:rsid w:val="009F23BD"/>
    <w:rsid w:val="009F593D"/>
    <w:rsid w:val="00A00503"/>
    <w:rsid w:val="00A0156A"/>
    <w:rsid w:val="00A01C6F"/>
    <w:rsid w:val="00A023EA"/>
    <w:rsid w:val="00A047CA"/>
    <w:rsid w:val="00A04D33"/>
    <w:rsid w:val="00A109D4"/>
    <w:rsid w:val="00A12D70"/>
    <w:rsid w:val="00A12F39"/>
    <w:rsid w:val="00A1430A"/>
    <w:rsid w:val="00A16057"/>
    <w:rsid w:val="00A21381"/>
    <w:rsid w:val="00A21842"/>
    <w:rsid w:val="00A21925"/>
    <w:rsid w:val="00A2215A"/>
    <w:rsid w:val="00A23059"/>
    <w:rsid w:val="00A2623B"/>
    <w:rsid w:val="00A26B28"/>
    <w:rsid w:val="00A300E2"/>
    <w:rsid w:val="00A31B69"/>
    <w:rsid w:val="00A323BD"/>
    <w:rsid w:val="00A34465"/>
    <w:rsid w:val="00A35D7E"/>
    <w:rsid w:val="00A37A93"/>
    <w:rsid w:val="00A40847"/>
    <w:rsid w:val="00A40FCF"/>
    <w:rsid w:val="00A42701"/>
    <w:rsid w:val="00A444A6"/>
    <w:rsid w:val="00A44995"/>
    <w:rsid w:val="00A45C33"/>
    <w:rsid w:val="00A466B6"/>
    <w:rsid w:val="00A4721B"/>
    <w:rsid w:val="00A5128C"/>
    <w:rsid w:val="00A5234E"/>
    <w:rsid w:val="00A57D2F"/>
    <w:rsid w:val="00A57DBC"/>
    <w:rsid w:val="00A60114"/>
    <w:rsid w:val="00A62E0B"/>
    <w:rsid w:val="00A674D0"/>
    <w:rsid w:val="00A71BAA"/>
    <w:rsid w:val="00A74122"/>
    <w:rsid w:val="00A76443"/>
    <w:rsid w:val="00A8447E"/>
    <w:rsid w:val="00A87317"/>
    <w:rsid w:val="00A90205"/>
    <w:rsid w:val="00A903D9"/>
    <w:rsid w:val="00A91411"/>
    <w:rsid w:val="00A931E9"/>
    <w:rsid w:val="00A93511"/>
    <w:rsid w:val="00A94647"/>
    <w:rsid w:val="00A94C90"/>
    <w:rsid w:val="00A96066"/>
    <w:rsid w:val="00A97A9E"/>
    <w:rsid w:val="00A97D79"/>
    <w:rsid w:val="00AA0C5A"/>
    <w:rsid w:val="00AA2D57"/>
    <w:rsid w:val="00AA3E70"/>
    <w:rsid w:val="00AA4EF1"/>
    <w:rsid w:val="00AA60BC"/>
    <w:rsid w:val="00AA6BA4"/>
    <w:rsid w:val="00AA7670"/>
    <w:rsid w:val="00AA7C25"/>
    <w:rsid w:val="00AB0362"/>
    <w:rsid w:val="00AB24F2"/>
    <w:rsid w:val="00AB3269"/>
    <w:rsid w:val="00AB3C78"/>
    <w:rsid w:val="00AB6D11"/>
    <w:rsid w:val="00AC0045"/>
    <w:rsid w:val="00AC0E5E"/>
    <w:rsid w:val="00AC254B"/>
    <w:rsid w:val="00AC4111"/>
    <w:rsid w:val="00AC4136"/>
    <w:rsid w:val="00AC4A34"/>
    <w:rsid w:val="00AC5B44"/>
    <w:rsid w:val="00AD0661"/>
    <w:rsid w:val="00AD0FD4"/>
    <w:rsid w:val="00AD281B"/>
    <w:rsid w:val="00AD29E4"/>
    <w:rsid w:val="00AD2EC9"/>
    <w:rsid w:val="00AD51CE"/>
    <w:rsid w:val="00AD6DB5"/>
    <w:rsid w:val="00AD6FA9"/>
    <w:rsid w:val="00AD7650"/>
    <w:rsid w:val="00AD772D"/>
    <w:rsid w:val="00AE132C"/>
    <w:rsid w:val="00AE1BC2"/>
    <w:rsid w:val="00AE2DD6"/>
    <w:rsid w:val="00AE3B7B"/>
    <w:rsid w:val="00AE4A80"/>
    <w:rsid w:val="00AE71A5"/>
    <w:rsid w:val="00AE7959"/>
    <w:rsid w:val="00AF1D10"/>
    <w:rsid w:val="00AF2921"/>
    <w:rsid w:val="00AF38D4"/>
    <w:rsid w:val="00AF3FBA"/>
    <w:rsid w:val="00AF3FFC"/>
    <w:rsid w:val="00AF440E"/>
    <w:rsid w:val="00AF69F7"/>
    <w:rsid w:val="00B00132"/>
    <w:rsid w:val="00B00D8A"/>
    <w:rsid w:val="00B01A6B"/>
    <w:rsid w:val="00B02FF3"/>
    <w:rsid w:val="00B030B3"/>
    <w:rsid w:val="00B05F83"/>
    <w:rsid w:val="00B064C6"/>
    <w:rsid w:val="00B115A2"/>
    <w:rsid w:val="00B13AC3"/>
    <w:rsid w:val="00B13B6B"/>
    <w:rsid w:val="00B15CA5"/>
    <w:rsid w:val="00B15CCF"/>
    <w:rsid w:val="00B20589"/>
    <w:rsid w:val="00B210F4"/>
    <w:rsid w:val="00B21270"/>
    <w:rsid w:val="00B233FA"/>
    <w:rsid w:val="00B31461"/>
    <w:rsid w:val="00B31649"/>
    <w:rsid w:val="00B344FD"/>
    <w:rsid w:val="00B3586B"/>
    <w:rsid w:val="00B3706D"/>
    <w:rsid w:val="00B40005"/>
    <w:rsid w:val="00B4177C"/>
    <w:rsid w:val="00B42C45"/>
    <w:rsid w:val="00B43A28"/>
    <w:rsid w:val="00B43E2A"/>
    <w:rsid w:val="00B440EB"/>
    <w:rsid w:val="00B46272"/>
    <w:rsid w:val="00B53589"/>
    <w:rsid w:val="00B56443"/>
    <w:rsid w:val="00B568A2"/>
    <w:rsid w:val="00B57F53"/>
    <w:rsid w:val="00B612B6"/>
    <w:rsid w:val="00B636DC"/>
    <w:rsid w:val="00B639E5"/>
    <w:rsid w:val="00B67019"/>
    <w:rsid w:val="00B730C1"/>
    <w:rsid w:val="00B742DB"/>
    <w:rsid w:val="00B81003"/>
    <w:rsid w:val="00B818D7"/>
    <w:rsid w:val="00B82008"/>
    <w:rsid w:val="00B8291A"/>
    <w:rsid w:val="00B85678"/>
    <w:rsid w:val="00B867DD"/>
    <w:rsid w:val="00B90EA0"/>
    <w:rsid w:val="00B91BAA"/>
    <w:rsid w:val="00B91BC8"/>
    <w:rsid w:val="00B92538"/>
    <w:rsid w:val="00B92C39"/>
    <w:rsid w:val="00B9320E"/>
    <w:rsid w:val="00B93F58"/>
    <w:rsid w:val="00B952B5"/>
    <w:rsid w:val="00BA01D2"/>
    <w:rsid w:val="00BA0CE8"/>
    <w:rsid w:val="00BA19BE"/>
    <w:rsid w:val="00BA1DFD"/>
    <w:rsid w:val="00BA1F1D"/>
    <w:rsid w:val="00BA2A76"/>
    <w:rsid w:val="00BA374F"/>
    <w:rsid w:val="00BA4A46"/>
    <w:rsid w:val="00BB0290"/>
    <w:rsid w:val="00BB48FA"/>
    <w:rsid w:val="00BB5312"/>
    <w:rsid w:val="00BC16FB"/>
    <w:rsid w:val="00BC1B68"/>
    <w:rsid w:val="00BC31F1"/>
    <w:rsid w:val="00BC3700"/>
    <w:rsid w:val="00BC5ACA"/>
    <w:rsid w:val="00BC5ECE"/>
    <w:rsid w:val="00BC6314"/>
    <w:rsid w:val="00BC67A2"/>
    <w:rsid w:val="00BD0BA3"/>
    <w:rsid w:val="00BD19F5"/>
    <w:rsid w:val="00BD26FC"/>
    <w:rsid w:val="00BD2D98"/>
    <w:rsid w:val="00BD44B9"/>
    <w:rsid w:val="00BD49FC"/>
    <w:rsid w:val="00BD4A08"/>
    <w:rsid w:val="00BD75B3"/>
    <w:rsid w:val="00BD7ACB"/>
    <w:rsid w:val="00BE0BD4"/>
    <w:rsid w:val="00BE391B"/>
    <w:rsid w:val="00BE46AC"/>
    <w:rsid w:val="00BE633C"/>
    <w:rsid w:val="00BE639D"/>
    <w:rsid w:val="00BE69AC"/>
    <w:rsid w:val="00BF33B0"/>
    <w:rsid w:val="00BF59B2"/>
    <w:rsid w:val="00C00DC1"/>
    <w:rsid w:val="00C01514"/>
    <w:rsid w:val="00C061E3"/>
    <w:rsid w:val="00C06240"/>
    <w:rsid w:val="00C07770"/>
    <w:rsid w:val="00C119C2"/>
    <w:rsid w:val="00C126E5"/>
    <w:rsid w:val="00C141DF"/>
    <w:rsid w:val="00C14967"/>
    <w:rsid w:val="00C14B25"/>
    <w:rsid w:val="00C15FEE"/>
    <w:rsid w:val="00C1627A"/>
    <w:rsid w:val="00C16F03"/>
    <w:rsid w:val="00C17198"/>
    <w:rsid w:val="00C1777A"/>
    <w:rsid w:val="00C17E8E"/>
    <w:rsid w:val="00C20E15"/>
    <w:rsid w:val="00C222AC"/>
    <w:rsid w:val="00C24C12"/>
    <w:rsid w:val="00C252E8"/>
    <w:rsid w:val="00C26E47"/>
    <w:rsid w:val="00C3083F"/>
    <w:rsid w:val="00C31B7A"/>
    <w:rsid w:val="00C322A1"/>
    <w:rsid w:val="00C32E9F"/>
    <w:rsid w:val="00C33404"/>
    <w:rsid w:val="00C338CE"/>
    <w:rsid w:val="00C33BEE"/>
    <w:rsid w:val="00C34E14"/>
    <w:rsid w:val="00C364D6"/>
    <w:rsid w:val="00C40350"/>
    <w:rsid w:val="00C410F0"/>
    <w:rsid w:val="00C414E8"/>
    <w:rsid w:val="00C42AAC"/>
    <w:rsid w:val="00C42CE4"/>
    <w:rsid w:val="00C43619"/>
    <w:rsid w:val="00C43DAE"/>
    <w:rsid w:val="00C45CE0"/>
    <w:rsid w:val="00C51A84"/>
    <w:rsid w:val="00C531DC"/>
    <w:rsid w:val="00C532F8"/>
    <w:rsid w:val="00C533FE"/>
    <w:rsid w:val="00C5376C"/>
    <w:rsid w:val="00C54162"/>
    <w:rsid w:val="00C54C55"/>
    <w:rsid w:val="00C561F1"/>
    <w:rsid w:val="00C579C2"/>
    <w:rsid w:val="00C61020"/>
    <w:rsid w:val="00C62631"/>
    <w:rsid w:val="00C63972"/>
    <w:rsid w:val="00C65241"/>
    <w:rsid w:val="00C65378"/>
    <w:rsid w:val="00C6625F"/>
    <w:rsid w:val="00C66CB0"/>
    <w:rsid w:val="00C676E5"/>
    <w:rsid w:val="00C745E0"/>
    <w:rsid w:val="00C75A55"/>
    <w:rsid w:val="00C75C14"/>
    <w:rsid w:val="00C7661F"/>
    <w:rsid w:val="00C76787"/>
    <w:rsid w:val="00C772E3"/>
    <w:rsid w:val="00C830E2"/>
    <w:rsid w:val="00C83A4F"/>
    <w:rsid w:val="00C83F4E"/>
    <w:rsid w:val="00C84379"/>
    <w:rsid w:val="00C84D05"/>
    <w:rsid w:val="00C8621A"/>
    <w:rsid w:val="00C87641"/>
    <w:rsid w:val="00C926AD"/>
    <w:rsid w:val="00C92826"/>
    <w:rsid w:val="00C93453"/>
    <w:rsid w:val="00CA04DC"/>
    <w:rsid w:val="00CA0ADF"/>
    <w:rsid w:val="00CA2F8D"/>
    <w:rsid w:val="00CA5938"/>
    <w:rsid w:val="00CA5C45"/>
    <w:rsid w:val="00CA5DEE"/>
    <w:rsid w:val="00CA623D"/>
    <w:rsid w:val="00CA7E44"/>
    <w:rsid w:val="00CB0E55"/>
    <w:rsid w:val="00CB38F2"/>
    <w:rsid w:val="00CB3DBD"/>
    <w:rsid w:val="00CB4D57"/>
    <w:rsid w:val="00CB57FE"/>
    <w:rsid w:val="00CB62D1"/>
    <w:rsid w:val="00CB7123"/>
    <w:rsid w:val="00CB73A3"/>
    <w:rsid w:val="00CB7F0D"/>
    <w:rsid w:val="00CC1DF7"/>
    <w:rsid w:val="00CC20F1"/>
    <w:rsid w:val="00CC28C6"/>
    <w:rsid w:val="00CC3585"/>
    <w:rsid w:val="00CC4808"/>
    <w:rsid w:val="00CC4BC8"/>
    <w:rsid w:val="00CC7D66"/>
    <w:rsid w:val="00CD0055"/>
    <w:rsid w:val="00CD0400"/>
    <w:rsid w:val="00CD211F"/>
    <w:rsid w:val="00CD2AF6"/>
    <w:rsid w:val="00CD305B"/>
    <w:rsid w:val="00CD37A9"/>
    <w:rsid w:val="00CD44A5"/>
    <w:rsid w:val="00CD71EC"/>
    <w:rsid w:val="00CE0D2C"/>
    <w:rsid w:val="00CE1B8A"/>
    <w:rsid w:val="00CE3510"/>
    <w:rsid w:val="00CE426B"/>
    <w:rsid w:val="00CE4936"/>
    <w:rsid w:val="00CE4CC0"/>
    <w:rsid w:val="00CE6205"/>
    <w:rsid w:val="00CE6BF8"/>
    <w:rsid w:val="00CE7957"/>
    <w:rsid w:val="00CE7A1E"/>
    <w:rsid w:val="00CF0714"/>
    <w:rsid w:val="00CF27C4"/>
    <w:rsid w:val="00CF3849"/>
    <w:rsid w:val="00CF717D"/>
    <w:rsid w:val="00CF7294"/>
    <w:rsid w:val="00D01230"/>
    <w:rsid w:val="00D01C88"/>
    <w:rsid w:val="00D06F27"/>
    <w:rsid w:val="00D073F4"/>
    <w:rsid w:val="00D1102D"/>
    <w:rsid w:val="00D1143B"/>
    <w:rsid w:val="00D130FD"/>
    <w:rsid w:val="00D13DF0"/>
    <w:rsid w:val="00D143AC"/>
    <w:rsid w:val="00D14486"/>
    <w:rsid w:val="00D21039"/>
    <w:rsid w:val="00D21E78"/>
    <w:rsid w:val="00D244C9"/>
    <w:rsid w:val="00D24520"/>
    <w:rsid w:val="00D25BF8"/>
    <w:rsid w:val="00D262EA"/>
    <w:rsid w:val="00D2760A"/>
    <w:rsid w:val="00D31703"/>
    <w:rsid w:val="00D32D1E"/>
    <w:rsid w:val="00D40AAD"/>
    <w:rsid w:val="00D45329"/>
    <w:rsid w:val="00D47ACC"/>
    <w:rsid w:val="00D5064E"/>
    <w:rsid w:val="00D50BE2"/>
    <w:rsid w:val="00D51A46"/>
    <w:rsid w:val="00D51FE7"/>
    <w:rsid w:val="00D534CA"/>
    <w:rsid w:val="00D54B01"/>
    <w:rsid w:val="00D5720C"/>
    <w:rsid w:val="00D57274"/>
    <w:rsid w:val="00D600F0"/>
    <w:rsid w:val="00D6034D"/>
    <w:rsid w:val="00D61332"/>
    <w:rsid w:val="00D61F8A"/>
    <w:rsid w:val="00D6239E"/>
    <w:rsid w:val="00D63575"/>
    <w:rsid w:val="00D640D7"/>
    <w:rsid w:val="00D64A4B"/>
    <w:rsid w:val="00D66A48"/>
    <w:rsid w:val="00D70374"/>
    <w:rsid w:val="00D70DFD"/>
    <w:rsid w:val="00D71175"/>
    <w:rsid w:val="00D7260B"/>
    <w:rsid w:val="00D729B1"/>
    <w:rsid w:val="00D730B5"/>
    <w:rsid w:val="00D73129"/>
    <w:rsid w:val="00D735FF"/>
    <w:rsid w:val="00D73A3C"/>
    <w:rsid w:val="00D7483C"/>
    <w:rsid w:val="00D74FD2"/>
    <w:rsid w:val="00D77CD3"/>
    <w:rsid w:val="00D813C5"/>
    <w:rsid w:val="00D83999"/>
    <w:rsid w:val="00D839BC"/>
    <w:rsid w:val="00D84ABE"/>
    <w:rsid w:val="00D84F60"/>
    <w:rsid w:val="00D87B35"/>
    <w:rsid w:val="00D9098B"/>
    <w:rsid w:val="00D91BC7"/>
    <w:rsid w:val="00D91FC5"/>
    <w:rsid w:val="00D92690"/>
    <w:rsid w:val="00D9288B"/>
    <w:rsid w:val="00D93EA3"/>
    <w:rsid w:val="00D969DB"/>
    <w:rsid w:val="00D97AD0"/>
    <w:rsid w:val="00DA2373"/>
    <w:rsid w:val="00DA6F20"/>
    <w:rsid w:val="00DB14FE"/>
    <w:rsid w:val="00DB17ED"/>
    <w:rsid w:val="00DB4087"/>
    <w:rsid w:val="00DB4755"/>
    <w:rsid w:val="00DC07A6"/>
    <w:rsid w:val="00DC22B8"/>
    <w:rsid w:val="00DC3E21"/>
    <w:rsid w:val="00DC428F"/>
    <w:rsid w:val="00DC4480"/>
    <w:rsid w:val="00DC48FC"/>
    <w:rsid w:val="00DD04B4"/>
    <w:rsid w:val="00DD13E2"/>
    <w:rsid w:val="00DD2866"/>
    <w:rsid w:val="00DD2EAD"/>
    <w:rsid w:val="00DD332A"/>
    <w:rsid w:val="00DD39D7"/>
    <w:rsid w:val="00DD3E03"/>
    <w:rsid w:val="00DD536D"/>
    <w:rsid w:val="00DD5375"/>
    <w:rsid w:val="00DD638B"/>
    <w:rsid w:val="00DD6622"/>
    <w:rsid w:val="00DE05AF"/>
    <w:rsid w:val="00DE0CFB"/>
    <w:rsid w:val="00DE1245"/>
    <w:rsid w:val="00DE16B2"/>
    <w:rsid w:val="00DE17F9"/>
    <w:rsid w:val="00DE1D68"/>
    <w:rsid w:val="00DE204C"/>
    <w:rsid w:val="00DE33F9"/>
    <w:rsid w:val="00DE3A75"/>
    <w:rsid w:val="00DE4C92"/>
    <w:rsid w:val="00DE6050"/>
    <w:rsid w:val="00DE65EC"/>
    <w:rsid w:val="00DF2EC9"/>
    <w:rsid w:val="00DF5393"/>
    <w:rsid w:val="00DF54C2"/>
    <w:rsid w:val="00DF5787"/>
    <w:rsid w:val="00DF794F"/>
    <w:rsid w:val="00E02336"/>
    <w:rsid w:val="00E023AA"/>
    <w:rsid w:val="00E02DF9"/>
    <w:rsid w:val="00E059CE"/>
    <w:rsid w:val="00E07B27"/>
    <w:rsid w:val="00E11048"/>
    <w:rsid w:val="00E12228"/>
    <w:rsid w:val="00E1542B"/>
    <w:rsid w:val="00E15852"/>
    <w:rsid w:val="00E1630A"/>
    <w:rsid w:val="00E165CA"/>
    <w:rsid w:val="00E20A4D"/>
    <w:rsid w:val="00E21932"/>
    <w:rsid w:val="00E23208"/>
    <w:rsid w:val="00E23A7E"/>
    <w:rsid w:val="00E24A0D"/>
    <w:rsid w:val="00E24A15"/>
    <w:rsid w:val="00E24F4E"/>
    <w:rsid w:val="00E25699"/>
    <w:rsid w:val="00E270A8"/>
    <w:rsid w:val="00E275BB"/>
    <w:rsid w:val="00E275CC"/>
    <w:rsid w:val="00E3023E"/>
    <w:rsid w:val="00E320BF"/>
    <w:rsid w:val="00E325CC"/>
    <w:rsid w:val="00E32F40"/>
    <w:rsid w:val="00E34B78"/>
    <w:rsid w:val="00E34FE2"/>
    <w:rsid w:val="00E35F2E"/>
    <w:rsid w:val="00E37029"/>
    <w:rsid w:val="00E40F3D"/>
    <w:rsid w:val="00E42F1F"/>
    <w:rsid w:val="00E45A6B"/>
    <w:rsid w:val="00E464E0"/>
    <w:rsid w:val="00E465FE"/>
    <w:rsid w:val="00E510DD"/>
    <w:rsid w:val="00E51FE7"/>
    <w:rsid w:val="00E520C5"/>
    <w:rsid w:val="00E5274C"/>
    <w:rsid w:val="00E53E66"/>
    <w:rsid w:val="00E540E3"/>
    <w:rsid w:val="00E54235"/>
    <w:rsid w:val="00E5657E"/>
    <w:rsid w:val="00E60D4B"/>
    <w:rsid w:val="00E61488"/>
    <w:rsid w:val="00E6207F"/>
    <w:rsid w:val="00E62F37"/>
    <w:rsid w:val="00E63547"/>
    <w:rsid w:val="00E63814"/>
    <w:rsid w:val="00E6497E"/>
    <w:rsid w:val="00E651B3"/>
    <w:rsid w:val="00E71B47"/>
    <w:rsid w:val="00E73CC6"/>
    <w:rsid w:val="00E74261"/>
    <w:rsid w:val="00E77018"/>
    <w:rsid w:val="00E8056B"/>
    <w:rsid w:val="00E80729"/>
    <w:rsid w:val="00E80CF1"/>
    <w:rsid w:val="00E86E35"/>
    <w:rsid w:val="00E86F46"/>
    <w:rsid w:val="00E91E84"/>
    <w:rsid w:val="00E92E57"/>
    <w:rsid w:val="00E96BDF"/>
    <w:rsid w:val="00EA1831"/>
    <w:rsid w:val="00EA2204"/>
    <w:rsid w:val="00EA2A85"/>
    <w:rsid w:val="00EA3251"/>
    <w:rsid w:val="00EA3322"/>
    <w:rsid w:val="00EA3F83"/>
    <w:rsid w:val="00EA57AD"/>
    <w:rsid w:val="00EA6150"/>
    <w:rsid w:val="00EA6D50"/>
    <w:rsid w:val="00EA76EE"/>
    <w:rsid w:val="00EB0C47"/>
    <w:rsid w:val="00EB3E6E"/>
    <w:rsid w:val="00EB4FDE"/>
    <w:rsid w:val="00EB73AB"/>
    <w:rsid w:val="00EC042B"/>
    <w:rsid w:val="00EC2FD2"/>
    <w:rsid w:val="00EC427E"/>
    <w:rsid w:val="00EC4A38"/>
    <w:rsid w:val="00EC7A14"/>
    <w:rsid w:val="00ED0C35"/>
    <w:rsid w:val="00ED185A"/>
    <w:rsid w:val="00ED19EB"/>
    <w:rsid w:val="00ED1D0D"/>
    <w:rsid w:val="00ED2995"/>
    <w:rsid w:val="00ED39AB"/>
    <w:rsid w:val="00EE02B2"/>
    <w:rsid w:val="00EE1FFF"/>
    <w:rsid w:val="00EE2127"/>
    <w:rsid w:val="00EE22F2"/>
    <w:rsid w:val="00EE4129"/>
    <w:rsid w:val="00EE49F2"/>
    <w:rsid w:val="00EE65C7"/>
    <w:rsid w:val="00EE675F"/>
    <w:rsid w:val="00EF081A"/>
    <w:rsid w:val="00EF5F37"/>
    <w:rsid w:val="00F020D5"/>
    <w:rsid w:val="00F03AB9"/>
    <w:rsid w:val="00F03D77"/>
    <w:rsid w:val="00F04185"/>
    <w:rsid w:val="00F04548"/>
    <w:rsid w:val="00F12338"/>
    <w:rsid w:val="00F15073"/>
    <w:rsid w:val="00F16C2D"/>
    <w:rsid w:val="00F17E6F"/>
    <w:rsid w:val="00F2072F"/>
    <w:rsid w:val="00F2165E"/>
    <w:rsid w:val="00F21CE8"/>
    <w:rsid w:val="00F24FD9"/>
    <w:rsid w:val="00F25484"/>
    <w:rsid w:val="00F254C0"/>
    <w:rsid w:val="00F26132"/>
    <w:rsid w:val="00F2647C"/>
    <w:rsid w:val="00F3294F"/>
    <w:rsid w:val="00F32DC1"/>
    <w:rsid w:val="00F33008"/>
    <w:rsid w:val="00F33089"/>
    <w:rsid w:val="00F33FD1"/>
    <w:rsid w:val="00F35870"/>
    <w:rsid w:val="00F377D3"/>
    <w:rsid w:val="00F4251D"/>
    <w:rsid w:val="00F4543E"/>
    <w:rsid w:val="00F50495"/>
    <w:rsid w:val="00F51B8C"/>
    <w:rsid w:val="00F52310"/>
    <w:rsid w:val="00F53293"/>
    <w:rsid w:val="00F5399F"/>
    <w:rsid w:val="00F56FD2"/>
    <w:rsid w:val="00F6195A"/>
    <w:rsid w:val="00F632E1"/>
    <w:rsid w:val="00F66724"/>
    <w:rsid w:val="00F70531"/>
    <w:rsid w:val="00F711CA"/>
    <w:rsid w:val="00F73ACC"/>
    <w:rsid w:val="00F811F7"/>
    <w:rsid w:val="00F81E3B"/>
    <w:rsid w:val="00F81EED"/>
    <w:rsid w:val="00F845C8"/>
    <w:rsid w:val="00F84D4F"/>
    <w:rsid w:val="00F85E0E"/>
    <w:rsid w:val="00F946DC"/>
    <w:rsid w:val="00F94876"/>
    <w:rsid w:val="00F94CD2"/>
    <w:rsid w:val="00F96568"/>
    <w:rsid w:val="00F971D6"/>
    <w:rsid w:val="00F97FDE"/>
    <w:rsid w:val="00FA1D75"/>
    <w:rsid w:val="00FA2450"/>
    <w:rsid w:val="00FA2486"/>
    <w:rsid w:val="00FA321F"/>
    <w:rsid w:val="00FA593F"/>
    <w:rsid w:val="00FA6CB0"/>
    <w:rsid w:val="00FB1CAA"/>
    <w:rsid w:val="00FB5CCE"/>
    <w:rsid w:val="00FB7B56"/>
    <w:rsid w:val="00FC027F"/>
    <w:rsid w:val="00FC1291"/>
    <w:rsid w:val="00FC1708"/>
    <w:rsid w:val="00FC2E35"/>
    <w:rsid w:val="00FC3859"/>
    <w:rsid w:val="00FC4F14"/>
    <w:rsid w:val="00FC54E7"/>
    <w:rsid w:val="00FC7369"/>
    <w:rsid w:val="00FD016B"/>
    <w:rsid w:val="00FD3FFC"/>
    <w:rsid w:val="00FD42F4"/>
    <w:rsid w:val="00FD4E53"/>
    <w:rsid w:val="00FD7129"/>
    <w:rsid w:val="00FD74A6"/>
    <w:rsid w:val="00FE3DE2"/>
    <w:rsid w:val="00FE6FC6"/>
    <w:rsid w:val="00FE75E5"/>
    <w:rsid w:val="00FF0E35"/>
    <w:rsid w:val="00FF4F15"/>
    <w:rsid w:val="00FF4F68"/>
    <w:rsid w:val="00FF66DB"/>
    <w:rsid w:val="00FF78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2529"/>
    <o:shapelayout v:ext="edit">
      <o:idmap v:ext="edit" data="1"/>
    </o:shapelayout>
  </w:shapeDefaults>
  <w:decimalSymbol w:val="."/>
  <w:listSeparator w:val=","/>
  <w15:docId w15:val="{636580FB-D3D1-4DC9-A981-25FC627B5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294"/>
    <w:rPr>
      <w:sz w:val="22"/>
      <w:szCs w:val="22"/>
      <w:lang w:eastAsia="en-US"/>
    </w:rPr>
  </w:style>
  <w:style w:type="paragraph" w:styleId="Heading1">
    <w:name w:val="heading 1"/>
    <w:aliases w:val="ATA Submission Heading 1"/>
    <w:basedOn w:val="Normal"/>
    <w:next w:val="Normal"/>
    <w:link w:val="Heading1Char"/>
    <w:uiPriority w:val="99"/>
    <w:qFormat/>
    <w:rsid w:val="003B74E4"/>
    <w:pPr>
      <w:numPr>
        <w:numId w:val="1"/>
      </w:numPr>
      <w:outlineLvl w:val="0"/>
    </w:pPr>
    <w:rPr>
      <w:rFonts w:ascii="Arial" w:hAnsi="Arial" w:cs="Arial"/>
      <w:b/>
      <w:color w:val="000064"/>
      <w:sz w:val="28"/>
      <w:szCs w:val="28"/>
    </w:rPr>
  </w:style>
  <w:style w:type="paragraph" w:styleId="Heading2">
    <w:name w:val="heading 2"/>
    <w:basedOn w:val="Normal"/>
    <w:next w:val="Normal"/>
    <w:link w:val="Heading2Char"/>
    <w:semiHidden/>
    <w:unhideWhenUsed/>
    <w:qFormat/>
    <w:locked/>
    <w:rsid w:val="006859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0F53C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A Submission Heading 1 Char"/>
    <w:basedOn w:val="DefaultParagraphFont"/>
    <w:link w:val="Heading1"/>
    <w:uiPriority w:val="99"/>
    <w:locked/>
    <w:rsid w:val="003B74E4"/>
    <w:rPr>
      <w:rFonts w:ascii="Arial" w:hAnsi="Arial" w:cs="Arial"/>
      <w:b/>
      <w:color w:val="000064"/>
      <w:sz w:val="28"/>
      <w:szCs w:val="28"/>
      <w:lang w:eastAsia="en-US"/>
    </w:rPr>
  </w:style>
  <w:style w:type="character" w:customStyle="1" w:styleId="Heading2Char">
    <w:name w:val="Heading 2 Char"/>
    <w:basedOn w:val="DefaultParagraphFont"/>
    <w:link w:val="Heading2"/>
    <w:semiHidden/>
    <w:rsid w:val="006859F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9"/>
    <w:locked/>
    <w:rsid w:val="000F53C2"/>
    <w:rPr>
      <w:rFonts w:ascii="Cambria" w:hAnsi="Cambria" w:cs="Times New Roman"/>
      <w:b/>
      <w:bCs/>
      <w:sz w:val="26"/>
      <w:szCs w:val="26"/>
      <w:lang w:eastAsia="en-US"/>
    </w:rPr>
  </w:style>
  <w:style w:type="table" w:styleId="TableGrid">
    <w:name w:val="Table Grid"/>
    <w:basedOn w:val="TableNormal"/>
    <w:uiPriority w:val="59"/>
    <w:rsid w:val="00C162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semiHidden/>
    <w:rsid w:val="004B6187"/>
    <w:rPr>
      <w:rFonts w:ascii="Arial" w:eastAsia="Times New Roman" w:hAnsi="Arial" w:cs="Arial"/>
      <w:b/>
      <w:bCs/>
      <w:szCs w:val="20"/>
    </w:rPr>
  </w:style>
  <w:style w:type="character" w:customStyle="1" w:styleId="BodyText2Char">
    <w:name w:val="Body Text 2 Char"/>
    <w:basedOn w:val="DefaultParagraphFont"/>
    <w:link w:val="BodyText2"/>
    <w:uiPriority w:val="99"/>
    <w:semiHidden/>
    <w:locked/>
    <w:rsid w:val="004B6187"/>
    <w:rPr>
      <w:rFonts w:ascii="Arial" w:hAnsi="Arial" w:cs="Arial"/>
      <w:b/>
      <w:bCs/>
      <w:sz w:val="20"/>
      <w:szCs w:val="20"/>
    </w:rPr>
  </w:style>
  <w:style w:type="paragraph" w:styleId="Header">
    <w:name w:val="header"/>
    <w:basedOn w:val="Normal"/>
    <w:link w:val="HeaderChar"/>
    <w:uiPriority w:val="99"/>
    <w:rsid w:val="000F3D9F"/>
    <w:pPr>
      <w:tabs>
        <w:tab w:val="center" w:pos="4513"/>
        <w:tab w:val="right" w:pos="9026"/>
      </w:tabs>
    </w:pPr>
  </w:style>
  <w:style w:type="character" w:customStyle="1" w:styleId="HeaderChar">
    <w:name w:val="Header Char"/>
    <w:basedOn w:val="DefaultParagraphFont"/>
    <w:link w:val="Header"/>
    <w:uiPriority w:val="99"/>
    <w:locked/>
    <w:rsid w:val="000F3D9F"/>
    <w:rPr>
      <w:rFonts w:cs="Times New Roman"/>
      <w:sz w:val="22"/>
      <w:szCs w:val="22"/>
      <w:lang w:eastAsia="en-US"/>
    </w:rPr>
  </w:style>
  <w:style w:type="paragraph" w:styleId="Footer">
    <w:name w:val="footer"/>
    <w:basedOn w:val="Normal"/>
    <w:link w:val="FooterChar"/>
    <w:uiPriority w:val="99"/>
    <w:rsid w:val="000F3D9F"/>
    <w:pPr>
      <w:tabs>
        <w:tab w:val="center" w:pos="4513"/>
        <w:tab w:val="right" w:pos="9026"/>
      </w:tabs>
    </w:pPr>
  </w:style>
  <w:style w:type="character" w:customStyle="1" w:styleId="FooterChar">
    <w:name w:val="Footer Char"/>
    <w:basedOn w:val="DefaultParagraphFont"/>
    <w:link w:val="Footer"/>
    <w:uiPriority w:val="99"/>
    <w:locked/>
    <w:rsid w:val="000F3D9F"/>
    <w:rPr>
      <w:rFonts w:cs="Times New Roman"/>
      <w:sz w:val="22"/>
      <w:szCs w:val="22"/>
      <w:lang w:eastAsia="en-US"/>
    </w:rPr>
  </w:style>
  <w:style w:type="paragraph" w:styleId="ListParagraph">
    <w:name w:val="List Paragraph"/>
    <w:basedOn w:val="Normal"/>
    <w:uiPriority w:val="34"/>
    <w:qFormat/>
    <w:rsid w:val="000F53C2"/>
    <w:pPr>
      <w:spacing w:after="200" w:line="276" w:lineRule="auto"/>
      <w:ind w:left="720"/>
      <w:contextualSpacing/>
    </w:pPr>
  </w:style>
  <w:style w:type="paragraph" w:styleId="FootnoteText">
    <w:name w:val="footnote text"/>
    <w:basedOn w:val="Normal"/>
    <w:link w:val="FootnoteTextChar"/>
    <w:uiPriority w:val="99"/>
    <w:semiHidden/>
    <w:rsid w:val="000F53C2"/>
    <w:rPr>
      <w:sz w:val="20"/>
      <w:szCs w:val="20"/>
    </w:rPr>
  </w:style>
  <w:style w:type="character" w:customStyle="1" w:styleId="FootnoteTextChar">
    <w:name w:val="Footnote Text Char"/>
    <w:basedOn w:val="DefaultParagraphFont"/>
    <w:link w:val="FootnoteText"/>
    <w:uiPriority w:val="99"/>
    <w:semiHidden/>
    <w:locked/>
    <w:rsid w:val="000F53C2"/>
    <w:rPr>
      <w:rFonts w:cs="Times New Roman"/>
      <w:lang w:eastAsia="en-US"/>
    </w:rPr>
  </w:style>
  <w:style w:type="character" w:styleId="FootnoteReference">
    <w:name w:val="footnote reference"/>
    <w:basedOn w:val="DefaultParagraphFont"/>
    <w:uiPriority w:val="99"/>
    <w:semiHidden/>
    <w:rsid w:val="000F53C2"/>
    <w:rPr>
      <w:rFonts w:cs="Times New Roman"/>
      <w:vertAlign w:val="superscript"/>
    </w:rPr>
  </w:style>
  <w:style w:type="paragraph" w:customStyle="1" w:styleId="Default">
    <w:name w:val="Default"/>
    <w:link w:val="DefaultChar"/>
    <w:rsid w:val="000F53C2"/>
    <w:pPr>
      <w:autoSpaceDE w:val="0"/>
      <w:autoSpaceDN w:val="0"/>
      <w:adjustRightInd w:val="0"/>
    </w:pPr>
    <w:rPr>
      <w:rFonts w:ascii="Times New Roman" w:hAnsi="Times New Roman"/>
      <w:color w:val="000000"/>
      <w:sz w:val="24"/>
      <w:szCs w:val="24"/>
    </w:rPr>
  </w:style>
  <w:style w:type="character" w:customStyle="1" w:styleId="DefaultChar">
    <w:name w:val="Default Char"/>
    <w:basedOn w:val="DefaultParagraphFont"/>
    <w:link w:val="Default"/>
    <w:uiPriority w:val="99"/>
    <w:locked/>
    <w:rsid w:val="000F53C2"/>
    <w:rPr>
      <w:rFonts w:ascii="Times New Roman" w:hAnsi="Times New Roman"/>
      <w:color w:val="000000"/>
      <w:sz w:val="24"/>
      <w:szCs w:val="24"/>
      <w:lang w:val="en-AU" w:eastAsia="en-AU" w:bidi="ar-SA"/>
    </w:rPr>
  </w:style>
  <w:style w:type="paragraph" w:customStyle="1" w:styleId="ATAHeading2">
    <w:name w:val="ATA Heading 2"/>
    <w:basedOn w:val="Normal"/>
    <w:link w:val="ATAHeading2Char"/>
    <w:uiPriority w:val="99"/>
    <w:rsid w:val="00B13B6B"/>
    <w:pPr>
      <w:numPr>
        <w:ilvl w:val="1"/>
        <w:numId w:val="1"/>
      </w:numPr>
      <w:spacing w:before="120" w:after="120" w:line="276" w:lineRule="auto"/>
    </w:pPr>
    <w:rPr>
      <w:rFonts w:ascii="Arial" w:hAnsi="Arial" w:cs="Arial"/>
      <w:b/>
      <w:color w:val="000064"/>
      <w:sz w:val="26"/>
      <w:szCs w:val="26"/>
    </w:rPr>
  </w:style>
  <w:style w:type="character" w:customStyle="1" w:styleId="ATAHeading2Char">
    <w:name w:val="ATA Heading 2 Char"/>
    <w:basedOn w:val="DefaultParagraphFont"/>
    <w:link w:val="ATAHeading2"/>
    <w:uiPriority w:val="99"/>
    <w:locked/>
    <w:rsid w:val="00B13B6B"/>
    <w:rPr>
      <w:rFonts w:ascii="Arial" w:hAnsi="Arial" w:cs="Arial"/>
      <w:b/>
      <w:color w:val="000064"/>
      <w:sz w:val="26"/>
      <w:szCs w:val="26"/>
      <w:lang w:eastAsia="en-US"/>
    </w:rPr>
  </w:style>
  <w:style w:type="paragraph" w:customStyle="1" w:styleId="ATAHeading3">
    <w:name w:val="ATA Heading 3"/>
    <w:basedOn w:val="ATAHeading2"/>
    <w:link w:val="ATAHeading3Char"/>
    <w:uiPriority w:val="99"/>
    <w:rsid w:val="00D40AAD"/>
    <w:pPr>
      <w:numPr>
        <w:ilvl w:val="2"/>
      </w:numPr>
      <w:tabs>
        <w:tab w:val="left" w:pos="992"/>
      </w:tabs>
    </w:pPr>
    <w:rPr>
      <w:i/>
      <w:color w:val="0D0D0D" w:themeColor="text1" w:themeTint="F2"/>
      <w:sz w:val="22"/>
      <w:szCs w:val="22"/>
    </w:rPr>
  </w:style>
  <w:style w:type="character" w:customStyle="1" w:styleId="ATAHeading3Char">
    <w:name w:val="ATA Heading 3 Char"/>
    <w:basedOn w:val="DefaultParagraphFont"/>
    <w:link w:val="ATAHeading3"/>
    <w:uiPriority w:val="99"/>
    <w:locked/>
    <w:rsid w:val="00D40AAD"/>
    <w:rPr>
      <w:rFonts w:ascii="Arial" w:hAnsi="Arial" w:cs="Arial"/>
      <w:b/>
      <w:i/>
      <w:color w:val="0D0D0D" w:themeColor="text1" w:themeTint="F2"/>
      <w:sz w:val="22"/>
      <w:szCs w:val="22"/>
      <w:lang w:eastAsia="en-US"/>
    </w:rPr>
  </w:style>
  <w:style w:type="paragraph" w:customStyle="1" w:styleId="Quotes">
    <w:name w:val="Quotes"/>
    <w:basedOn w:val="Default"/>
    <w:link w:val="QuotesChar"/>
    <w:uiPriority w:val="99"/>
    <w:rsid w:val="000F53C2"/>
    <w:pPr>
      <w:ind w:left="851"/>
    </w:pPr>
    <w:rPr>
      <w:sz w:val="22"/>
      <w:szCs w:val="22"/>
    </w:rPr>
  </w:style>
  <w:style w:type="character" w:customStyle="1" w:styleId="QuotesChar">
    <w:name w:val="Quotes Char"/>
    <w:basedOn w:val="DefaultChar"/>
    <w:link w:val="Quotes"/>
    <w:uiPriority w:val="99"/>
    <w:locked/>
    <w:rsid w:val="000F53C2"/>
    <w:rPr>
      <w:rFonts w:ascii="Times New Roman" w:hAnsi="Times New Roman"/>
      <w:color w:val="000000"/>
      <w:sz w:val="22"/>
      <w:szCs w:val="22"/>
      <w:lang w:val="en-AU" w:eastAsia="en-AU" w:bidi="ar-SA"/>
    </w:rPr>
  </w:style>
  <w:style w:type="paragraph" w:customStyle="1" w:styleId="ATARecommendationHeading">
    <w:name w:val="ATA Recommendation Heading"/>
    <w:basedOn w:val="Normal"/>
    <w:link w:val="ATARecommendationHeadingChar"/>
    <w:uiPriority w:val="99"/>
    <w:rsid w:val="00740005"/>
    <w:rPr>
      <w:rFonts w:ascii="Arial" w:hAnsi="Arial" w:cs="Arial"/>
      <w:i/>
    </w:rPr>
  </w:style>
  <w:style w:type="character" w:customStyle="1" w:styleId="ATARecommendationHeadingChar">
    <w:name w:val="ATA Recommendation Heading Char"/>
    <w:basedOn w:val="DefaultParagraphFont"/>
    <w:link w:val="ATARecommendationHeading"/>
    <w:uiPriority w:val="99"/>
    <w:rsid w:val="006859F7"/>
    <w:rPr>
      <w:rFonts w:ascii="Arial" w:hAnsi="Arial" w:cs="Arial"/>
      <w:i/>
      <w:sz w:val="22"/>
      <w:szCs w:val="22"/>
      <w:lang w:eastAsia="en-US"/>
    </w:rPr>
  </w:style>
  <w:style w:type="paragraph" w:styleId="BalloonText">
    <w:name w:val="Balloon Text"/>
    <w:basedOn w:val="Normal"/>
    <w:link w:val="BalloonTextChar"/>
    <w:uiPriority w:val="99"/>
    <w:semiHidden/>
    <w:rsid w:val="007400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0005"/>
    <w:rPr>
      <w:rFonts w:ascii="Tahoma" w:hAnsi="Tahoma" w:cs="Tahoma"/>
      <w:sz w:val="16"/>
      <w:szCs w:val="16"/>
      <w:lang w:eastAsia="en-US"/>
    </w:rPr>
  </w:style>
  <w:style w:type="character" w:styleId="Strong">
    <w:name w:val="Strong"/>
    <w:basedOn w:val="DefaultParagraphFont"/>
    <w:uiPriority w:val="22"/>
    <w:qFormat/>
    <w:locked/>
    <w:rsid w:val="00960FE0"/>
    <w:rPr>
      <w:b/>
      <w:bCs/>
    </w:rPr>
  </w:style>
  <w:style w:type="paragraph" w:styleId="EndnoteText">
    <w:name w:val="endnote text"/>
    <w:basedOn w:val="Normal"/>
    <w:link w:val="EndnoteTextChar"/>
    <w:uiPriority w:val="99"/>
    <w:semiHidden/>
    <w:unhideWhenUsed/>
    <w:rsid w:val="00EE4129"/>
    <w:rPr>
      <w:sz w:val="20"/>
      <w:szCs w:val="20"/>
    </w:rPr>
  </w:style>
  <w:style w:type="character" w:customStyle="1" w:styleId="EndnoteTextChar">
    <w:name w:val="Endnote Text Char"/>
    <w:basedOn w:val="DefaultParagraphFont"/>
    <w:link w:val="EndnoteText"/>
    <w:uiPriority w:val="99"/>
    <w:semiHidden/>
    <w:rsid w:val="00EE4129"/>
    <w:rPr>
      <w:lang w:eastAsia="en-US"/>
    </w:rPr>
  </w:style>
  <w:style w:type="character" w:styleId="EndnoteReference">
    <w:name w:val="endnote reference"/>
    <w:basedOn w:val="DefaultParagraphFont"/>
    <w:uiPriority w:val="99"/>
    <w:semiHidden/>
    <w:unhideWhenUsed/>
    <w:rsid w:val="00EE4129"/>
    <w:rPr>
      <w:vertAlign w:val="superscript"/>
    </w:rPr>
  </w:style>
  <w:style w:type="paragraph" w:styleId="TOC1">
    <w:name w:val="toc 1"/>
    <w:basedOn w:val="Normal"/>
    <w:next w:val="Normal"/>
    <w:autoRedefine/>
    <w:uiPriority w:val="39"/>
    <w:locked/>
    <w:rsid w:val="00D13DF0"/>
    <w:pPr>
      <w:tabs>
        <w:tab w:val="right" w:leader="dot" w:pos="9628"/>
      </w:tabs>
      <w:spacing w:before="360" w:after="100"/>
    </w:pPr>
    <w:rPr>
      <w:rFonts w:ascii="Arial" w:hAnsi="Arial" w:cs="Arial"/>
      <w:b/>
      <w:noProof/>
      <w:sz w:val="20"/>
      <w:szCs w:val="20"/>
    </w:rPr>
  </w:style>
  <w:style w:type="paragraph" w:styleId="TOC2">
    <w:name w:val="toc 2"/>
    <w:basedOn w:val="Normal"/>
    <w:next w:val="Normal"/>
    <w:autoRedefine/>
    <w:uiPriority w:val="39"/>
    <w:locked/>
    <w:rsid w:val="00907971"/>
    <w:pPr>
      <w:tabs>
        <w:tab w:val="right" w:leader="dot" w:pos="9628"/>
      </w:tabs>
      <w:spacing w:after="120"/>
      <w:ind w:left="221"/>
    </w:pPr>
    <w:rPr>
      <w:rFonts w:ascii="Arial" w:hAnsi="Arial"/>
      <w:sz w:val="20"/>
    </w:rPr>
  </w:style>
  <w:style w:type="paragraph" w:customStyle="1" w:styleId="RecommendationStyle">
    <w:name w:val="Recommendation Style"/>
    <w:basedOn w:val="ATARecommendationHeading"/>
    <w:link w:val="RecommendationStyleChar"/>
    <w:qFormat/>
    <w:rsid w:val="00907971"/>
    <w:pPr>
      <w:numPr>
        <w:numId w:val="2"/>
      </w:numPr>
      <w:tabs>
        <w:tab w:val="left" w:pos="2098"/>
      </w:tabs>
      <w:spacing w:before="240" w:after="120"/>
    </w:pPr>
    <w:rPr>
      <w:b/>
      <w:sz w:val="20"/>
      <w:szCs w:val="20"/>
    </w:rPr>
  </w:style>
  <w:style w:type="character" w:customStyle="1" w:styleId="RecommendationStyleChar">
    <w:name w:val="Recommendation Style Char"/>
    <w:basedOn w:val="ATARecommendationHeadingChar"/>
    <w:link w:val="RecommendationStyle"/>
    <w:rsid w:val="00907971"/>
    <w:rPr>
      <w:rFonts w:ascii="Arial" w:hAnsi="Arial" w:cs="Arial"/>
      <w:b/>
      <w:i/>
      <w:sz w:val="22"/>
      <w:szCs w:val="22"/>
      <w:lang w:eastAsia="en-US"/>
    </w:rPr>
  </w:style>
  <w:style w:type="paragraph" w:customStyle="1" w:styleId="RecommendationStyle2">
    <w:name w:val="Recommendation Style 2"/>
    <w:basedOn w:val="Normal"/>
    <w:link w:val="RecommendationStyle2Char"/>
    <w:qFormat/>
    <w:rsid w:val="006859F7"/>
    <w:pPr>
      <w:jc w:val="both"/>
    </w:pPr>
    <w:rPr>
      <w:rFonts w:ascii="Arial" w:hAnsi="Arial" w:cs="Arial"/>
      <w:b/>
      <w:sz w:val="20"/>
      <w:szCs w:val="20"/>
    </w:rPr>
  </w:style>
  <w:style w:type="character" w:customStyle="1" w:styleId="RecommendationStyle2Char">
    <w:name w:val="Recommendation Style 2 Char"/>
    <w:basedOn w:val="DefaultParagraphFont"/>
    <w:link w:val="RecommendationStyle2"/>
    <w:rsid w:val="006859F7"/>
    <w:rPr>
      <w:rFonts w:ascii="Arial" w:hAnsi="Arial" w:cs="Arial"/>
      <w:b/>
      <w:lang w:eastAsia="en-US"/>
    </w:rPr>
  </w:style>
  <w:style w:type="character" w:styleId="Hyperlink">
    <w:name w:val="Hyperlink"/>
    <w:basedOn w:val="DefaultParagraphFont"/>
    <w:uiPriority w:val="99"/>
    <w:unhideWhenUsed/>
    <w:rsid w:val="009E77F2"/>
    <w:rPr>
      <w:color w:val="0000FF" w:themeColor="hyperlink"/>
      <w:u w:val="single"/>
    </w:rPr>
  </w:style>
  <w:style w:type="paragraph" w:customStyle="1" w:styleId="RecommendationStyle3">
    <w:name w:val="Recommendation Style 3"/>
    <w:basedOn w:val="RecommendationStyle2"/>
    <w:link w:val="RecommendationStyle3Char"/>
    <w:qFormat/>
    <w:rsid w:val="00907971"/>
    <w:rPr>
      <w:color w:val="FFFFFF" w:themeColor="background1"/>
    </w:rPr>
  </w:style>
  <w:style w:type="paragraph" w:styleId="TOC3">
    <w:name w:val="toc 3"/>
    <w:basedOn w:val="Normal"/>
    <w:next w:val="Normal"/>
    <w:autoRedefine/>
    <w:uiPriority w:val="39"/>
    <w:locked/>
    <w:rsid w:val="00907971"/>
    <w:pPr>
      <w:tabs>
        <w:tab w:val="right" w:leader="dot" w:pos="9628"/>
      </w:tabs>
      <w:ind w:left="442"/>
    </w:pPr>
    <w:rPr>
      <w:noProof/>
      <w:color w:val="FFFFFF" w:themeColor="background1"/>
    </w:rPr>
  </w:style>
  <w:style w:type="character" w:customStyle="1" w:styleId="RecommendationStyle3Char">
    <w:name w:val="Recommendation Style 3 Char"/>
    <w:basedOn w:val="RecommendationStyle2Char"/>
    <w:link w:val="RecommendationStyle3"/>
    <w:rsid w:val="00907971"/>
    <w:rPr>
      <w:rFonts w:ascii="Arial" w:hAnsi="Arial" w:cs="Arial"/>
      <w:b/>
      <w:color w:val="FFFFFF" w:themeColor="background1"/>
      <w:lang w:eastAsia="en-US"/>
    </w:rPr>
  </w:style>
  <w:style w:type="paragraph" w:customStyle="1" w:styleId="ATASubHead1">
    <w:name w:val="ATASubHead1"/>
    <w:basedOn w:val="Normal"/>
    <w:link w:val="ATASubHead1Char"/>
    <w:qFormat/>
    <w:rsid w:val="004008C7"/>
    <w:pPr>
      <w:tabs>
        <w:tab w:val="left" w:pos="851"/>
      </w:tabs>
      <w:spacing w:before="240" w:after="120"/>
    </w:pPr>
    <w:rPr>
      <w:rFonts w:ascii="Arial" w:hAnsi="Arial" w:cs="Arial"/>
      <w:b/>
      <w:color w:val="000064"/>
      <w:sz w:val="28"/>
      <w:szCs w:val="28"/>
    </w:rPr>
  </w:style>
  <w:style w:type="character" w:customStyle="1" w:styleId="ATASubHead1Char">
    <w:name w:val="ATASubHead1 Char"/>
    <w:link w:val="ATASubHead1"/>
    <w:rsid w:val="004008C7"/>
    <w:rPr>
      <w:rFonts w:ascii="Arial" w:hAnsi="Arial" w:cs="Arial"/>
      <w:b/>
      <w:color w:val="000064"/>
      <w:sz w:val="28"/>
      <w:szCs w:val="28"/>
      <w:lang w:eastAsia="en-US"/>
    </w:rPr>
  </w:style>
  <w:style w:type="table" w:customStyle="1" w:styleId="LightList-Accent11">
    <w:name w:val="Light List - Accent 11"/>
    <w:basedOn w:val="TableNormal"/>
    <w:uiPriority w:val="61"/>
    <w:rsid w:val="004008C7"/>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893728"/>
    <w:pPr>
      <w:spacing w:before="100" w:beforeAutospacing="1" w:after="100" w:afterAutospacing="1"/>
    </w:pPr>
    <w:rPr>
      <w:rFonts w:ascii="Times New Roman" w:eastAsia="Times New Roman" w:hAnsi="Times New Roman"/>
      <w:sz w:val="24"/>
      <w:szCs w:val="24"/>
      <w:lang w:eastAsia="en-AU"/>
    </w:rPr>
  </w:style>
  <w:style w:type="character" w:customStyle="1" w:styleId="author-name2">
    <w:name w:val="author-name2"/>
    <w:basedOn w:val="DefaultParagraphFont"/>
    <w:rsid w:val="00FC1291"/>
    <w:rPr>
      <w:b/>
      <w:bCs/>
    </w:rPr>
  </w:style>
  <w:style w:type="character" w:customStyle="1" w:styleId="source-name5">
    <w:name w:val="source-name5"/>
    <w:basedOn w:val="DefaultParagraphFont"/>
    <w:rsid w:val="00FC1291"/>
    <w:rPr>
      <w:i/>
      <w:iCs/>
    </w:rPr>
  </w:style>
  <w:style w:type="character" w:customStyle="1" w:styleId="publish-date5">
    <w:name w:val="publish-date5"/>
    <w:basedOn w:val="DefaultParagraphFont"/>
    <w:rsid w:val="00FC1291"/>
    <w:rPr>
      <w:i/>
      <w:iCs/>
      <w:sz w:val="14"/>
      <w:szCs w:val="14"/>
    </w:rPr>
  </w:style>
  <w:style w:type="character" w:styleId="FollowedHyperlink">
    <w:name w:val="FollowedHyperlink"/>
    <w:basedOn w:val="DefaultParagraphFont"/>
    <w:uiPriority w:val="99"/>
    <w:semiHidden/>
    <w:unhideWhenUsed/>
    <w:rsid w:val="007C746E"/>
    <w:rPr>
      <w:color w:val="800080" w:themeColor="followedHyperlink"/>
      <w:u w:val="single"/>
    </w:rPr>
  </w:style>
  <w:style w:type="paragraph" w:customStyle="1" w:styleId="ATAPreMnorm">
    <w:name w:val="ATAPreM norm"/>
    <w:basedOn w:val="Normal"/>
    <w:link w:val="ATAPreMnormChar"/>
    <w:qFormat/>
    <w:rsid w:val="00F2072F"/>
    <w:rPr>
      <w:rFonts w:ascii="Arial" w:eastAsia="Times New Roman" w:hAnsi="Arial" w:cs="Arial"/>
      <w:i/>
      <w:color w:val="000000"/>
      <w:sz w:val="20"/>
      <w:szCs w:val="20"/>
      <w:lang w:eastAsia="en-AU"/>
    </w:rPr>
  </w:style>
  <w:style w:type="paragraph" w:customStyle="1" w:styleId="ATAPervMHeading">
    <w:name w:val="ATAPervMHeading"/>
    <w:basedOn w:val="Normal"/>
    <w:link w:val="ATAPervMHeadingChar"/>
    <w:qFormat/>
    <w:rsid w:val="00F2072F"/>
    <w:pPr>
      <w:tabs>
        <w:tab w:val="left" w:pos="851"/>
      </w:tabs>
      <w:ind w:left="851" w:hanging="851"/>
    </w:pPr>
    <w:rPr>
      <w:rFonts w:ascii="Arial" w:hAnsi="Arial" w:cs="Arial"/>
      <w:b/>
      <w:i/>
      <w:sz w:val="20"/>
      <w:szCs w:val="20"/>
    </w:rPr>
  </w:style>
  <w:style w:type="character" w:customStyle="1" w:styleId="ATAPreMnormChar">
    <w:name w:val="ATAPreM norm Char"/>
    <w:basedOn w:val="DefaultParagraphFont"/>
    <w:link w:val="ATAPreMnorm"/>
    <w:rsid w:val="00F2072F"/>
    <w:rPr>
      <w:rFonts w:ascii="Arial" w:eastAsia="Times New Roman" w:hAnsi="Arial" w:cs="Arial"/>
      <w:i/>
      <w:color w:val="000000"/>
    </w:rPr>
  </w:style>
  <w:style w:type="character" w:customStyle="1" w:styleId="ATAPervMHeadingChar">
    <w:name w:val="ATAPervMHeading Char"/>
    <w:basedOn w:val="DefaultParagraphFont"/>
    <w:link w:val="ATAPervMHeading"/>
    <w:rsid w:val="00F2072F"/>
    <w:rPr>
      <w:rFonts w:ascii="Arial" w:hAnsi="Arial" w:cs="Arial"/>
      <w:b/>
      <w:i/>
      <w:lang w:eastAsia="en-US"/>
    </w:rPr>
  </w:style>
  <w:style w:type="character" w:styleId="CommentReference">
    <w:name w:val="annotation reference"/>
    <w:basedOn w:val="DefaultParagraphFont"/>
    <w:uiPriority w:val="99"/>
    <w:semiHidden/>
    <w:unhideWhenUsed/>
    <w:rsid w:val="00603655"/>
    <w:rPr>
      <w:sz w:val="16"/>
      <w:szCs w:val="16"/>
    </w:rPr>
  </w:style>
  <w:style w:type="paragraph" w:styleId="CommentText">
    <w:name w:val="annotation text"/>
    <w:basedOn w:val="Normal"/>
    <w:link w:val="CommentTextChar"/>
    <w:uiPriority w:val="99"/>
    <w:semiHidden/>
    <w:unhideWhenUsed/>
    <w:rsid w:val="00603655"/>
    <w:rPr>
      <w:sz w:val="20"/>
      <w:szCs w:val="20"/>
    </w:rPr>
  </w:style>
  <w:style w:type="character" w:customStyle="1" w:styleId="CommentTextChar">
    <w:name w:val="Comment Text Char"/>
    <w:basedOn w:val="DefaultParagraphFont"/>
    <w:link w:val="CommentText"/>
    <w:uiPriority w:val="99"/>
    <w:semiHidden/>
    <w:rsid w:val="00603655"/>
    <w:rPr>
      <w:lang w:eastAsia="en-US"/>
    </w:rPr>
  </w:style>
  <w:style w:type="paragraph" w:styleId="CommentSubject">
    <w:name w:val="annotation subject"/>
    <w:basedOn w:val="CommentText"/>
    <w:next w:val="CommentText"/>
    <w:link w:val="CommentSubjectChar"/>
    <w:uiPriority w:val="99"/>
    <w:semiHidden/>
    <w:unhideWhenUsed/>
    <w:rsid w:val="00603655"/>
    <w:rPr>
      <w:b/>
      <w:bCs/>
    </w:rPr>
  </w:style>
  <w:style w:type="character" w:customStyle="1" w:styleId="CommentSubjectChar">
    <w:name w:val="Comment Subject Char"/>
    <w:basedOn w:val="CommentTextChar"/>
    <w:link w:val="CommentSubject"/>
    <w:uiPriority w:val="99"/>
    <w:semiHidden/>
    <w:rsid w:val="00603655"/>
    <w:rPr>
      <w:b/>
      <w:bCs/>
      <w:lang w:eastAsia="en-US"/>
    </w:rPr>
  </w:style>
  <w:style w:type="paragraph" w:styleId="PlainText">
    <w:name w:val="Plain Text"/>
    <w:basedOn w:val="Normal"/>
    <w:link w:val="PlainTextChar"/>
    <w:uiPriority w:val="99"/>
    <w:unhideWhenUsed/>
    <w:rsid w:val="00040B35"/>
    <w:rPr>
      <w:rFonts w:ascii="Consolas" w:eastAsiaTheme="minorHAnsi" w:hAnsi="Consolas" w:cs="Consolas"/>
      <w:sz w:val="21"/>
      <w:szCs w:val="21"/>
      <w:lang w:eastAsia="en-AU"/>
    </w:rPr>
  </w:style>
  <w:style w:type="character" w:customStyle="1" w:styleId="PlainTextChar">
    <w:name w:val="Plain Text Char"/>
    <w:basedOn w:val="DefaultParagraphFont"/>
    <w:link w:val="PlainText"/>
    <w:uiPriority w:val="99"/>
    <w:rsid w:val="00040B35"/>
    <w:rPr>
      <w:rFonts w:ascii="Consolas" w:eastAsiaTheme="minorHAnsi" w:hAnsi="Consolas" w:cs="Consolas"/>
      <w:sz w:val="21"/>
      <w:szCs w:val="21"/>
    </w:rPr>
  </w:style>
  <w:style w:type="paragraph" w:styleId="NoSpacing">
    <w:name w:val="No Spacing"/>
    <w:basedOn w:val="Normal"/>
    <w:uiPriority w:val="1"/>
    <w:qFormat/>
    <w:rsid w:val="005C4492"/>
    <w:rPr>
      <w:rFonts w:eastAsiaTheme="minorHAnsi"/>
      <w:color w:val="404040"/>
      <w:sz w:val="19"/>
      <w:szCs w:val="19"/>
      <w:lang w:eastAsia="en-AU"/>
    </w:rPr>
  </w:style>
  <w:style w:type="character" w:customStyle="1" w:styleId="apple-converted-space">
    <w:name w:val="apple-converted-space"/>
    <w:basedOn w:val="DefaultParagraphFont"/>
    <w:rsid w:val="00DF2EC9"/>
  </w:style>
  <w:style w:type="character" w:customStyle="1" w:styleId="filesize">
    <w:name w:val="filesize"/>
    <w:basedOn w:val="DefaultParagraphFont"/>
    <w:rsid w:val="00DF2EC9"/>
  </w:style>
  <w:style w:type="table" w:customStyle="1" w:styleId="TableGrid1">
    <w:name w:val="Table Grid1"/>
    <w:basedOn w:val="TableNormal"/>
    <w:next w:val="TableGrid"/>
    <w:uiPriority w:val="39"/>
    <w:rsid w:val="0000772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707">
      <w:bodyDiv w:val="1"/>
      <w:marLeft w:val="0"/>
      <w:marRight w:val="0"/>
      <w:marTop w:val="0"/>
      <w:marBottom w:val="0"/>
      <w:divBdr>
        <w:top w:val="none" w:sz="0" w:space="0" w:color="auto"/>
        <w:left w:val="none" w:sz="0" w:space="0" w:color="auto"/>
        <w:bottom w:val="none" w:sz="0" w:space="0" w:color="auto"/>
        <w:right w:val="none" w:sz="0" w:space="0" w:color="auto"/>
      </w:divBdr>
    </w:div>
    <w:div w:id="11954890">
      <w:bodyDiv w:val="1"/>
      <w:marLeft w:val="0"/>
      <w:marRight w:val="0"/>
      <w:marTop w:val="0"/>
      <w:marBottom w:val="0"/>
      <w:divBdr>
        <w:top w:val="none" w:sz="0" w:space="0" w:color="auto"/>
        <w:left w:val="none" w:sz="0" w:space="0" w:color="auto"/>
        <w:bottom w:val="none" w:sz="0" w:space="0" w:color="auto"/>
        <w:right w:val="none" w:sz="0" w:space="0" w:color="auto"/>
      </w:divBdr>
    </w:div>
    <w:div w:id="26835763">
      <w:bodyDiv w:val="1"/>
      <w:marLeft w:val="0"/>
      <w:marRight w:val="0"/>
      <w:marTop w:val="0"/>
      <w:marBottom w:val="0"/>
      <w:divBdr>
        <w:top w:val="none" w:sz="0" w:space="0" w:color="auto"/>
        <w:left w:val="none" w:sz="0" w:space="0" w:color="auto"/>
        <w:bottom w:val="none" w:sz="0" w:space="0" w:color="auto"/>
        <w:right w:val="none" w:sz="0" w:space="0" w:color="auto"/>
      </w:divBdr>
    </w:div>
    <w:div w:id="40980097">
      <w:bodyDiv w:val="1"/>
      <w:marLeft w:val="0"/>
      <w:marRight w:val="0"/>
      <w:marTop w:val="0"/>
      <w:marBottom w:val="0"/>
      <w:divBdr>
        <w:top w:val="none" w:sz="0" w:space="0" w:color="auto"/>
        <w:left w:val="none" w:sz="0" w:space="0" w:color="auto"/>
        <w:bottom w:val="none" w:sz="0" w:space="0" w:color="auto"/>
        <w:right w:val="none" w:sz="0" w:space="0" w:color="auto"/>
      </w:divBdr>
    </w:div>
    <w:div w:id="161629573">
      <w:bodyDiv w:val="1"/>
      <w:marLeft w:val="0"/>
      <w:marRight w:val="0"/>
      <w:marTop w:val="0"/>
      <w:marBottom w:val="0"/>
      <w:divBdr>
        <w:top w:val="none" w:sz="0" w:space="0" w:color="auto"/>
        <w:left w:val="none" w:sz="0" w:space="0" w:color="auto"/>
        <w:bottom w:val="none" w:sz="0" w:space="0" w:color="auto"/>
        <w:right w:val="none" w:sz="0" w:space="0" w:color="auto"/>
      </w:divBdr>
    </w:div>
    <w:div w:id="167257544">
      <w:bodyDiv w:val="1"/>
      <w:marLeft w:val="0"/>
      <w:marRight w:val="0"/>
      <w:marTop w:val="0"/>
      <w:marBottom w:val="0"/>
      <w:divBdr>
        <w:top w:val="none" w:sz="0" w:space="0" w:color="auto"/>
        <w:left w:val="none" w:sz="0" w:space="0" w:color="auto"/>
        <w:bottom w:val="none" w:sz="0" w:space="0" w:color="auto"/>
        <w:right w:val="none" w:sz="0" w:space="0" w:color="auto"/>
      </w:divBdr>
    </w:div>
    <w:div w:id="203255820">
      <w:bodyDiv w:val="1"/>
      <w:marLeft w:val="0"/>
      <w:marRight w:val="0"/>
      <w:marTop w:val="0"/>
      <w:marBottom w:val="0"/>
      <w:divBdr>
        <w:top w:val="none" w:sz="0" w:space="0" w:color="auto"/>
        <w:left w:val="none" w:sz="0" w:space="0" w:color="auto"/>
        <w:bottom w:val="none" w:sz="0" w:space="0" w:color="auto"/>
        <w:right w:val="none" w:sz="0" w:space="0" w:color="auto"/>
      </w:divBdr>
    </w:div>
    <w:div w:id="229658328">
      <w:bodyDiv w:val="1"/>
      <w:marLeft w:val="0"/>
      <w:marRight w:val="0"/>
      <w:marTop w:val="0"/>
      <w:marBottom w:val="0"/>
      <w:divBdr>
        <w:top w:val="none" w:sz="0" w:space="0" w:color="auto"/>
        <w:left w:val="none" w:sz="0" w:space="0" w:color="auto"/>
        <w:bottom w:val="none" w:sz="0" w:space="0" w:color="auto"/>
        <w:right w:val="none" w:sz="0" w:space="0" w:color="auto"/>
      </w:divBdr>
    </w:div>
    <w:div w:id="256911373">
      <w:bodyDiv w:val="1"/>
      <w:marLeft w:val="0"/>
      <w:marRight w:val="0"/>
      <w:marTop w:val="0"/>
      <w:marBottom w:val="0"/>
      <w:divBdr>
        <w:top w:val="none" w:sz="0" w:space="0" w:color="auto"/>
        <w:left w:val="none" w:sz="0" w:space="0" w:color="auto"/>
        <w:bottom w:val="none" w:sz="0" w:space="0" w:color="auto"/>
        <w:right w:val="none" w:sz="0" w:space="0" w:color="auto"/>
      </w:divBdr>
    </w:div>
    <w:div w:id="300501640">
      <w:bodyDiv w:val="1"/>
      <w:marLeft w:val="0"/>
      <w:marRight w:val="0"/>
      <w:marTop w:val="0"/>
      <w:marBottom w:val="0"/>
      <w:divBdr>
        <w:top w:val="none" w:sz="0" w:space="0" w:color="auto"/>
        <w:left w:val="none" w:sz="0" w:space="0" w:color="auto"/>
        <w:bottom w:val="none" w:sz="0" w:space="0" w:color="auto"/>
        <w:right w:val="none" w:sz="0" w:space="0" w:color="auto"/>
      </w:divBdr>
      <w:divsChild>
        <w:div w:id="1953660714">
          <w:marLeft w:val="0"/>
          <w:marRight w:val="0"/>
          <w:marTop w:val="0"/>
          <w:marBottom w:val="0"/>
          <w:divBdr>
            <w:top w:val="none" w:sz="0" w:space="0" w:color="auto"/>
            <w:left w:val="none" w:sz="0" w:space="0" w:color="auto"/>
            <w:bottom w:val="none" w:sz="0" w:space="0" w:color="auto"/>
            <w:right w:val="none" w:sz="0" w:space="0" w:color="auto"/>
          </w:divBdr>
          <w:divsChild>
            <w:div w:id="749893250">
              <w:marLeft w:val="0"/>
              <w:marRight w:val="0"/>
              <w:marTop w:val="0"/>
              <w:marBottom w:val="0"/>
              <w:divBdr>
                <w:top w:val="none" w:sz="0" w:space="0" w:color="auto"/>
                <w:left w:val="none" w:sz="0" w:space="0" w:color="auto"/>
                <w:bottom w:val="none" w:sz="0" w:space="0" w:color="auto"/>
                <w:right w:val="none" w:sz="0" w:space="0" w:color="auto"/>
              </w:divBdr>
              <w:divsChild>
                <w:div w:id="1990743551">
                  <w:marLeft w:val="0"/>
                  <w:marRight w:val="0"/>
                  <w:marTop w:val="0"/>
                  <w:marBottom w:val="0"/>
                  <w:divBdr>
                    <w:top w:val="none" w:sz="0" w:space="0" w:color="auto"/>
                    <w:left w:val="none" w:sz="0" w:space="0" w:color="auto"/>
                    <w:bottom w:val="none" w:sz="0" w:space="0" w:color="auto"/>
                    <w:right w:val="none" w:sz="0" w:space="0" w:color="auto"/>
                  </w:divBdr>
                  <w:divsChild>
                    <w:div w:id="1398744426">
                      <w:marLeft w:val="0"/>
                      <w:marRight w:val="0"/>
                      <w:marTop w:val="0"/>
                      <w:marBottom w:val="173"/>
                      <w:divBdr>
                        <w:top w:val="none" w:sz="0" w:space="0" w:color="auto"/>
                        <w:left w:val="none" w:sz="0" w:space="0" w:color="auto"/>
                        <w:bottom w:val="single" w:sz="12" w:space="0" w:color="auto"/>
                        <w:right w:val="none" w:sz="0" w:space="0" w:color="auto"/>
                      </w:divBdr>
                      <w:divsChild>
                        <w:div w:id="151719399">
                          <w:marLeft w:val="0"/>
                          <w:marRight w:val="0"/>
                          <w:marTop w:val="0"/>
                          <w:marBottom w:val="0"/>
                          <w:divBdr>
                            <w:top w:val="none" w:sz="0" w:space="0" w:color="auto"/>
                            <w:left w:val="none" w:sz="0" w:space="0" w:color="auto"/>
                            <w:bottom w:val="none" w:sz="0" w:space="0" w:color="auto"/>
                            <w:right w:val="none" w:sz="0" w:space="0" w:color="auto"/>
                          </w:divBdr>
                          <w:divsChild>
                            <w:div w:id="846868594">
                              <w:marLeft w:val="0"/>
                              <w:marRight w:val="0"/>
                              <w:marTop w:val="0"/>
                              <w:marBottom w:val="0"/>
                              <w:divBdr>
                                <w:top w:val="none" w:sz="0" w:space="0" w:color="auto"/>
                                <w:left w:val="none" w:sz="0" w:space="0" w:color="auto"/>
                                <w:bottom w:val="none" w:sz="0" w:space="0" w:color="auto"/>
                                <w:right w:val="none" w:sz="0" w:space="0" w:color="auto"/>
                              </w:divBdr>
                              <w:divsChild>
                                <w:div w:id="64375558">
                                  <w:marLeft w:val="0"/>
                                  <w:marRight w:val="0"/>
                                  <w:marTop w:val="0"/>
                                  <w:marBottom w:val="0"/>
                                  <w:divBdr>
                                    <w:top w:val="none" w:sz="0" w:space="0" w:color="auto"/>
                                    <w:left w:val="none" w:sz="0" w:space="0" w:color="auto"/>
                                    <w:bottom w:val="none" w:sz="0" w:space="0" w:color="auto"/>
                                    <w:right w:val="none" w:sz="0" w:space="0" w:color="auto"/>
                                  </w:divBdr>
                                  <w:divsChild>
                                    <w:div w:id="1638073701">
                                      <w:marLeft w:val="0"/>
                                      <w:marRight w:val="0"/>
                                      <w:marTop w:val="0"/>
                                      <w:marBottom w:val="0"/>
                                      <w:divBdr>
                                        <w:top w:val="none" w:sz="0" w:space="0" w:color="auto"/>
                                        <w:left w:val="none" w:sz="0" w:space="0" w:color="auto"/>
                                        <w:bottom w:val="none" w:sz="0" w:space="0" w:color="auto"/>
                                        <w:right w:val="none" w:sz="0" w:space="0" w:color="auto"/>
                                      </w:divBdr>
                                      <w:divsChild>
                                        <w:div w:id="3881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1373011">
      <w:bodyDiv w:val="1"/>
      <w:marLeft w:val="0"/>
      <w:marRight w:val="0"/>
      <w:marTop w:val="0"/>
      <w:marBottom w:val="0"/>
      <w:divBdr>
        <w:top w:val="none" w:sz="0" w:space="0" w:color="auto"/>
        <w:left w:val="none" w:sz="0" w:space="0" w:color="auto"/>
        <w:bottom w:val="none" w:sz="0" w:space="0" w:color="auto"/>
        <w:right w:val="none" w:sz="0" w:space="0" w:color="auto"/>
      </w:divBdr>
    </w:div>
    <w:div w:id="342707352">
      <w:bodyDiv w:val="1"/>
      <w:marLeft w:val="0"/>
      <w:marRight w:val="0"/>
      <w:marTop w:val="0"/>
      <w:marBottom w:val="0"/>
      <w:divBdr>
        <w:top w:val="none" w:sz="0" w:space="0" w:color="auto"/>
        <w:left w:val="none" w:sz="0" w:space="0" w:color="auto"/>
        <w:bottom w:val="none" w:sz="0" w:space="0" w:color="auto"/>
        <w:right w:val="none" w:sz="0" w:space="0" w:color="auto"/>
      </w:divBdr>
    </w:div>
    <w:div w:id="392852183">
      <w:bodyDiv w:val="1"/>
      <w:marLeft w:val="0"/>
      <w:marRight w:val="0"/>
      <w:marTop w:val="0"/>
      <w:marBottom w:val="0"/>
      <w:divBdr>
        <w:top w:val="none" w:sz="0" w:space="0" w:color="auto"/>
        <w:left w:val="none" w:sz="0" w:space="0" w:color="auto"/>
        <w:bottom w:val="none" w:sz="0" w:space="0" w:color="auto"/>
        <w:right w:val="none" w:sz="0" w:space="0" w:color="auto"/>
      </w:divBdr>
      <w:divsChild>
        <w:div w:id="1062757597">
          <w:marLeft w:val="0"/>
          <w:marRight w:val="0"/>
          <w:marTop w:val="0"/>
          <w:marBottom w:val="0"/>
          <w:divBdr>
            <w:top w:val="single" w:sz="2" w:space="0" w:color="999999"/>
            <w:left w:val="single" w:sz="4" w:space="0" w:color="999999"/>
            <w:bottom w:val="single" w:sz="2" w:space="0" w:color="999999"/>
            <w:right w:val="single" w:sz="4" w:space="0" w:color="999999"/>
          </w:divBdr>
          <w:divsChild>
            <w:div w:id="659891644">
              <w:marLeft w:val="0"/>
              <w:marRight w:val="0"/>
              <w:marTop w:val="0"/>
              <w:marBottom w:val="0"/>
              <w:divBdr>
                <w:top w:val="none" w:sz="0" w:space="0" w:color="auto"/>
                <w:left w:val="none" w:sz="0" w:space="0" w:color="auto"/>
                <w:bottom w:val="none" w:sz="0" w:space="0" w:color="auto"/>
                <w:right w:val="none" w:sz="0" w:space="0" w:color="auto"/>
              </w:divBdr>
              <w:divsChild>
                <w:div w:id="82847928">
                  <w:marLeft w:val="0"/>
                  <w:marRight w:val="230"/>
                  <w:marTop w:val="0"/>
                  <w:marBottom w:val="480"/>
                  <w:divBdr>
                    <w:top w:val="none" w:sz="0" w:space="0" w:color="auto"/>
                    <w:left w:val="none" w:sz="0" w:space="0" w:color="auto"/>
                    <w:bottom w:val="none" w:sz="0" w:space="0" w:color="auto"/>
                    <w:right w:val="none" w:sz="0" w:space="0" w:color="auto"/>
                  </w:divBdr>
                </w:div>
              </w:divsChild>
            </w:div>
          </w:divsChild>
        </w:div>
      </w:divsChild>
    </w:div>
    <w:div w:id="402457443">
      <w:bodyDiv w:val="1"/>
      <w:marLeft w:val="0"/>
      <w:marRight w:val="0"/>
      <w:marTop w:val="0"/>
      <w:marBottom w:val="0"/>
      <w:divBdr>
        <w:top w:val="none" w:sz="0" w:space="0" w:color="auto"/>
        <w:left w:val="none" w:sz="0" w:space="0" w:color="auto"/>
        <w:bottom w:val="none" w:sz="0" w:space="0" w:color="auto"/>
        <w:right w:val="none" w:sz="0" w:space="0" w:color="auto"/>
      </w:divBdr>
    </w:div>
    <w:div w:id="412705156">
      <w:bodyDiv w:val="1"/>
      <w:marLeft w:val="0"/>
      <w:marRight w:val="0"/>
      <w:marTop w:val="0"/>
      <w:marBottom w:val="0"/>
      <w:divBdr>
        <w:top w:val="none" w:sz="0" w:space="0" w:color="auto"/>
        <w:left w:val="none" w:sz="0" w:space="0" w:color="auto"/>
        <w:bottom w:val="none" w:sz="0" w:space="0" w:color="auto"/>
        <w:right w:val="none" w:sz="0" w:space="0" w:color="auto"/>
      </w:divBdr>
    </w:div>
    <w:div w:id="488714446">
      <w:bodyDiv w:val="1"/>
      <w:marLeft w:val="0"/>
      <w:marRight w:val="0"/>
      <w:marTop w:val="0"/>
      <w:marBottom w:val="0"/>
      <w:divBdr>
        <w:top w:val="none" w:sz="0" w:space="0" w:color="auto"/>
        <w:left w:val="none" w:sz="0" w:space="0" w:color="auto"/>
        <w:bottom w:val="none" w:sz="0" w:space="0" w:color="auto"/>
        <w:right w:val="none" w:sz="0" w:space="0" w:color="auto"/>
      </w:divBdr>
    </w:div>
    <w:div w:id="570122334">
      <w:bodyDiv w:val="1"/>
      <w:marLeft w:val="0"/>
      <w:marRight w:val="0"/>
      <w:marTop w:val="0"/>
      <w:marBottom w:val="0"/>
      <w:divBdr>
        <w:top w:val="none" w:sz="0" w:space="0" w:color="auto"/>
        <w:left w:val="none" w:sz="0" w:space="0" w:color="auto"/>
        <w:bottom w:val="none" w:sz="0" w:space="0" w:color="auto"/>
        <w:right w:val="none" w:sz="0" w:space="0" w:color="auto"/>
      </w:divBdr>
    </w:div>
    <w:div w:id="631179493">
      <w:bodyDiv w:val="1"/>
      <w:marLeft w:val="0"/>
      <w:marRight w:val="0"/>
      <w:marTop w:val="0"/>
      <w:marBottom w:val="0"/>
      <w:divBdr>
        <w:top w:val="none" w:sz="0" w:space="0" w:color="auto"/>
        <w:left w:val="none" w:sz="0" w:space="0" w:color="auto"/>
        <w:bottom w:val="none" w:sz="0" w:space="0" w:color="auto"/>
        <w:right w:val="none" w:sz="0" w:space="0" w:color="auto"/>
      </w:divBdr>
    </w:div>
    <w:div w:id="691764137">
      <w:bodyDiv w:val="1"/>
      <w:marLeft w:val="0"/>
      <w:marRight w:val="0"/>
      <w:marTop w:val="0"/>
      <w:marBottom w:val="0"/>
      <w:divBdr>
        <w:top w:val="none" w:sz="0" w:space="0" w:color="auto"/>
        <w:left w:val="none" w:sz="0" w:space="0" w:color="auto"/>
        <w:bottom w:val="none" w:sz="0" w:space="0" w:color="auto"/>
        <w:right w:val="none" w:sz="0" w:space="0" w:color="auto"/>
      </w:divBdr>
      <w:divsChild>
        <w:div w:id="138617996">
          <w:marLeft w:val="0"/>
          <w:marRight w:val="0"/>
          <w:marTop w:val="0"/>
          <w:marBottom w:val="0"/>
          <w:divBdr>
            <w:top w:val="none" w:sz="0" w:space="0" w:color="auto"/>
            <w:left w:val="none" w:sz="0" w:space="0" w:color="auto"/>
            <w:bottom w:val="none" w:sz="0" w:space="0" w:color="auto"/>
            <w:right w:val="none" w:sz="0" w:space="0" w:color="auto"/>
          </w:divBdr>
          <w:divsChild>
            <w:div w:id="8757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93285">
      <w:bodyDiv w:val="1"/>
      <w:marLeft w:val="0"/>
      <w:marRight w:val="0"/>
      <w:marTop w:val="0"/>
      <w:marBottom w:val="0"/>
      <w:divBdr>
        <w:top w:val="none" w:sz="0" w:space="0" w:color="auto"/>
        <w:left w:val="none" w:sz="0" w:space="0" w:color="auto"/>
        <w:bottom w:val="none" w:sz="0" w:space="0" w:color="auto"/>
        <w:right w:val="none" w:sz="0" w:space="0" w:color="auto"/>
      </w:divBdr>
    </w:div>
    <w:div w:id="762797571">
      <w:bodyDiv w:val="1"/>
      <w:marLeft w:val="0"/>
      <w:marRight w:val="0"/>
      <w:marTop w:val="0"/>
      <w:marBottom w:val="0"/>
      <w:divBdr>
        <w:top w:val="none" w:sz="0" w:space="0" w:color="auto"/>
        <w:left w:val="none" w:sz="0" w:space="0" w:color="auto"/>
        <w:bottom w:val="none" w:sz="0" w:space="0" w:color="auto"/>
        <w:right w:val="none" w:sz="0" w:space="0" w:color="auto"/>
      </w:divBdr>
    </w:div>
    <w:div w:id="764347823">
      <w:bodyDiv w:val="1"/>
      <w:marLeft w:val="0"/>
      <w:marRight w:val="0"/>
      <w:marTop w:val="0"/>
      <w:marBottom w:val="0"/>
      <w:divBdr>
        <w:top w:val="none" w:sz="0" w:space="0" w:color="auto"/>
        <w:left w:val="none" w:sz="0" w:space="0" w:color="auto"/>
        <w:bottom w:val="none" w:sz="0" w:space="0" w:color="auto"/>
        <w:right w:val="none" w:sz="0" w:space="0" w:color="auto"/>
      </w:divBdr>
      <w:divsChild>
        <w:div w:id="1504861412">
          <w:marLeft w:val="0"/>
          <w:marRight w:val="0"/>
          <w:marTop w:val="0"/>
          <w:marBottom w:val="0"/>
          <w:divBdr>
            <w:top w:val="none" w:sz="0" w:space="0" w:color="auto"/>
            <w:left w:val="none" w:sz="0" w:space="0" w:color="auto"/>
            <w:bottom w:val="none" w:sz="0" w:space="0" w:color="auto"/>
            <w:right w:val="none" w:sz="0" w:space="0" w:color="auto"/>
          </w:divBdr>
          <w:divsChild>
            <w:div w:id="101927376">
              <w:marLeft w:val="0"/>
              <w:marRight w:val="0"/>
              <w:marTop w:val="0"/>
              <w:marBottom w:val="0"/>
              <w:divBdr>
                <w:top w:val="none" w:sz="0" w:space="0" w:color="auto"/>
                <w:left w:val="none" w:sz="0" w:space="0" w:color="auto"/>
                <w:bottom w:val="none" w:sz="0" w:space="0" w:color="auto"/>
                <w:right w:val="none" w:sz="0" w:space="0" w:color="auto"/>
              </w:divBdr>
              <w:divsChild>
                <w:div w:id="1142624037">
                  <w:marLeft w:val="0"/>
                  <w:marRight w:val="0"/>
                  <w:marTop w:val="100"/>
                  <w:marBottom w:val="100"/>
                  <w:divBdr>
                    <w:top w:val="none" w:sz="0" w:space="0" w:color="auto"/>
                    <w:left w:val="none" w:sz="0" w:space="0" w:color="auto"/>
                    <w:bottom w:val="none" w:sz="0" w:space="0" w:color="auto"/>
                    <w:right w:val="none" w:sz="0" w:space="0" w:color="auto"/>
                  </w:divBdr>
                  <w:divsChild>
                    <w:div w:id="1542476904">
                      <w:marLeft w:val="0"/>
                      <w:marRight w:val="0"/>
                      <w:marTop w:val="0"/>
                      <w:marBottom w:val="0"/>
                      <w:divBdr>
                        <w:top w:val="none" w:sz="0" w:space="0" w:color="auto"/>
                        <w:left w:val="none" w:sz="0" w:space="0" w:color="auto"/>
                        <w:bottom w:val="none" w:sz="0" w:space="0" w:color="auto"/>
                        <w:right w:val="none" w:sz="0" w:space="0" w:color="auto"/>
                      </w:divBdr>
                      <w:divsChild>
                        <w:div w:id="1721051084">
                          <w:marLeft w:val="0"/>
                          <w:marRight w:val="0"/>
                          <w:marTop w:val="0"/>
                          <w:marBottom w:val="0"/>
                          <w:divBdr>
                            <w:top w:val="none" w:sz="0" w:space="0" w:color="auto"/>
                            <w:left w:val="none" w:sz="0" w:space="0" w:color="auto"/>
                            <w:bottom w:val="none" w:sz="0" w:space="0" w:color="auto"/>
                            <w:right w:val="none" w:sz="0" w:space="0" w:color="auto"/>
                          </w:divBdr>
                          <w:divsChild>
                            <w:div w:id="658457871">
                              <w:marLeft w:val="0"/>
                              <w:marRight w:val="0"/>
                              <w:marTop w:val="0"/>
                              <w:marBottom w:val="0"/>
                              <w:divBdr>
                                <w:top w:val="none" w:sz="0" w:space="0" w:color="auto"/>
                                <w:left w:val="none" w:sz="0" w:space="0" w:color="auto"/>
                                <w:bottom w:val="none" w:sz="0" w:space="0" w:color="auto"/>
                                <w:right w:val="none" w:sz="0" w:space="0" w:color="auto"/>
                              </w:divBdr>
                              <w:divsChild>
                                <w:div w:id="137947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918695">
      <w:bodyDiv w:val="1"/>
      <w:marLeft w:val="0"/>
      <w:marRight w:val="0"/>
      <w:marTop w:val="0"/>
      <w:marBottom w:val="0"/>
      <w:divBdr>
        <w:top w:val="none" w:sz="0" w:space="0" w:color="auto"/>
        <w:left w:val="none" w:sz="0" w:space="0" w:color="auto"/>
        <w:bottom w:val="none" w:sz="0" w:space="0" w:color="auto"/>
        <w:right w:val="none" w:sz="0" w:space="0" w:color="auto"/>
      </w:divBdr>
    </w:div>
    <w:div w:id="828593103">
      <w:bodyDiv w:val="1"/>
      <w:marLeft w:val="0"/>
      <w:marRight w:val="0"/>
      <w:marTop w:val="0"/>
      <w:marBottom w:val="0"/>
      <w:divBdr>
        <w:top w:val="none" w:sz="0" w:space="0" w:color="auto"/>
        <w:left w:val="none" w:sz="0" w:space="0" w:color="auto"/>
        <w:bottom w:val="none" w:sz="0" w:space="0" w:color="auto"/>
        <w:right w:val="none" w:sz="0" w:space="0" w:color="auto"/>
      </w:divBdr>
    </w:div>
    <w:div w:id="927076264">
      <w:bodyDiv w:val="1"/>
      <w:marLeft w:val="0"/>
      <w:marRight w:val="0"/>
      <w:marTop w:val="0"/>
      <w:marBottom w:val="0"/>
      <w:divBdr>
        <w:top w:val="none" w:sz="0" w:space="0" w:color="auto"/>
        <w:left w:val="none" w:sz="0" w:space="0" w:color="auto"/>
        <w:bottom w:val="none" w:sz="0" w:space="0" w:color="auto"/>
        <w:right w:val="none" w:sz="0" w:space="0" w:color="auto"/>
      </w:divBdr>
    </w:div>
    <w:div w:id="998578907">
      <w:bodyDiv w:val="1"/>
      <w:marLeft w:val="0"/>
      <w:marRight w:val="0"/>
      <w:marTop w:val="0"/>
      <w:marBottom w:val="0"/>
      <w:divBdr>
        <w:top w:val="none" w:sz="0" w:space="0" w:color="auto"/>
        <w:left w:val="none" w:sz="0" w:space="0" w:color="auto"/>
        <w:bottom w:val="none" w:sz="0" w:space="0" w:color="auto"/>
        <w:right w:val="none" w:sz="0" w:space="0" w:color="auto"/>
      </w:divBdr>
    </w:div>
    <w:div w:id="1040711899">
      <w:bodyDiv w:val="1"/>
      <w:marLeft w:val="0"/>
      <w:marRight w:val="0"/>
      <w:marTop w:val="0"/>
      <w:marBottom w:val="0"/>
      <w:divBdr>
        <w:top w:val="none" w:sz="0" w:space="0" w:color="auto"/>
        <w:left w:val="none" w:sz="0" w:space="0" w:color="auto"/>
        <w:bottom w:val="none" w:sz="0" w:space="0" w:color="auto"/>
        <w:right w:val="none" w:sz="0" w:space="0" w:color="auto"/>
      </w:divBdr>
    </w:div>
    <w:div w:id="1067723571">
      <w:bodyDiv w:val="1"/>
      <w:marLeft w:val="0"/>
      <w:marRight w:val="0"/>
      <w:marTop w:val="0"/>
      <w:marBottom w:val="0"/>
      <w:divBdr>
        <w:top w:val="none" w:sz="0" w:space="0" w:color="auto"/>
        <w:left w:val="none" w:sz="0" w:space="0" w:color="auto"/>
        <w:bottom w:val="none" w:sz="0" w:space="0" w:color="auto"/>
        <w:right w:val="none" w:sz="0" w:space="0" w:color="auto"/>
      </w:divBdr>
    </w:div>
    <w:div w:id="1073629093">
      <w:bodyDiv w:val="1"/>
      <w:marLeft w:val="0"/>
      <w:marRight w:val="0"/>
      <w:marTop w:val="0"/>
      <w:marBottom w:val="0"/>
      <w:divBdr>
        <w:top w:val="none" w:sz="0" w:space="0" w:color="auto"/>
        <w:left w:val="none" w:sz="0" w:space="0" w:color="auto"/>
        <w:bottom w:val="none" w:sz="0" w:space="0" w:color="auto"/>
        <w:right w:val="none" w:sz="0" w:space="0" w:color="auto"/>
      </w:divBdr>
    </w:div>
    <w:div w:id="1107240177">
      <w:bodyDiv w:val="1"/>
      <w:marLeft w:val="0"/>
      <w:marRight w:val="0"/>
      <w:marTop w:val="0"/>
      <w:marBottom w:val="0"/>
      <w:divBdr>
        <w:top w:val="none" w:sz="0" w:space="0" w:color="auto"/>
        <w:left w:val="none" w:sz="0" w:space="0" w:color="auto"/>
        <w:bottom w:val="none" w:sz="0" w:space="0" w:color="auto"/>
        <w:right w:val="none" w:sz="0" w:space="0" w:color="auto"/>
      </w:divBdr>
    </w:div>
    <w:div w:id="1124082810">
      <w:marLeft w:val="0"/>
      <w:marRight w:val="0"/>
      <w:marTop w:val="0"/>
      <w:marBottom w:val="0"/>
      <w:divBdr>
        <w:top w:val="none" w:sz="0" w:space="0" w:color="auto"/>
        <w:left w:val="none" w:sz="0" w:space="0" w:color="auto"/>
        <w:bottom w:val="none" w:sz="0" w:space="0" w:color="auto"/>
        <w:right w:val="none" w:sz="0" w:space="0" w:color="auto"/>
      </w:divBdr>
    </w:div>
    <w:div w:id="1124082811">
      <w:marLeft w:val="0"/>
      <w:marRight w:val="0"/>
      <w:marTop w:val="0"/>
      <w:marBottom w:val="0"/>
      <w:divBdr>
        <w:top w:val="none" w:sz="0" w:space="0" w:color="auto"/>
        <w:left w:val="none" w:sz="0" w:space="0" w:color="auto"/>
        <w:bottom w:val="none" w:sz="0" w:space="0" w:color="auto"/>
        <w:right w:val="none" w:sz="0" w:space="0" w:color="auto"/>
      </w:divBdr>
    </w:div>
    <w:div w:id="1125779052">
      <w:bodyDiv w:val="1"/>
      <w:marLeft w:val="0"/>
      <w:marRight w:val="0"/>
      <w:marTop w:val="0"/>
      <w:marBottom w:val="0"/>
      <w:divBdr>
        <w:top w:val="none" w:sz="0" w:space="0" w:color="auto"/>
        <w:left w:val="none" w:sz="0" w:space="0" w:color="auto"/>
        <w:bottom w:val="none" w:sz="0" w:space="0" w:color="auto"/>
        <w:right w:val="none" w:sz="0" w:space="0" w:color="auto"/>
      </w:divBdr>
    </w:div>
    <w:div w:id="1126312516">
      <w:bodyDiv w:val="1"/>
      <w:marLeft w:val="0"/>
      <w:marRight w:val="0"/>
      <w:marTop w:val="0"/>
      <w:marBottom w:val="0"/>
      <w:divBdr>
        <w:top w:val="none" w:sz="0" w:space="0" w:color="auto"/>
        <w:left w:val="none" w:sz="0" w:space="0" w:color="auto"/>
        <w:bottom w:val="none" w:sz="0" w:space="0" w:color="auto"/>
        <w:right w:val="none" w:sz="0" w:space="0" w:color="auto"/>
      </w:divBdr>
      <w:divsChild>
        <w:div w:id="1500120403">
          <w:marLeft w:val="0"/>
          <w:marRight w:val="0"/>
          <w:marTop w:val="0"/>
          <w:marBottom w:val="0"/>
          <w:divBdr>
            <w:top w:val="single" w:sz="2" w:space="0" w:color="999999"/>
            <w:left w:val="single" w:sz="4" w:space="0" w:color="999999"/>
            <w:bottom w:val="single" w:sz="2" w:space="0" w:color="999999"/>
            <w:right w:val="single" w:sz="4" w:space="0" w:color="999999"/>
          </w:divBdr>
          <w:divsChild>
            <w:div w:id="2011176851">
              <w:marLeft w:val="0"/>
              <w:marRight w:val="0"/>
              <w:marTop w:val="0"/>
              <w:marBottom w:val="0"/>
              <w:divBdr>
                <w:top w:val="none" w:sz="0" w:space="0" w:color="auto"/>
                <w:left w:val="none" w:sz="0" w:space="0" w:color="auto"/>
                <w:bottom w:val="none" w:sz="0" w:space="0" w:color="auto"/>
                <w:right w:val="none" w:sz="0" w:space="0" w:color="auto"/>
              </w:divBdr>
              <w:divsChild>
                <w:div w:id="1592084198">
                  <w:marLeft w:val="0"/>
                  <w:marRight w:val="230"/>
                  <w:marTop w:val="0"/>
                  <w:marBottom w:val="480"/>
                  <w:divBdr>
                    <w:top w:val="none" w:sz="0" w:space="0" w:color="auto"/>
                    <w:left w:val="none" w:sz="0" w:space="0" w:color="auto"/>
                    <w:bottom w:val="none" w:sz="0" w:space="0" w:color="auto"/>
                    <w:right w:val="none" w:sz="0" w:space="0" w:color="auto"/>
                  </w:divBdr>
                </w:div>
              </w:divsChild>
            </w:div>
          </w:divsChild>
        </w:div>
      </w:divsChild>
    </w:div>
    <w:div w:id="1133401478">
      <w:bodyDiv w:val="1"/>
      <w:marLeft w:val="0"/>
      <w:marRight w:val="0"/>
      <w:marTop w:val="0"/>
      <w:marBottom w:val="0"/>
      <w:divBdr>
        <w:top w:val="none" w:sz="0" w:space="0" w:color="auto"/>
        <w:left w:val="none" w:sz="0" w:space="0" w:color="auto"/>
        <w:bottom w:val="none" w:sz="0" w:space="0" w:color="auto"/>
        <w:right w:val="none" w:sz="0" w:space="0" w:color="auto"/>
      </w:divBdr>
    </w:div>
    <w:div w:id="1148747320">
      <w:bodyDiv w:val="1"/>
      <w:marLeft w:val="0"/>
      <w:marRight w:val="0"/>
      <w:marTop w:val="0"/>
      <w:marBottom w:val="0"/>
      <w:divBdr>
        <w:top w:val="none" w:sz="0" w:space="0" w:color="auto"/>
        <w:left w:val="none" w:sz="0" w:space="0" w:color="auto"/>
        <w:bottom w:val="none" w:sz="0" w:space="0" w:color="auto"/>
        <w:right w:val="none" w:sz="0" w:space="0" w:color="auto"/>
      </w:divBdr>
    </w:div>
    <w:div w:id="1168668862">
      <w:bodyDiv w:val="1"/>
      <w:marLeft w:val="0"/>
      <w:marRight w:val="0"/>
      <w:marTop w:val="0"/>
      <w:marBottom w:val="0"/>
      <w:divBdr>
        <w:top w:val="none" w:sz="0" w:space="0" w:color="auto"/>
        <w:left w:val="none" w:sz="0" w:space="0" w:color="auto"/>
        <w:bottom w:val="none" w:sz="0" w:space="0" w:color="auto"/>
        <w:right w:val="none" w:sz="0" w:space="0" w:color="auto"/>
      </w:divBdr>
    </w:div>
    <w:div w:id="1177578316">
      <w:bodyDiv w:val="1"/>
      <w:marLeft w:val="0"/>
      <w:marRight w:val="0"/>
      <w:marTop w:val="0"/>
      <w:marBottom w:val="0"/>
      <w:divBdr>
        <w:top w:val="none" w:sz="0" w:space="0" w:color="auto"/>
        <w:left w:val="none" w:sz="0" w:space="0" w:color="auto"/>
        <w:bottom w:val="none" w:sz="0" w:space="0" w:color="auto"/>
        <w:right w:val="none" w:sz="0" w:space="0" w:color="auto"/>
      </w:divBdr>
    </w:div>
    <w:div w:id="1183669334">
      <w:bodyDiv w:val="1"/>
      <w:marLeft w:val="0"/>
      <w:marRight w:val="0"/>
      <w:marTop w:val="0"/>
      <w:marBottom w:val="0"/>
      <w:divBdr>
        <w:top w:val="none" w:sz="0" w:space="0" w:color="auto"/>
        <w:left w:val="none" w:sz="0" w:space="0" w:color="auto"/>
        <w:bottom w:val="none" w:sz="0" w:space="0" w:color="auto"/>
        <w:right w:val="none" w:sz="0" w:space="0" w:color="auto"/>
      </w:divBdr>
    </w:div>
    <w:div w:id="1266157425">
      <w:bodyDiv w:val="1"/>
      <w:marLeft w:val="0"/>
      <w:marRight w:val="0"/>
      <w:marTop w:val="0"/>
      <w:marBottom w:val="0"/>
      <w:divBdr>
        <w:top w:val="none" w:sz="0" w:space="0" w:color="auto"/>
        <w:left w:val="none" w:sz="0" w:space="0" w:color="auto"/>
        <w:bottom w:val="none" w:sz="0" w:space="0" w:color="auto"/>
        <w:right w:val="none" w:sz="0" w:space="0" w:color="auto"/>
      </w:divBdr>
    </w:div>
    <w:div w:id="1295792498">
      <w:bodyDiv w:val="1"/>
      <w:marLeft w:val="0"/>
      <w:marRight w:val="0"/>
      <w:marTop w:val="0"/>
      <w:marBottom w:val="0"/>
      <w:divBdr>
        <w:top w:val="none" w:sz="0" w:space="0" w:color="auto"/>
        <w:left w:val="none" w:sz="0" w:space="0" w:color="auto"/>
        <w:bottom w:val="none" w:sz="0" w:space="0" w:color="auto"/>
        <w:right w:val="none" w:sz="0" w:space="0" w:color="auto"/>
      </w:divBdr>
    </w:div>
    <w:div w:id="1315723637">
      <w:bodyDiv w:val="1"/>
      <w:marLeft w:val="0"/>
      <w:marRight w:val="0"/>
      <w:marTop w:val="0"/>
      <w:marBottom w:val="0"/>
      <w:divBdr>
        <w:top w:val="none" w:sz="0" w:space="0" w:color="auto"/>
        <w:left w:val="none" w:sz="0" w:space="0" w:color="auto"/>
        <w:bottom w:val="none" w:sz="0" w:space="0" w:color="auto"/>
        <w:right w:val="none" w:sz="0" w:space="0" w:color="auto"/>
      </w:divBdr>
    </w:div>
    <w:div w:id="1343555153">
      <w:bodyDiv w:val="1"/>
      <w:marLeft w:val="0"/>
      <w:marRight w:val="0"/>
      <w:marTop w:val="0"/>
      <w:marBottom w:val="0"/>
      <w:divBdr>
        <w:top w:val="none" w:sz="0" w:space="0" w:color="auto"/>
        <w:left w:val="none" w:sz="0" w:space="0" w:color="auto"/>
        <w:bottom w:val="none" w:sz="0" w:space="0" w:color="auto"/>
        <w:right w:val="none" w:sz="0" w:space="0" w:color="auto"/>
      </w:divBdr>
    </w:div>
    <w:div w:id="1360352906">
      <w:bodyDiv w:val="1"/>
      <w:marLeft w:val="0"/>
      <w:marRight w:val="0"/>
      <w:marTop w:val="0"/>
      <w:marBottom w:val="0"/>
      <w:divBdr>
        <w:top w:val="none" w:sz="0" w:space="0" w:color="auto"/>
        <w:left w:val="none" w:sz="0" w:space="0" w:color="auto"/>
        <w:bottom w:val="none" w:sz="0" w:space="0" w:color="auto"/>
        <w:right w:val="none" w:sz="0" w:space="0" w:color="auto"/>
      </w:divBdr>
    </w:div>
    <w:div w:id="1388455465">
      <w:bodyDiv w:val="1"/>
      <w:marLeft w:val="0"/>
      <w:marRight w:val="0"/>
      <w:marTop w:val="0"/>
      <w:marBottom w:val="0"/>
      <w:divBdr>
        <w:top w:val="none" w:sz="0" w:space="0" w:color="auto"/>
        <w:left w:val="none" w:sz="0" w:space="0" w:color="auto"/>
        <w:bottom w:val="none" w:sz="0" w:space="0" w:color="auto"/>
        <w:right w:val="none" w:sz="0" w:space="0" w:color="auto"/>
      </w:divBdr>
    </w:div>
    <w:div w:id="1393116420">
      <w:bodyDiv w:val="1"/>
      <w:marLeft w:val="0"/>
      <w:marRight w:val="0"/>
      <w:marTop w:val="0"/>
      <w:marBottom w:val="0"/>
      <w:divBdr>
        <w:top w:val="none" w:sz="0" w:space="0" w:color="auto"/>
        <w:left w:val="none" w:sz="0" w:space="0" w:color="auto"/>
        <w:bottom w:val="none" w:sz="0" w:space="0" w:color="auto"/>
        <w:right w:val="none" w:sz="0" w:space="0" w:color="auto"/>
      </w:divBdr>
      <w:divsChild>
        <w:div w:id="24143311">
          <w:marLeft w:val="0"/>
          <w:marRight w:val="0"/>
          <w:marTop w:val="0"/>
          <w:marBottom w:val="0"/>
          <w:divBdr>
            <w:top w:val="none" w:sz="0" w:space="0" w:color="auto"/>
            <w:left w:val="none" w:sz="0" w:space="0" w:color="auto"/>
            <w:bottom w:val="none" w:sz="0" w:space="0" w:color="auto"/>
            <w:right w:val="none" w:sz="0" w:space="0" w:color="auto"/>
          </w:divBdr>
          <w:divsChild>
            <w:div w:id="49291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85428">
      <w:bodyDiv w:val="1"/>
      <w:marLeft w:val="0"/>
      <w:marRight w:val="0"/>
      <w:marTop w:val="0"/>
      <w:marBottom w:val="0"/>
      <w:divBdr>
        <w:top w:val="none" w:sz="0" w:space="0" w:color="auto"/>
        <w:left w:val="none" w:sz="0" w:space="0" w:color="auto"/>
        <w:bottom w:val="none" w:sz="0" w:space="0" w:color="auto"/>
        <w:right w:val="none" w:sz="0" w:space="0" w:color="auto"/>
      </w:divBdr>
    </w:div>
    <w:div w:id="1401636624">
      <w:bodyDiv w:val="1"/>
      <w:marLeft w:val="0"/>
      <w:marRight w:val="0"/>
      <w:marTop w:val="0"/>
      <w:marBottom w:val="0"/>
      <w:divBdr>
        <w:top w:val="none" w:sz="0" w:space="0" w:color="auto"/>
        <w:left w:val="none" w:sz="0" w:space="0" w:color="auto"/>
        <w:bottom w:val="none" w:sz="0" w:space="0" w:color="auto"/>
        <w:right w:val="none" w:sz="0" w:space="0" w:color="auto"/>
      </w:divBdr>
    </w:div>
    <w:div w:id="1443845593">
      <w:bodyDiv w:val="1"/>
      <w:marLeft w:val="0"/>
      <w:marRight w:val="0"/>
      <w:marTop w:val="0"/>
      <w:marBottom w:val="0"/>
      <w:divBdr>
        <w:top w:val="none" w:sz="0" w:space="0" w:color="auto"/>
        <w:left w:val="none" w:sz="0" w:space="0" w:color="auto"/>
        <w:bottom w:val="none" w:sz="0" w:space="0" w:color="auto"/>
        <w:right w:val="none" w:sz="0" w:space="0" w:color="auto"/>
      </w:divBdr>
    </w:div>
    <w:div w:id="1468546323">
      <w:bodyDiv w:val="1"/>
      <w:marLeft w:val="0"/>
      <w:marRight w:val="0"/>
      <w:marTop w:val="0"/>
      <w:marBottom w:val="0"/>
      <w:divBdr>
        <w:top w:val="none" w:sz="0" w:space="0" w:color="auto"/>
        <w:left w:val="none" w:sz="0" w:space="0" w:color="auto"/>
        <w:bottom w:val="none" w:sz="0" w:space="0" w:color="auto"/>
        <w:right w:val="none" w:sz="0" w:space="0" w:color="auto"/>
      </w:divBdr>
    </w:div>
    <w:div w:id="1535998004">
      <w:bodyDiv w:val="1"/>
      <w:marLeft w:val="0"/>
      <w:marRight w:val="0"/>
      <w:marTop w:val="0"/>
      <w:marBottom w:val="0"/>
      <w:divBdr>
        <w:top w:val="none" w:sz="0" w:space="0" w:color="auto"/>
        <w:left w:val="none" w:sz="0" w:space="0" w:color="auto"/>
        <w:bottom w:val="none" w:sz="0" w:space="0" w:color="auto"/>
        <w:right w:val="none" w:sz="0" w:space="0" w:color="auto"/>
      </w:divBdr>
      <w:divsChild>
        <w:div w:id="596409612">
          <w:marLeft w:val="0"/>
          <w:marRight w:val="0"/>
          <w:marTop w:val="0"/>
          <w:marBottom w:val="0"/>
          <w:divBdr>
            <w:top w:val="none" w:sz="0" w:space="0" w:color="auto"/>
            <w:left w:val="none" w:sz="0" w:space="0" w:color="auto"/>
            <w:bottom w:val="none" w:sz="0" w:space="0" w:color="auto"/>
            <w:right w:val="none" w:sz="0" w:space="0" w:color="auto"/>
          </w:divBdr>
          <w:divsChild>
            <w:div w:id="162503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5818">
      <w:bodyDiv w:val="1"/>
      <w:marLeft w:val="0"/>
      <w:marRight w:val="0"/>
      <w:marTop w:val="0"/>
      <w:marBottom w:val="0"/>
      <w:divBdr>
        <w:top w:val="none" w:sz="0" w:space="0" w:color="auto"/>
        <w:left w:val="none" w:sz="0" w:space="0" w:color="auto"/>
        <w:bottom w:val="none" w:sz="0" w:space="0" w:color="auto"/>
        <w:right w:val="none" w:sz="0" w:space="0" w:color="auto"/>
      </w:divBdr>
    </w:div>
    <w:div w:id="1574970302">
      <w:bodyDiv w:val="1"/>
      <w:marLeft w:val="0"/>
      <w:marRight w:val="0"/>
      <w:marTop w:val="0"/>
      <w:marBottom w:val="0"/>
      <w:divBdr>
        <w:top w:val="none" w:sz="0" w:space="0" w:color="auto"/>
        <w:left w:val="none" w:sz="0" w:space="0" w:color="auto"/>
        <w:bottom w:val="none" w:sz="0" w:space="0" w:color="auto"/>
        <w:right w:val="none" w:sz="0" w:space="0" w:color="auto"/>
      </w:divBdr>
    </w:div>
    <w:div w:id="1604262358">
      <w:bodyDiv w:val="1"/>
      <w:marLeft w:val="0"/>
      <w:marRight w:val="0"/>
      <w:marTop w:val="0"/>
      <w:marBottom w:val="0"/>
      <w:divBdr>
        <w:top w:val="none" w:sz="0" w:space="0" w:color="auto"/>
        <w:left w:val="none" w:sz="0" w:space="0" w:color="auto"/>
        <w:bottom w:val="none" w:sz="0" w:space="0" w:color="auto"/>
        <w:right w:val="none" w:sz="0" w:space="0" w:color="auto"/>
      </w:divBdr>
    </w:div>
    <w:div w:id="1642537722">
      <w:bodyDiv w:val="1"/>
      <w:marLeft w:val="0"/>
      <w:marRight w:val="0"/>
      <w:marTop w:val="0"/>
      <w:marBottom w:val="0"/>
      <w:divBdr>
        <w:top w:val="none" w:sz="0" w:space="0" w:color="auto"/>
        <w:left w:val="none" w:sz="0" w:space="0" w:color="auto"/>
        <w:bottom w:val="none" w:sz="0" w:space="0" w:color="auto"/>
        <w:right w:val="none" w:sz="0" w:space="0" w:color="auto"/>
      </w:divBdr>
    </w:div>
    <w:div w:id="1683775583">
      <w:bodyDiv w:val="1"/>
      <w:marLeft w:val="0"/>
      <w:marRight w:val="0"/>
      <w:marTop w:val="0"/>
      <w:marBottom w:val="0"/>
      <w:divBdr>
        <w:top w:val="none" w:sz="0" w:space="0" w:color="auto"/>
        <w:left w:val="none" w:sz="0" w:space="0" w:color="auto"/>
        <w:bottom w:val="none" w:sz="0" w:space="0" w:color="auto"/>
        <w:right w:val="none" w:sz="0" w:space="0" w:color="auto"/>
      </w:divBdr>
    </w:div>
    <w:div w:id="1691907395">
      <w:bodyDiv w:val="1"/>
      <w:marLeft w:val="0"/>
      <w:marRight w:val="0"/>
      <w:marTop w:val="0"/>
      <w:marBottom w:val="0"/>
      <w:divBdr>
        <w:top w:val="none" w:sz="0" w:space="0" w:color="auto"/>
        <w:left w:val="none" w:sz="0" w:space="0" w:color="auto"/>
        <w:bottom w:val="none" w:sz="0" w:space="0" w:color="auto"/>
        <w:right w:val="none" w:sz="0" w:space="0" w:color="auto"/>
      </w:divBdr>
    </w:div>
    <w:div w:id="1781221323">
      <w:bodyDiv w:val="1"/>
      <w:marLeft w:val="0"/>
      <w:marRight w:val="0"/>
      <w:marTop w:val="0"/>
      <w:marBottom w:val="0"/>
      <w:divBdr>
        <w:top w:val="none" w:sz="0" w:space="0" w:color="auto"/>
        <w:left w:val="none" w:sz="0" w:space="0" w:color="auto"/>
        <w:bottom w:val="none" w:sz="0" w:space="0" w:color="auto"/>
        <w:right w:val="none" w:sz="0" w:space="0" w:color="auto"/>
      </w:divBdr>
    </w:div>
    <w:div w:id="1819109594">
      <w:bodyDiv w:val="1"/>
      <w:marLeft w:val="0"/>
      <w:marRight w:val="0"/>
      <w:marTop w:val="0"/>
      <w:marBottom w:val="0"/>
      <w:divBdr>
        <w:top w:val="none" w:sz="0" w:space="0" w:color="auto"/>
        <w:left w:val="none" w:sz="0" w:space="0" w:color="auto"/>
        <w:bottom w:val="none" w:sz="0" w:space="0" w:color="auto"/>
        <w:right w:val="none" w:sz="0" w:space="0" w:color="auto"/>
      </w:divBdr>
    </w:div>
    <w:div w:id="1943995235">
      <w:bodyDiv w:val="1"/>
      <w:marLeft w:val="0"/>
      <w:marRight w:val="0"/>
      <w:marTop w:val="0"/>
      <w:marBottom w:val="0"/>
      <w:divBdr>
        <w:top w:val="none" w:sz="0" w:space="0" w:color="auto"/>
        <w:left w:val="none" w:sz="0" w:space="0" w:color="auto"/>
        <w:bottom w:val="none" w:sz="0" w:space="0" w:color="auto"/>
        <w:right w:val="none" w:sz="0" w:space="0" w:color="auto"/>
      </w:divBdr>
    </w:div>
    <w:div w:id="1959023526">
      <w:bodyDiv w:val="1"/>
      <w:marLeft w:val="0"/>
      <w:marRight w:val="0"/>
      <w:marTop w:val="0"/>
      <w:marBottom w:val="0"/>
      <w:divBdr>
        <w:top w:val="none" w:sz="0" w:space="0" w:color="auto"/>
        <w:left w:val="none" w:sz="0" w:space="0" w:color="auto"/>
        <w:bottom w:val="none" w:sz="0" w:space="0" w:color="auto"/>
        <w:right w:val="none" w:sz="0" w:space="0" w:color="auto"/>
      </w:divBdr>
      <w:divsChild>
        <w:div w:id="117727165">
          <w:marLeft w:val="0"/>
          <w:marRight w:val="0"/>
          <w:marTop w:val="0"/>
          <w:marBottom w:val="0"/>
          <w:divBdr>
            <w:top w:val="none" w:sz="0" w:space="0" w:color="auto"/>
            <w:left w:val="none" w:sz="0" w:space="0" w:color="auto"/>
            <w:bottom w:val="none" w:sz="0" w:space="0" w:color="auto"/>
            <w:right w:val="none" w:sz="0" w:space="0" w:color="auto"/>
          </w:divBdr>
          <w:divsChild>
            <w:div w:id="183926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37102">
      <w:bodyDiv w:val="1"/>
      <w:marLeft w:val="0"/>
      <w:marRight w:val="0"/>
      <w:marTop w:val="0"/>
      <w:marBottom w:val="0"/>
      <w:divBdr>
        <w:top w:val="none" w:sz="0" w:space="0" w:color="auto"/>
        <w:left w:val="none" w:sz="0" w:space="0" w:color="auto"/>
        <w:bottom w:val="none" w:sz="0" w:space="0" w:color="auto"/>
        <w:right w:val="none" w:sz="0" w:space="0" w:color="auto"/>
      </w:divBdr>
    </w:div>
    <w:div w:id="1989163012">
      <w:bodyDiv w:val="1"/>
      <w:marLeft w:val="0"/>
      <w:marRight w:val="0"/>
      <w:marTop w:val="0"/>
      <w:marBottom w:val="0"/>
      <w:divBdr>
        <w:top w:val="none" w:sz="0" w:space="0" w:color="auto"/>
        <w:left w:val="none" w:sz="0" w:space="0" w:color="auto"/>
        <w:bottom w:val="none" w:sz="0" w:space="0" w:color="auto"/>
        <w:right w:val="none" w:sz="0" w:space="0" w:color="auto"/>
      </w:divBdr>
    </w:div>
    <w:div w:id="1990671598">
      <w:bodyDiv w:val="1"/>
      <w:marLeft w:val="0"/>
      <w:marRight w:val="0"/>
      <w:marTop w:val="0"/>
      <w:marBottom w:val="0"/>
      <w:divBdr>
        <w:top w:val="none" w:sz="0" w:space="0" w:color="auto"/>
        <w:left w:val="none" w:sz="0" w:space="0" w:color="auto"/>
        <w:bottom w:val="none" w:sz="0" w:space="0" w:color="auto"/>
        <w:right w:val="none" w:sz="0" w:space="0" w:color="auto"/>
      </w:divBdr>
    </w:div>
    <w:div w:id="2063559086">
      <w:bodyDiv w:val="1"/>
      <w:marLeft w:val="0"/>
      <w:marRight w:val="0"/>
      <w:marTop w:val="0"/>
      <w:marBottom w:val="0"/>
      <w:divBdr>
        <w:top w:val="none" w:sz="0" w:space="0" w:color="auto"/>
        <w:left w:val="none" w:sz="0" w:space="0" w:color="auto"/>
        <w:bottom w:val="none" w:sz="0" w:space="0" w:color="auto"/>
        <w:right w:val="none" w:sz="0" w:space="0" w:color="auto"/>
      </w:divBdr>
    </w:div>
    <w:div w:id="214141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pc.gov.au/inquiries/completed/infrastructure" TargetMode="External"/><Relationship Id="rId13" Type="http://schemas.openxmlformats.org/officeDocument/2006/relationships/hyperlink" Target="http://competitionpolicyreview.gov.au/files/2015/03/Competition-policy-review-report_online.pdf" TargetMode="External"/><Relationship Id="rId18" Type="http://schemas.openxmlformats.org/officeDocument/2006/relationships/hyperlink" Target="http://www.ntc.gov.au/Media/Reports/(D72A1250-2EA5-5377-2008-17FE01D3DC72).pdf" TargetMode="External"/><Relationship Id="rId3" Type="http://schemas.openxmlformats.org/officeDocument/2006/relationships/hyperlink" Target="http://www.bitre.gov.au/publications/2011/files/report_123.pdf" TargetMode="External"/><Relationship Id="rId7" Type="http://schemas.openxmlformats.org/officeDocument/2006/relationships/hyperlink" Target="http://www.pc.gov.au/inquiries/completed/infrastructure" TargetMode="External"/><Relationship Id="rId12" Type="http://schemas.openxmlformats.org/officeDocument/2006/relationships/hyperlink" Target="http://www.infrastructure.gov.au/infrastructure/publications/files/Productivity_Commission_Inquiry_Report_into_Public_Infrastructure.pdf" TargetMode="External"/><Relationship Id="rId17" Type="http://schemas.openxmlformats.org/officeDocument/2006/relationships/hyperlink" Target="https://www.bitre.gov.au/publications/2009/files/is_034.pdf" TargetMode="External"/><Relationship Id="rId2" Type="http://schemas.openxmlformats.org/officeDocument/2006/relationships/hyperlink" Target="http://competitionpolicyreview.gov.au/files/2015/03/Competition-policy-review-report_online.pdf" TargetMode="External"/><Relationship Id="rId16" Type="http://schemas.openxmlformats.org/officeDocument/2006/relationships/hyperlink" Target="https://www.bitre.gov.au/publications/2009/files/is_034.pdf" TargetMode="External"/><Relationship Id="rId20" Type="http://schemas.openxmlformats.org/officeDocument/2006/relationships/hyperlink" Target="http://competitionpolicyreview.gov.au/files/2015/03/Competition-policy-review-report_online.pdf" TargetMode="External"/><Relationship Id="rId1" Type="http://schemas.openxmlformats.org/officeDocument/2006/relationships/hyperlink" Target="http://competitionpolicyreview.gov.au/files/2015/03/Competition-policy-review-report_online.pdf" TargetMode="External"/><Relationship Id="rId6" Type="http://schemas.openxmlformats.org/officeDocument/2006/relationships/hyperlink" Target="http://www.pc.gov.au/inquiries/completed/infrastructure" TargetMode="External"/><Relationship Id="rId11" Type="http://schemas.openxmlformats.org/officeDocument/2006/relationships/hyperlink" Target="http://www.pc.gov.au/inquiries/completed/infrastructure" TargetMode="External"/><Relationship Id="rId5" Type="http://schemas.openxmlformats.org/officeDocument/2006/relationships/hyperlink" Target="http://competitionpolicyreview.gov.au/files/2015/03/Competition-policy-review-report_online.pdf" TargetMode="External"/><Relationship Id="rId15" Type="http://schemas.openxmlformats.org/officeDocument/2006/relationships/hyperlink" Target="http://www.ipart.nsw.gov.au/Home/Industries/Other/Reviews/Grain" TargetMode="External"/><Relationship Id="rId10" Type="http://schemas.openxmlformats.org/officeDocument/2006/relationships/hyperlink" Target="http://www.pc.gov.au/inquiries/completed/infrastructure" TargetMode="External"/><Relationship Id="rId19" Type="http://schemas.openxmlformats.org/officeDocument/2006/relationships/hyperlink" Target="http://competitionpolicyreview.gov.au/files/2015/03/Competition-policy-review-report_online.pdf" TargetMode="External"/><Relationship Id="rId4" Type="http://schemas.openxmlformats.org/officeDocument/2006/relationships/hyperlink" Target="http://competitionpolicyreview.gov.au/files/2015/03/Competition-policy-review-report_online.pdf" TargetMode="External"/><Relationship Id="rId9" Type="http://schemas.openxmlformats.org/officeDocument/2006/relationships/hyperlink" Target="http://www.infrastructure.gov.au/infrastructure/publications/files/Productivity_Commission_Inquiry_Report_into_Public_Infrastructure.pdf" TargetMode="External"/><Relationship Id="rId14" Type="http://schemas.openxmlformats.org/officeDocument/2006/relationships/hyperlink" Target="http://www.truck.net.au/industry-resources/future-strategy-road-supply-and-charging-austral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03AEC-E329-4333-B5F1-95CAC0FAD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3364</TotalTime>
  <Pages>13</Pages>
  <Words>4577</Words>
  <Characters>27242</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SUBMISSION PROPOSED HEAVY VEHICLE NATIONAL LAWS</vt:lpstr>
    </vt:vector>
  </TitlesOfParts>
  <Company>HP</Company>
  <LinksUpToDate>false</LinksUpToDate>
  <CharactersWithSpaces>31756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PROPOSED HEAVY VEHICLE NATIONAL LAWS</dc:title>
  <dc:creator>harbers;mckinleyb</dc:creator>
  <cp:lastModifiedBy>Sarah Harber</cp:lastModifiedBy>
  <cp:revision>40</cp:revision>
  <cp:lastPrinted>2015-05-26T06:50:00Z</cp:lastPrinted>
  <dcterms:created xsi:type="dcterms:W3CDTF">2015-04-24T05:19:00Z</dcterms:created>
  <dcterms:modified xsi:type="dcterms:W3CDTF">2015-05-26T07:14:00Z</dcterms:modified>
</cp:coreProperties>
</file>