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9" w:type="dxa"/>
        <w:tblLook w:val="04A0" w:firstRow="1" w:lastRow="0" w:firstColumn="1" w:lastColumn="0" w:noHBand="0" w:noVBand="1"/>
      </w:tblPr>
      <w:tblGrid>
        <w:gridCol w:w="1985"/>
        <w:gridCol w:w="8244"/>
      </w:tblGrid>
      <w:tr w:rsidR="00D735FF" w:rsidRPr="00560488" w:rsidTr="004405E7">
        <w:trPr>
          <w:trHeight w:val="811"/>
        </w:trPr>
        <w:tc>
          <w:tcPr>
            <w:tcW w:w="1985" w:type="dxa"/>
            <w:vAlign w:val="center"/>
          </w:tcPr>
          <w:p w:rsidR="00D735FF" w:rsidRPr="00560488" w:rsidRDefault="00D735FF" w:rsidP="00F56A53">
            <w:pPr>
              <w:pStyle w:val="Header"/>
              <w:jc w:val="both"/>
              <w:rPr>
                <w:rFonts w:asciiTheme="minorHAnsi" w:hAnsiTheme="minorHAnsi" w:cs="Arial"/>
                <w:b/>
                <w:sz w:val="28"/>
                <w:szCs w:val="20"/>
              </w:rPr>
            </w:pPr>
            <w:r w:rsidRPr="00560488">
              <w:rPr>
                <w:rFonts w:asciiTheme="minorHAnsi" w:hAnsiTheme="minorHAnsi" w:cs="Arial"/>
                <w:b/>
                <w:sz w:val="28"/>
                <w:szCs w:val="20"/>
              </w:rPr>
              <w:t>Submission to:</w:t>
            </w:r>
          </w:p>
        </w:tc>
        <w:tc>
          <w:tcPr>
            <w:tcW w:w="8244" w:type="dxa"/>
            <w:vAlign w:val="center"/>
          </w:tcPr>
          <w:p w:rsidR="00D735FF" w:rsidRPr="00560488" w:rsidRDefault="004405E7" w:rsidP="00F56A53">
            <w:pPr>
              <w:pStyle w:val="Header"/>
              <w:rPr>
                <w:rFonts w:asciiTheme="minorHAnsi" w:hAnsiTheme="minorHAnsi" w:cs="Arial"/>
                <w:sz w:val="28"/>
                <w:szCs w:val="20"/>
              </w:rPr>
            </w:pPr>
            <w:r w:rsidRPr="00560488">
              <w:rPr>
                <w:rFonts w:asciiTheme="minorHAnsi" w:hAnsiTheme="minorHAnsi" w:cs="Arial"/>
                <w:sz w:val="28"/>
                <w:szCs w:val="20"/>
              </w:rPr>
              <w:t>NTC</w:t>
            </w:r>
            <w:r w:rsidR="00A54132" w:rsidRPr="00560488">
              <w:rPr>
                <w:rFonts w:asciiTheme="minorHAnsi" w:hAnsiTheme="minorHAnsi" w:cs="Arial"/>
                <w:sz w:val="28"/>
                <w:szCs w:val="20"/>
              </w:rPr>
              <w:t xml:space="preserve"> </w:t>
            </w:r>
            <w:r w:rsidRPr="00560488">
              <w:rPr>
                <w:rFonts w:asciiTheme="minorHAnsi" w:hAnsiTheme="minorHAnsi" w:cs="Arial"/>
                <w:sz w:val="28"/>
                <w:szCs w:val="20"/>
              </w:rPr>
              <w:t>and NHVR</w:t>
            </w:r>
          </w:p>
        </w:tc>
      </w:tr>
      <w:tr w:rsidR="00D735FF" w:rsidRPr="00560488" w:rsidTr="004405E7">
        <w:trPr>
          <w:trHeight w:val="811"/>
        </w:trPr>
        <w:tc>
          <w:tcPr>
            <w:tcW w:w="1985" w:type="dxa"/>
            <w:vAlign w:val="center"/>
          </w:tcPr>
          <w:p w:rsidR="00D735FF" w:rsidRPr="00560488" w:rsidRDefault="00D735FF" w:rsidP="00F56A53">
            <w:pPr>
              <w:pStyle w:val="Header"/>
              <w:jc w:val="both"/>
              <w:rPr>
                <w:rFonts w:asciiTheme="minorHAnsi" w:hAnsiTheme="minorHAnsi" w:cs="Arial"/>
                <w:b/>
                <w:sz w:val="28"/>
                <w:szCs w:val="20"/>
              </w:rPr>
            </w:pPr>
            <w:r w:rsidRPr="00560488">
              <w:rPr>
                <w:rFonts w:asciiTheme="minorHAnsi" w:hAnsiTheme="minorHAnsi" w:cs="Arial"/>
                <w:b/>
                <w:sz w:val="28"/>
                <w:szCs w:val="20"/>
              </w:rPr>
              <w:t>Title:</w:t>
            </w:r>
          </w:p>
        </w:tc>
        <w:tc>
          <w:tcPr>
            <w:tcW w:w="8244" w:type="dxa"/>
            <w:vAlign w:val="center"/>
          </w:tcPr>
          <w:p w:rsidR="00D735FF" w:rsidRPr="00560488" w:rsidRDefault="004405E7" w:rsidP="00F56A53">
            <w:pPr>
              <w:pStyle w:val="Header"/>
              <w:rPr>
                <w:rFonts w:asciiTheme="minorHAnsi" w:hAnsiTheme="minorHAnsi" w:cs="Arial"/>
                <w:sz w:val="28"/>
                <w:szCs w:val="20"/>
              </w:rPr>
            </w:pPr>
            <w:r w:rsidRPr="00560488">
              <w:rPr>
                <w:rFonts w:asciiTheme="minorHAnsi" w:hAnsiTheme="minorHAnsi" w:cs="Arial"/>
                <w:sz w:val="28"/>
                <w:szCs w:val="20"/>
              </w:rPr>
              <w:t>Heavy Vehicle Roadworthiness Review – Phase 2 integrity review</w:t>
            </w:r>
          </w:p>
        </w:tc>
      </w:tr>
      <w:tr w:rsidR="00D735FF" w:rsidRPr="00560488" w:rsidTr="004405E7">
        <w:trPr>
          <w:trHeight w:val="811"/>
        </w:trPr>
        <w:tc>
          <w:tcPr>
            <w:tcW w:w="1985" w:type="dxa"/>
            <w:vAlign w:val="center"/>
          </w:tcPr>
          <w:p w:rsidR="00D735FF" w:rsidRPr="00560488" w:rsidRDefault="00D735FF" w:rsidP="00F56A53">
            <w:pPr>
              <w:pStyle w:val="Header"/>
              <w:jc w:val="both"/>
              <w:rPr>
                <w:rFonts w:asciiTheme="minorHAnsi" w:hAnsiTheme="minorHAnsi" w:cs="Arial"/>
                <w:b/>
                <w:sz w:val="28"/>
                <w:szCs w:val="20"/>
              </w:rPr>
            </w:pPr>
            <w:r w:rsidRPr="00560488">
              <w:rPr>
                <w:rFonts w:asciiTheme="minorHAnsi" w:hAnsiTheme="minorHAnsi" w:cs="Arial"/>
                <w:b/>
                <w:sz w:val="28"/>
                <w:szCs w:val="20"/>
              </w:rPr>
              <w:t>Date:</w:t>
            </w:r>
          </w:p>
        </w:tc>
        <w:tc>
          <w:tcPr>
            <w:tcW w:w="8244" w:type="dxa"/>
            <w:vAlign w:val="center"/>
          </w:tcPr>
          <w:p w:rsidR="00D735FF" w:rsidRPr="00560488" w:rsidRDefault="004405E7" w:rsidP="00F56A53">
            <w:pPr>
              <w:pStyle w:val="Header"/>
              <w:rPr>
                <w:rFonts w:asciiTheme="minorHAnsi" w:hAnsiTheme="minorHAnsi" w:cs="Arial"/>
                <w:sz w:val="28"/>
                <w:szCs w:val="20"/>
              </w:rPr>
            </w:pPr>
            <w:r w:rsidRPr="00560488">
              <w:rPr>
                <w:rFonts w:asciiTheme="minorHAnsi" w:hAnsiTheme="minorHAnsi" w:cs="Arial"/>
                <w:sz w:val="28"/>
                <w:szCs w:val="20"/>
              </w:rPr>
              <w:t>19 September</w:t>
            </w:r>
            <w:r w:rsidR="00A54132" w:rsidRPr="00560488">
              <w:rPr>
                <w:rFonts w:asciiTheme="minorHAnsi" w:hAnsiTheme="minorHAnsi" w:cs="Arial"/>
                <w:sz w:val="28"/>
                <w:szCs w:val="20"/>
              </w:rPr>
              <w:t xml:space="preserve"> 2014</w:t>
            </w:r>
          </w:p>
        </w:tc>
      </w:tr>
    </w:tbl>
    <w:p w:rsidR="00D735FF" w:rsidRPr="00560488" w:rsidRDefault="00D735FF" w:rsidP="00F56A53">
      <w:pPr>
        <w:pStyle w:val="Header"/>
        <w:jc w:val="both"/>
        <w:rPr>
          <w:rFonts w:asciiTheme="minorHAnsi" w:hAnsiTheme="minorHAnsi" w:cs="Arial"/>
          <w:sz w:val="28"/>
          <w:szCs w:val="20"/>
        </w:rPr>
      </w:pPr>
    </w:p>
    <w:p w:rsidR="00D735FF" w:rsidRPr="00560488" w:rsidRDefault="00D735FF" w:rsidP="00F56A53">
      <w:pPr>
        <w:pStyle w:val="Header"/>
        <w:jc w:val="both"/>
        <w:rPr>
          <w:rFonts w:asciiTheme="minorHAnsi" w:hAnsiTheme="minorHAnsi" w:cs="Arial"/>
          <w:sz w:val="20"/>
          <w:szCs w:val="20"/>
        </w:rPr>
      </w:pPr>
    </w:p>
    <w:p w:rsidR="00576ED0" w:rsidRPr="00560488" w:rsidRDefault="00576ED0" w:rsidP="00F56A53">
      <w:pPr>
        <w:pStyle w:val="Header"/>
        <w:jc w:val="both"/>
        <w:rPr>
          <w:rFonts w:asciiTheme="minorHAnsi" w:hAnsiTheme="minorHAnsi" w:cs="Arial"/>
          <w:sz w:val="20"/>
          <w:szCs w:val="20"/>
        </w:rPr>
      </w:pPr>
    </w:p>
    <w:p w:rsidR="00576ED0" w:rsidRPr="00560488" w:rsidRDefault="00576ED0" w:rsidP="00F56A53">
      <w:pPr>
        <w:jc w:val="both"/>
        <w:rPr>
          <w:rFonts w:asciiTheme="minorHAnsi" w:hAnsiTheme="minorHAnsi" w:cs="Arial"/>
          <w:sz w:val="20"/>
          <w:szCs w:val="20"/>
          <w:lang w:val="en-GB"/>
        </w:rPr>
        <w:sectPr w:rsidR="00576ED0" w:rsidRPr="00560488" w:rsidSect="005F5ACC">
          <w:headerReference w:type="even" r:id="rId8"/>
          <w:headerReference w:type="default" r:id="rId9"/>
          <w:footerReference w:type="even" r:id="rId10"/>
          <w:footerReference w:type="default" r:id="rId11"/>
          <w:headerReference w:type="first" r:id="rId12"/>
          <w:footerReference w:type="first" r:id="rId13"/>
          <w:pgSz w:w="11906" w:h="16838"/>
          <w:pgMar w:top="5103" w:right="1133" w:bottom="1418" w:left="1134" w:header="851" w:footer="651" w:gutter="0"/>
          <w:cols w:space="708"/>
          <w:docGrid w:linePitch="360"/>
        </w:sectPr>
      </w:pPr>
    </w:p>
    <w:p w:rsidR="00576ED0" w:rsidRPr="00560488" w:rsidRDefault="00576ED0" w:rsidP="00F56A53">
      <w:pPr>
        <w:jc w:val="both"/>
        <w:rPr>
          <w:rFonts w:asciiTheme="minorHAnsi" w:hAnsiTheme="minorHAnsi" w:cs="Arial"/>
          <w:sz w:val="20"/>
          <w:szCs w:val="20"/>
        </w:rPr>
      </w:pPr>
    </w:p>
    <w:p w:rsidR="0035493A" w:rsidRPr="00560488" w:rsidRDefault="0035493A" w:rsidP="00F56A53">
      <w:pPr>
        <w:jc w:val="both"/>
        <w:rPr>
          <w:rFonts w:asciiTheme="minorHAnsi" w:hAnsiTheme="minorHAnsi" w:cs="Arial"/>
          <w:sz w:val="20"/>
          <w:szCs w:val="20"/>
        </w:rPr>
      </w:pPr>
    </w:p>
    <w:p w:rsidR="0035493A" w:rsidRPr="00560488" w:rsidRDefault="0035493A" w:rsidP="00F56A53">
      <w:pPr>
        <w:jc w:val="both"/>
        <w:rPr>
          <w:rFonts w:asciiTheme="minorHAnsi" w:hAnsiTheme="minorHAnsi" w:cs="Arial"/>
          <w:sz w:val="20"/>
          <w:szCs w:val="20"/>
        </w:rPr>
      </w:pPr>
    </w:p>
    <w:p w:rsidR="0035493A" w:rsidRPr="00560488" w:rsidRDefault="0035493A" w:rsidP="00F56A53">
      <w:pPr>
        <w:jc w:val="both"/>
        <w:rPr>
          <w:rFonts w:asciiTheme="minorHAnsi" w:hAnsiTheme="minorHAnsi" w:cs="Arial"/>
          <w:sz w:val="24"/>
          <w:szCs w:val="20"/>
        </w:rPr>
      </w:pPr>
    </w:p>
    <w:p w:rsidR="0035493A" w:rsidRPr="00560488" w:rsidRDefault="003B74E4" w:rsidP="00F56A53">
      <w:pPr>
        <w:jc w:val="both"/>
        <w:rPr>
          <w:rFonts w:asciiTheme="minorHAnsi" w:hAnsiTheme="minorHAnsi" w:cs="Arial"/>
          <w:b/>
          <w:sz w:val="24"/>
          <w:szCs w:val="20"/>
        </w:rPr>
      </w:pPr>
      <w:r w:rsidRPr="00560488">
        <w:rPr>
          <w:rFonts w:asciiTheme="minorHAnsi" w:hAnsiTheme="minorHAnsi" w:cs="Arial"/>
          <w:b/>
          <w:sz w:val="24"/>
          <w:szCs w:val="20"/>
        </w:rPr>
        <w:t>Contents</w:t>
      </w:r>
    </w:p>
    <w:p w:rsidR="00576ED0" w:rsidRPr="00560488" w:rsidRDefault="00576ED0" w:rsidP="00F56A53">
      <w:pPr>
        <w:jc w:val="both"/>
        <w:rPr>
          <w:rFonts w:asciiTheme="minorHAnsi" w:hAnsiTheme="minorHAnsi" w:cs="Arial"/>
          <w:sz w:val="24"/>
          <w:szCs w:val="20"/>
        </w:rPr>
      </w:pPr>
    </w:p>
    <w:p w:rsidR="00190284" w:rsidRPr="00560488" w:rsidRDefault="007073BB" w:rsidP="00F56A53">
      <w:pPr>
        <w:pStyle w:val="TOC1"/>
        <w:spacing w:before="0" w:after="0" w:afterAutospacing="0"/>
        <w:rPr>
          <w:rFonts w:asciiTheme="minorHAnsi" w:eastAsiaTheme="minorEastAsia" w:hAnsiTheme="minorHAnsi" w:cstheme="minorBidi"/>
          <w:b w:val="0"/>
          <w:color w:val="auto"/>
          <w:sz w:val="22"/>
          <w:szCs w:val="22"/>
          <w:lang w:eastAsia="en-AU"/>
        </w:rPr>
      </w:pPr>
      <w:r w:rsidRPr="00560488">
        <w:rPr>
          <w:rFonts w:cs="Arial"/>
          <w:color w:val="auto"/>
          <w:sz w:val="22"/>
          <w:szCs w:val="24"/>
        </w:rPr>
        <w:fldChar w:fldCharType="begin"/>
      </w:r>
      <w:r w:rsidR="0035493A" w:rsidRPr="00560488">
        <w:rPr>
          <w:rFonts w:cs="Arial"/>
          <w:color w:val="auto"/>
          <w:sz w:val="22"/>
          <w:szCs w:val="24"/>
        </w:rPr>
        <w:instrText xml:space="preserve"> TOC \o "1-2" \t "ATA Heading 2,2" </w:instrText>
      </w:r>
      <w:r w:rsidRPr="00560488">
        <w:rPr>
          <w:rFonts w:cs="Arial"/>
          <w:color w:val="auto"/>
          <w:sz w:val="22"/>
          <w:szCs w:val="24"/>
        </w:rPr>
        <w:fldChar w:fldCharType="separate"/>
      </w:r>
      <w:r w:rsidR="00190284" w:rsidRPr="00560488">
        <w:rPr>
          <w:rFonts w:asciiTheme="minorHAnsi" w:hAnsiTheme="minorHAnsi"/>
          <w:color w:val="auto"/>
          <w:sz w:val="22"/>
          <w:szCs w:val="22"/>
        </w:rPr>
        <w:t>1.</w:t>
      </w:r>
      <w:r w:rsidR="00190284" w:rsidRPr="00560488">
        <w:rPr>
          <w:rFonts w:asciiTheme="minorHAnsi" w:eastAsiaTheme="minorEastAsia" w:hAnsiTheme="minorHAnsi" w:cstheme="minorBidi"/>
          <w:b w:val="0"/>
          <w:color w:val="auto"/>
          <w:sz w:val="22"/>
          <w:szCs w:val="22"/>
          <w:lang w:eastAsia="en-AU"/>
        </w:rPr>
        <w:tab/>
      </w:r>
      <w:r w:rsidR="00190284" w:rsidRPr="00560488">
        <w:rPr>
          <w:rFonts w:asciiTheme="minorHAnsi" w:hAnsiTheme="minorHAnsi"/>
          <w:color w:val="auto"/>
          <w:sz w:val="22"/>
          <w:szCs w:val="22"/>
        </w:rPr>
        <w:t>Introduction</w:t>
      </w:r>
      <w:r w:rsidR="00190284" w:rsidRPr="00560488">
        <w:rPr>
          <w:rFonts w:asciiTheme="minorHAnsi" w:hAnsiTheme="minorHAnsi"/>
          <w:color w:val="auto"/>
          <w:sz w:val="22"/>
          <w:szCs w:val="22"/>
        </w:rPr>
        <w:tab/>
      </w:r>
      <w:r w:rsidRPr="00560488">
        <w:rPr>
          <w:rFonts w:asciiTheme="minorHAnsi" w:hAnsiTheme="minorHAnsi"/>
          <w:color w:val="auto"/>
          <w:sz w:val="22"/>
          <w:szCs w:val="22"/>
        </w:rPr>
        <w:fldChar w:fldCharType="begin"/>
      </w:r>
      <w:r w:rsidR="00190284" w:rsidRPr="00560488">
        <w:rPr>
          <w:rFonts w:asciiTheme="minorHAnsi" w:hAnsiTheme="minorHAnsi"/>
          <w:color w:val="auto"/>
          <w:sz w:val="22"/>
          <w:szCs w:val="22"/>
        </w:rPr>
        <w:instrText xml:space="preserve"> PAGEREF _Toc398126234 \h </w:instrText>
      </w:r>
      <w:r w:rsidRPr="00560488">
        <w:rPr>
          <w:rFonts w:asciiTheme="minorHAnsi" w:hAnsiTheme="minorHAnsi"/>
          <w:color w:val="auto"/>
          <w:sz w:val="22"/>
          <w:szCs w:val="22"/>
        </w:rPr>
      </w:r>
      <w:r w:rsidRPr="00560488">
        <w:rPr>
          <w:rFonts w:asciiTheme="minorHAnsi" w:hAnsiTheme="minorHAnsi"/>
          <w:color w:val="auto"/>
          <w:sz w:val="22"/>
          <w:szCs w:val="22"/>
        </w:rPr>
        <w:fldChar w:fldCharType="separate"/>
      </w:r>
      <w:r w:rsidR="0084309B">
        <w:rPr>
          <w:rFonts w:asciiTheme="minorHAnsi" w:hAnsiTheme="minorHAnsi"/>
          <w:color w:val="auto"/>
          <w:sz w:val="22"/>
          <w:szCs w:val="22"/>
        </w:rPr>
        <w:t>3</w:t>
      </w:r>
      <w:r w:rsidRPr="00560488">
        <w:rPr>
          <w:rFonts w:asciiTheme="minorHAnsi" w:hAnsiTheme="minorHAnsi"/>
          <w:color w:val="auto"/>
          <w:sz w:val="22"/>
          <w:szCs w:val="22"/>
        </w:rPr>
        <w:fldChar w:fldCharType="end"/>
      </w:r>
    </w:p>
    <w:p w:rsidR="00CA6813" w:rsidRPr="00560488" w:rsidRDefault="00CA6813" w:rsidP="00F56A53">
      <w:pPr>
        <w:pStyle w:val="TOC1"/>
        <w:spacing w:before="0" w:after="0" w:afterAutospacing="0"/>
        <w:rPr>
          <w:rFonts w:asciiTheme="minorHAnsi" w:hAnsiTheme="minorHAnsi"/>
          <w:color w:val="auto"/>
          <w:sz w:val="22"/>
          <w:szCs w:val="22"/>
        </w:rPr>
      </w:pPr>
    </w:p>
    <w:p w:rsidR="00190284" w:rsidRPr="00560488" w:rsidRDefault="00190284" w:rsidP="00F56A53">
      <w:pPr>
        <w:pStyle w:val="TOC1"/>
        <w:spacing w:before="0" w:after="0" w:afterAutospacing="0"/>
        <w:rPr>
          <w:rFonts w:asciiTheme="minorHAnsi" w:eastAsiaTheme="minorEastAsia" w:hAnsiTheme="minorHAnsi" w:cstheme="minorBidi"/>
          <w:b w:val="0"/>
          <w:color w:val="auto"/>
          <w:sz w:val="22"/>
          <w:szCs w:val="22"/>
          <w:lang w:eastAsia="en-AU"/>
        </w:rPr>
      </w:pPr>
      <w:r w:rsidRPr="00560488">
        <w:rPr>
          <w:rFonts w:asciiTheme="minorHAnsi" w:hAnsiTheme="minorHAnsi"/>
          <w:color w:val="auto"/>
          <w:sz w:val="22"/>
          <w:szCs w:val="22"/>
        </w:rPr>
        <w:t>2.</w:t>
      </w:r>
      <w:r w:rsidRPr="00560488">
        <w:rPr>
          <w:rFonts w:asciiTheme="minorHAnsi" w:eastAsiaTheme="minorEastAsia" w:hAnsiTheme="minorHAnsi" w:cstheme="minorBidi"/>
          <w:b w:val="0"/>
          <w:color w:val="auto"/>
          <w:sz w:val="22"/>
          <w:szCs w:val="22"/>
          <w:lang w:eastAsia="en-AU"/>
        </w:rPr>
        <w:tab/>
      </w:r>
      <w:r w:rsidRPr="00560488">
        <w:rPr>
          <w:rFonts w:asciiTheme="minorHAnsi" w:hAnsiTheme="minorHAnsi"/>
          <w:color w:val="auto"/>
          <w:sz w:val="22"/>
          <w:szCs w:val="22"/>
        </w:rPr>
        <w:t>Australian Trucking Association</w:t>
      </w:r>
      <w:r w:rsidRPr="00560488">
        <w:rPr>
          <w:rFonts w:asciiTheme="minorHAnsi" w:hAnsiTheme="minorHAnsi"/>
          <w:color w:val="auto"/>
          <w:sz w:val="22"/>
          <w:szCs w:val="22"/>
        </w:rPr>
        <w:tab/>
      </w:r>
      <w:r w:rsidR="007073BB" w:rsidRPr="00560488">
        <w:rPr>
          <w:rFonts w:asciiTheme="minorHAnsi" w:hAnsiTheme="minorHAnsi"/>
          <w:color w:val="auto"/>
          <w:sz w:val="22"/>
          <w:szCs w:val="22"/>
        </w:rPr>
        <w:fldChar w:fldCharType="begin"/>
      </w:r>
      <w:r w:rsidRPr="00560488">
        <w:rPr>
          <w:rFonts w:asciiTheme="minorHAnsi" w:hAnsiTheme="minorHAnsi"/>
          <w:color w:val="auto"/>
          <w:sz w:val="22"/>
          <w:szCs w:val="22"/>
        </w:rPr>
        <w:instrText xml:space="preserve"> PAGEREF _Toc398126235 \h </w:instrText>
      </w:r>
      <w:r w:rsidR="007073BB" w:rsidRPr="00560488">
        <w:rPr>
          <w:rFonts w:asciiTheme="minorHAnsi" w:hAnsiTheme="minorHAnsi"/>
          <w:color w:val="auto"/>
          <w:sz w:val="22"/>
          <w:szCs w:val="22"/>
        </w:rPr>
      </w:r>
      <w:r w:rsidR="007073BB" w:rsidRPr="00560488">
        <w:rPr>
          <w:rFonts w:asciiTheme="minorHAnsi" w:hAnsiTheme="minorHAnsi"/>
          <w:color w:val="auto"/>
          <w:sz w:val="22"/>
          <w:szCs w:val="22"/>
        </w:rPr>
        <w:fldChar w:fldCharType="separate"/>
      </w:r>
      <w:r w:rsidR="0084309B">
        <w:rPr>
          <w:rFonts w:asciiTheme="minorHAnsi" w:hAnsiTheme="minorHAnsi"/>
          <w:color w:val="auto"/>
          <w:sz w:val="22"/>
          <w:szCs w:val="22"/>
        </w:rPr>
        <w:t>3</w:t>
      </w:r>
      <w:r w:rsidR="007073BB" w:rsidRPr="00560488">
        <w:rPr>
          <w:rFonts w:asciiTheme="minorHAnsi" w:hAnsiTheme="minorHAnsi"/>
          <w:color w:val="auto"/>
          <w:sz w:val="22"/>
          <w:szCs w:val="22"/>
        </w:rPr>
        <w:fldChar w:fldCharType="end"/>
      </w:r>
    </w:p>
    <w:p w:rsidR="00CA6813" w:rsidRPr="00560488" w:rsidRDefault="00CA6813" w:rsidP="00F56A53">
      <w:pPr>
        <w:pStyle w:val="TOC1"/>
        <w:spacing w:before="0" w:after="0" w:afterAutospacing="0"/>
        <w:rPr>
          <w:rFonts w:asciiTheme="minorHAnsi" w:hAnsiTheme="minorHAnsi"/>
          <w:color w:val="auto"/>
          <w:sz w:val="22"/>
          <w:szCs w:val="22"/>
        </w:rPr>
      </w:pPr>
    </w:p>
    <w:p w:rsidR="00190284" w:rsidRPr="00560488" w:rsidRDefault="00190284" w:rsidP="00F56A53">
      <w:pPr>
        <w:pStyle w:val="TOC1"/>
        <w:spacing w:before="0" w:after="0" w:afterAutospacing="0"/>
        <w:rPr>
          <w:rFonts w:asciiTheme="minorHAnsi" w:eastAsiaTheme="minorEastAsia" w:hAnsiTheme="minorHAnsi" w:cstheme="minorBidi"/>
          <w:b w:val="0"/>
          <w:color w:val="auto"/>
          <w:sz w:val="22"/>
          <w:szCs w:val="22"/>
          <w:lang w:eastAsia="en-AU"/>
        </w:rPr>
      </w:pPr>
      <w:r w:rsidRPr="00560488">
        <w:rPr>
          <w:rFonts w:asciiTheme="minorHAnsi" w:hAnsiTheme="minorHAnsi"/>
          <w:color w:val="auto"/>
          <w:sz w:val="22"/>
          <w:szCs w:val="22"/>
        </w:rPr>
        <w:t>3.</w:t>
      </w:r>
      <w:r w:rsidRPr="00560488">
        <w:rPr>
          <w:rFonts w:asciiTheme="minorHAnsi" w:eastAsiaTheme="minorEastAsia" w:hAnsiTheme="minorHAnsi" w:cstheme="minorBidi"/>
          <w:b w:val="0"/>
          <w:color w:val="auto"/>
          <w:sz w:val="22"/>
          <w:szCs w:val="22"/>
          <w:lang w:eastAsia="en-AU"/>
        </w:rPr>
        <w:tab/>
      </w:r>
      <w:r w:rsidRPr="00560488">
        <w:rPr>
          <w:rFonts w:asciiTheme="minorHAnsi" w:hAnsiTheme="minorHAnsi"/>
          <w:color w:val="auto"/>
          <w:sz w:val="22"/>
          <w:szCs w:val="22"/>
        </w:rPr>
        <w:t>Recommendations</w:t>
      </w:r>
      <w:r w:rsidRPr="00560488">
        <w:rPr>
          <w:rFonts w:asciiTheme="minorHAnsi" w:hAnsiTheme="minorHAnsi"/>
          <w:color w:val="auto"/>
          <w:sz w:val="22"/>
          <w:szCs w:val="22"/>
        </w:rPr>
        <w:tab/>
      </w:r>
      <w:r w:rsidR="007073BB" w:rsidRPr="00560488">
        <w:rPr>
          <w:rFonts w:asciiTheme="minorHAnsi" w:hAnsiTheme="minorHAnsi"/>
          <w:color w:val="auto"/>
          <w:sz w:val="22"/>
          <w:szCs w:val="22"/>
        </w:rPr>
        <w:fldChar w:fldCharType="begin"/>
      </w:r>
      <w:r w:rsidRPr="00560488">
        <w:rPr>
          <w:rFonts w:asciiTheme="minorHAnsi" w:hAnsiTheme="minorHAnsi"/>
          <w:color w:val="auto"/>
          <w:sz w:val="22"/>
          <w:szCs w:val="22"/>
        </w:rPr>
        <w:instrText xml:space="preserve"> PAGEREF _Toc398126236 \h </w:instrText>
      </w:r>
      <w:r w:rsidR="007073BB" w:rsidRPr="00560488">
        <w:rPr>
          <w:rFonts w:asciiTheme="minorHAnsi" w:hAnsiTheme="minorHAnsi"/>
          <w:color w:val="auto"/>
          <w:sz w:val="22"/>
          <w:szCs w:val="22"/>
        </w:rPr>
      </w:r>
      <w:r w:rsidR="007073BB" w:rsidRPr="00560488">
        <w:rPr>
          <w:rFonts w:asciiTheme="minorHAnsi" w:hAnsiTheme="minorHAnsi"/>
          <w:color w:val="auto"/>
          <w:sz w:val="22"/>
          <w:szCs w:val="22"/>
        </w:rPr>
        <w:fldChar w:fldCharType="separate"/>
      </w:r>
      <w:r w:rsidR="0084309B">
        <w:rPr>
          <w:rFonts w:asciiTheme="minorHAnsi" w:hAnsiTheme="minorHAnsi"/>
          <w:color w:val="auto"/>
          <w:sz w:val="22"/>
          <w:szCs w:val="22"/>
        </w:rPr>
        <w:t>3</w:t>
      </w:r>
      <w:r w:rsidR="007073BB" w:rsidRPr="00560488">
        <w:rPr>
          <w:rFonts w:asciiTheme="minorHAnsi" w:hAnsiTheme="minorHAnsi"/>
          <w:color w:val="auto"/>
          <w:sz w:val="22"/>
          <w:szCs w:val="22"/>
        </w:rPr>
        <w:fldChar w:fldCharType="end"/>
      </w:r>
    </w:p>
    <w:p w:rsidR="00CA6813" w:rsidRPr="00560488" w:rsidRDefault="00CA6813" w:rsidP="00F56A53">
      <w:pPr>
        <w:pStyle w:val="TOC1"/>
        <w:spacing w:before="0" w:after="0" w:afterAutospacing="0"/>
        <w:rPr>
          <w:rFonts w:asciiTheme="minorHAnsi" w:hAnsiTheme="minorHAnsi"/>
          <w:color w:val="auto"/>
          <w:sz w:val="22"/>
          <w:szCs w:val="22"/>
        </w:rPr>
      </w:pPr>
    </w:p>
    <w:p w:rsidR="00190284" w:rsidRPr="00560488" w:rsidRDefault="007F5E51" w:rsidP="00F56A53">
      <w:pPr>
        <w:pStyle w:val="TOC1"/>
        <w:spacing w:before="0" w:after="0" w:afterAutospacing="0"/>
        <w:rPr>
          <w:rFonts w:asciiTheme="minorHAnsi" w:eastAsiaTheme="minorEastAsia" w:hAnsiTheme="minorHAnsi" w:cstheme="minorBidi"/>
          <w:b w:val="0"/>
          <w:color w:val="auto"/>
          <w:sz w:val="22"/>
          <w:szCs w:val="22"/>
          <w:lang w:eastAsia="en-AU"/>
        </w:rPr>
      </w:pPr>
      <w:r w:rsidRPr="00560488">
        <w:rPr>
          <w:rFonts w:asciiTheme="minorHAnsi" w:hAnsiTheme="minorHAnsi"/>
          <w:color w:val="auto"/>
          <w:sz w:val="22"/>
          <w:szCs w:val="22"/>
        </w:rPr>
        <w:t>4</w:t>
      </w:r>
      <w:r w:rsidR="00190284" w:rsidRPr="00560488">
        <w:rPr>
          <w:rFonts w:asciiTheme="minorHAnsi" w:eastAsiaTheme="minorEastAsia" w:hAnsiTheme="minorHAnsi" w:cstheme="minorBidi"/>
          <w:b w:val="0"/>
          <w:color w:val="auto"/>
          <w:sz w:val="22"/>
          <w:szCs w:val="22"/>
          <w:lang w:eastAsia="en-AU"/>
        </w:rPr>
        <w:tab/>
      </w:r>
      <w:r w:rsidR="00190284" w:rsidRPr="00560488">
        <w:rPr>
          <w:rFonts w:asciiTheme="minorHAnsi" w:hAnsiTheme="minorHAnsi"/>
          <w:color w:val="auto"/>
          <w:sz w:val="22"/>
          <w:szCs w:val="22"/>
        </w:rPr>
        <w:t>Roadworthiness</w:t>
      </w:r>
      <w:r w:rsidR="00190284" w:rsidRPr="00560488">
        <w:rPr>
          <w:rFonts w:asciiTheme="minorHAnsi" w:hAnsiTheme="minorHAnsi"/>
          <w:color w:val="auto"/>
          <w:sz w:val="22"/>
          <w:szCs w:val="22"/>
        </w:rPr>
        <w:tab/>
      </w:r>
      <w:r w:rsidR="007073BB" w:rsidRPr="00560488">
        <w:rPr>
          <w:rFonts w:asciiTheme="minorHAnsi" w:hAnsiTheme="minorHAnsi"/>
          <w:color w:val="auto"/>
          <w:sz w:val="22"/>
          <w:szCs w:val="22"/>
        </w:rPr>
        <w:fldChar w:fldCharType="begin"/>
      </w:r>
      <w:r w:rsidR="00190284" w:rsidRPr="00560488">
        <w:rPr>
          <w:rFonts w:asciiTheme="minorHAnsi" w:hAnsiTheme="minorHAnsi"/>
          <w:color w:val="auto"/>
          <w:sz w:val="22"/>
          <w:szCs w:val="22"/>
        </w:rPr>
        <w:instrText xml:space="preserve"> PAGEREF _Toc398126238 \h </w:instrText>
      </w:r>
      <w:r w:rsidR="007073BB" w:rsidRPr="00560488">
        <w:rPr>
          <w:rFonts w:asciiTheme="minorHAnsi" w:hAnsiTheme="minorHAnsi"/>
          <w:color w:val="auto"/>
          <w:sz w:val="22"/>
          <w:szCs w:val="22"/>
        </w:rPr>
      </w:r>
      <w:r w:rsidR="007073BB" w:rsidRPr="00560488">
        <w:rPr>
          <w:rFonts w:asciiTheme="minorHAnsi" w:hAnsiTheme="minorHAnsi"/>
          <w:color w:val="auto"/>
          <w:sz w:val="22"/>
          <w:szCs w:val="22"/>
        </w:rPr>
        <w:fldChar w:fldCharType="separate"/>
      </w:r>
      <w:r w:rsidR="0084309B">
        <w:rPr>
          <w:rFonts w:asciiTheme="minorHAnsi" w:hAnsiTheme="minorHAnsi"/>
          <w:color w:val="auto"/>
          <w:sz w:val="22"/>
          <w:szCs w:val="22"/>
        </w:rPr>
        <w:t>4</w:t>
      </w:r>
      <w:r w:rsidR="007073BB" w:rsidRPr="00560488">
        <w:rPr>
          <w:rFonts w:asciiTheme="minorHAnsi" w:hAnsiTheme="minorHAnsi"/>
          <w:color w:val="auto"/>
          <w:sz w:val="22"/>
          <w:szCs w:val="22"/>
        </w:rPr>
        <w:fldChar w:fldCharType="end"/>
      </w:r>
    </w:p>
    <w:p w:rsidR="00CA6813" w:rsidRPr="00560488" w:rsidRDefault="00CA6813" w:rsidP="00F56A53">
      <w:pPr>
        <w:pStyle w:val="TOC1"/>
        <w:spacing w:before="0" w:after="0" w:afterAutospacing="0"/>
        <w:rPr>
          <w:rFonts w:asciiTheme="minorHAnsi" w:hAnsiTheme="minorHAnsi"/>
          <w:color w:val="auto"/>
          <w:sz w:val="22"/>
          <w:szCs w:val="22"/>
        </w:rPr>
      </w:pPr>
    </w:p>
    <w:p w:rsidR="00190284" w:rsidRPr="00560488" w:rsidRDefault="007F5E51" w:rsidP="00F56A53">
      <w:pPr>
        <w:pStyle w:val="TOC1"/>
        <w:spacing w:before="0" w:after="0" w:afterAutospacing="0"/>
        <w:rPr>
          <w:rFonts w:asciiTheme="minorHAnsi" w:eastAsiaTheme="minorEastAsia" w:hAnsiTheme="minorHAnsi" w:cstheme="minorBidi"/>
          <w:b w:val="0"/>
          <w:color w:val="auto"/>
          <w:sz w:val="22"/>
          <w:szCs w:val="22"/>
          <w:lang w:eastAsia="en-AU"/>
        </w:rPr>
      </w:pPr>
      <w:r w:rsidRPr="00560488">
        <w:rPr>
          <w:rFonts w:asciiTheme="minorHAnsi" w:hAnsiTheme="minorHAnsi"/>
          <w:color w:val="auto"/>
          <w:sz w:val="22"/>
          <w:szCs w:val="22"/>
        </w:rPr>
        <w:t>5</w:t>
      </w:r>
      <w:r w:rsidR="00190284" w:rsidRPr="00560488">
        <w:rPr>
          <w:rFonts w:asciiTheme="minorHAnsi" w:eastAsiaTheme="minorEastAsia" w:hAnsiTheme="minorHAnsi" w:cstheme="minorBidi"/>
          <w:b w:val="0"/>
          <w:color w:val="auto"/>
          <w:sz w:val="22"/>
          <w:szCs w:val="22"/>
          <w:lang w:eastAsia="en-AU"/>
        </w:rPr>
        <w:tab/>
      </w:r>
      <w:r w:rsidR="00C02E9C" w:rsidRPr="00560488">
        <w:rPr>
          <w:rFonts w:asciiTheme="minorHAnsi" w:hAnsiTheme="minorHAnsi"/>
          <w:color w:val="auto"/>
          <w:sz w:val="22"/>
          <w:szCs w:val="22"/>
        </w:rPr>
        <w:t>V</w:t>
      </w:r>
      <w:r w:rsidR="00190284" w:rsidRPr="00560488">
        <w:rPr>
          <w:rFonts w:asciiTheme="minorHAnsi" w:hAnsiTheme="minorHAnsi"/>
          <w:color w:val="auto"/>
          <w:sz w:val="22"/>
          <w:szCs w:val="22"/>
        </w:rPr>
        <w:t>ehicle Standards</w:t>
      </w:r>
      <w:r w:rsidR="00190284" w:rsidRPr="00560488">
        <w:rPr>
          <w:rFonts w:asciiTheme="minorHAnsi" w:hAnsiTheme="minorHAnsi"/>
          <w:color w:val="auto"/>
          <w:sz w:val="22"/>
          <w:szCs w:val="22"/>
        </w:rPr>
        <w:tab/>
      </w:r>
      <w:r w:rsidR="007073BB" w:rsidRPr="00560488">
        <w:rPr>
          <w:rFonts w:asciiTheme="minorHAnsi" w:hAnsiTheme="minorHAnsi"/>
          <w:color w:val="auto"/>
          <w:sz w:val="22"/>
          <w:szCs w:val="22"/>
        </w:rPr>
        <w:fldChar w:fldCharType="begin"/>
      </w:r>
      <w:r w:rsidR="00190284" w:rsidRPr="00560488">
        <w:rPr>
          <w:rFonts w:asciiTheme="minorHAnsi" w:hAnsiTheme="minorHAnsi"/>
          <w:color w:val="auto"/>
          <w:sz w:val="22"/>
          <w:szCs w:val="22"/>
        </w:rPr>
        <w:instrText xml:space="preserve"> PAGEREF _Toc398126239 \h </w:instrText>
      </w:r>
      <w:r w:rsidR="007073BB" w:rsidRPr="00560488">
        <w:rPr>
          <w:rFonts w:asciiTheme="minorHAnsi" w:hAnsiTheme="minorHAnsi"/>
          <w:color w:val="auto"/>
          <w:sz w:val="22"/>
          <w:szCs w:val="22"/>
        </w:rPr>
      </w:r>
      <w:r w:rsidR="007073BB" w:rsidRPr="00560488">
        <w:rPr>
          <w:rFonts w:asciiTheme="minorHAnsi" w:hAnsiTheme="minorHAnsi"/>
          <w:color w:val="auto"/>
          <w:sz w:val="22"/>
          <w:szCs w:val="22"/>
        </w:rPr>
        <w:fldChar w:fldCharType="separate"/>
      </w:r>
      <w:r w:rsidR="0084309B">
        <w:rPr>
          <w:rFonts w:asciiTheme="minorHAnsi" w:hAnsiTheme="minorHAnsi"/>
          <w:color w:val="auto"/>
          <w:sz w:val="22"/>
          <w:szCs w:val="22"/>
        </w:rPr>
        <w:t>6</w:t>
      </w:r>
      <w:r w:rsidR="007073BB" w:rsidRPr="00560488">
        <w:rPr>
          <w:rFonts w:asciiTheme="minorHAnsi" w:hAnsiTheme="minorHAnsi"/>
          <w:color w:val="auto"/>
          <w:sz w:val="22"/>
          <w:szCs w:val="22"/>
        </w:rPr>
        <w:fldChar w:fldCharType="end"/>
      </w:r>
    </w:p>
    <w:p w:rsidR="00CA6813" w:rsidRPr="00560488" w:rsidRDefault="00CA6813" w:rsidP="00F56A53">
      <w:pPr>
        <w:pStyle w:val="TOC1"/>
        <w:spacing w:before="0" w:after="0" w:afterAutospacing="0"/>
        <w:rPr>
          <w:rFonts w:asciiTheme="minorHAnsi" w:hAnsiTheme="minorHAnsi"/>
          <w:color w:val="auto"/>
          <w:sz w:val="22"/>
          <w:szCs w:val="22"/>
        </w:rPr>
      </w:pPr>
    </w:p>
    <w:p w:rsidR="00190284" w:rsidRPr="00560488" w:rsidRDefault="007F5E51" w:rsidP="00F56A53">
      <w:pPr>
        <w:pStyle w:val="TOC1"/>
        <w:spacing w:before="0" w:after="0" w:afterAutospacing="0"/>
        <w:rPr>
          <w:rFonts w:asciiTheme="minorHAnsi" w:hAnsiTheme="minorHAnsi"/>
          <w:color w:val="auto"/>
          <w:sz w:val="22"/>
          <w:szCs w:val="22"/>
        </w:rPr>
      </w:pPr>
      <w:r w:rsidRPr="00560488">
        <w:rPr>
          <w:rFonts w:asciiTheme="minorHAnsi" w:hAnsiTheme="minorHAnsi"/>
          <w:color w:val="auto"/>
          <w:sz w:val="22"/>
          <w:szCs w:val="22"/>
        </w:rPr>
        <w:t>6</w:t>
      </w:r>
      <w:r w:rsidR="00190284" w:rsidRPr="00560488">
        <w:rPr>
          <w:rFonts w:asciiTheme="minorHAnsi" w:eastAsiaTheme="minorEastAsia" w:hAnsiTheme="minorHAnsi" w:cstheme="minorBidi"/>
          <w:b w:val="0"/>
          <w:color w:val="auto"/>
          <w:sz w:val="22"/>
          <w:szCs w:val="22"/>
          <w:lang w:eastAsia="en-AU"/>
        </w:rPr>
        <w:tab/>
      </w:r>
      <w:r w:rsidR="003B4BC0" w:rsidRPr="00560488">
        <w:rPr>
          <w:rFonts w:asciiTheme="minorHAnsi" w:hAnsiTheme="minorHAnsi"/>
          <w:color w:val="auto"/>
          <w:sz w:val="22"/>
          <w:szCs w:val="22"/>
        </w:rPr>
        <w:t xml:space="preserve">The </w:t>
      </w:r>
      <w:r w:rsidR="00190284" w:rsidRPr="00560488">
        <w:rPr>
          <w:rFonts w:asciiTheme="minorHAnsi" w:hAnsiTheme="minorHAnsi"/>
          <w:color w:val="auto"/>
          <w:sz w:val="22"/>
          <w:szCs w:val="22"/>
        </w:rPr>
        <w:t>NHVAS Review</w:t>
      </w:r>
      <w:r w:rsidR="00833A60" w:rsidRPr="00560488">
        <w:rPr>
          <w:rFonts w:asciiTheme="minorHAnsi" w:hAnsiTheme="minorHAnsi"/>
          <w:color w:val="auto"/>
          <w:sz w:val="22"/>
          <w:szCs w:val="22"/>
        </w:rPr>
        <w:t xml:space="preserve"> </w:t>
      </w:r>
      <w:r w:rsidR="00190284" w:rsidRPr="00560488">
        <w:rPr>
          <w:rFonts w:asciiTheme="minorHAnsi" w:hAnsiTheme="minorHAnsi"/>
          <w:color w:val="auto"/>
          <w:sz w:val="22"/>
          <w:szCs w:val="22"/>
        </w:rPr>
        <w:tab/>
      </w:r>
      <w:r w:rsidR="007073BB" w:rsidRPr="00560488">
        <w:rPr>
          <w:rFonts w:asciiTheme="minorHAnsi" w:hAnsiTheme="minorHAnsi"/>
          <w:color w:val="auto"/>
          <w:sz w:val="22"/>
          <w:szCs w:val="22"/>
        </w:rPr>
        <w:fldChar w:fldCharType="begin"/>
      </w:r>
      <w:r w:rsidR="00190284" w:rsidRPr="00560488">
        <w:rPr>
          <w:rFonts w:asciiTheme="minorHAnsi" w:hAnsiTheme="minorHAnsi"/>
          <w:color w:val="auto"/>
          <w:sz w:val="22"/>
          <w:szCs w:val="22"/>
        </w:rPr>
        <w:instrText xml:space="preserve"> PAGEREF _Toc398126242 \h </w:instrText>
      </w:r>
      <w:r w:rsidR="007073BB" w:rsidRPr="00560488">
        <w:rPr>
          <w:rFonts w:asciiTheme="minorHAnsi" w:hAnsiTheme="minorHAnsi"/>
          <w:color w:val="auto"/>
          <w:sz w:val="22"/>
          <w:szCs w:val="22"/>
        </w:rPr>
      </w:r>
      <w:r w:rsidR="007073BB" w:rsidRPr="00560488">
        <w:rPr>
          <w:rFonts w:asciiTheme="minorHAnsi" w:hAnsiTheme="minorHAnsi"/>
          <w:color w:val="auto"/>
          <w:sz w:val="22"/>
          <w:szCs w:val="22"/>
        </w:rPr>
        <w:fldChar w:fldCharType="separate"/>
      </w:r>
      <w:r w:rsidR="0084309B">
        <w:rPr>
          <w:rFonts w:asciiTheme="minorHAnsi" w:hAnsiTheme="minorHAnsi"/>
          <w:color w:val="auto"/>
          <w:sz w:val="22"/>
          <w:szCs w:val="22"/>
        </w:rPr>
        <w:t>9</w:t>
      </w:r>
      <w:r w:rsidR="007073BB" w:rsidRPr="00560488">
        <w:rPr>
          <w:rFonts w:asciiTheme="minorHAnsi" w:hAnsiTheme="minorHAnsi"/>
          <w:color w:val="auto"/>
          <w:sz w:val="22"/>
          <w:szCs w:val="22"/>
        </w:rPr>
        <w:fldChar w:fldCharType="end"/>
      </w:r>
    </w:p>
    <w:p w:rsidR="00CA6813" w:rsidRPr="00560488" w:rsidRDefault="00CA6813" w:rsidP="00F56A53">
      <w:pPr>
        <w:pStyle w:val="TOC1"/>
        <w:spacing w:before="0" w:after="0" w:afterAutospacing="0"/>
        <w:rPr>
          <w:rFonts w:asciiTheme="minorHAnsi" w:hAnsiTheme="minorHAnsi"/>
          <w:color w:val="auto"/>
          <w:sz w:val="22"/>
          <w:szCs w:val="22"/>
        </w:rPr>
      </w:pPr>
    </w:p>
    <w:p w:rsidR="00833A60" w:rsidRPr="00560488" w:rsidRDefault="00833A60" w:rsidP="00F56A53">
      <w:pPr>
        <w:pStyle w:val="TOC1"/>
        <w:spacing w:before="0" w:after="0" w:afterAutospacing="0"/>
        <w:rPr>
          <w:rFonts w:asciiTheme="minorHAnsi" w:eastAsiaTheme="minorEastAsia" w:hAnsiTheme="minorHAnsi" w:cstheme="minorBidi"/>
          <w:b w:val="0"/>
          <w:color w:val="auto"/>
          <w:sz w:val="22"/>
          <w:szCs w:val="22"/>
          <w:lang w:eastAsia="en-AU"/>
        </w:rPr>
      </w:pPr>
      <w:r w:rsidRPr="00560488">
        <w:rPr>
          <w:rFonts w:asciiTheme="minorHAnsi" w:hAnsiTheme="minorHAnsi"/>
          <w:color w:val="auto"/>
          <w:sz w:val="22"/>
          <w:szCs w:val="22"/>
        </w:rPr>
        <w:t>7</w:t>
      </w:r>
      <w:r w:rsidRPr="00560488">
        <w:rPr>
          <w:rFonts w:asciiTheme="minorHAnsi" w:eastAsiaTheme="minorEastAsia" w:hAnsiTheme="minorHAnsi" w:cstheme="minorBidi"/>
          <w:b w:val="0"/>
          <w:color w:val="auto"/>
          <w:sz w:val="22"/>
          <w:szCs w:val="22"/>
          <w:lang w:eastAsia="en-AU"/>
        </w:rPr>
        <w:tab/>
      </w:r>
      <w:r w:rsidRPr="00560488">
        <w:rPr>
          <w:rFonts w:asciiTheme="minorHAnsi" w:hAnsiTheme="minorHAnsi"/>
          <w:color w:val="auto"/>
          <w:sz w:val="22"/>
          <w:szCs w:val="22"/>
        </w:rPr>
        <w:t xml:space="preserve">The </w:t>
      </w:r>
      <w:r w:rsidR="0050452D" w:rsidRPr="00560488">
        <w:rPr>
          <w:rFonts w:asciiTheme="minorHAnsi" w:hAnsiTheme="minorHAnsi"/>
          <w:color w:val="auto"/>
          <w:sz w:val="22"/>
          <w:szCs w:val="22"/>
        </w:rPr>
        <w:t xml:space="preserve">TruckSafe </w:t>
      </w:r>
      <w:r w:rsidRPr="00560488">
        <w:rPr>
          <w:rFonts w:asciiTheme="minorHAnsi" w:hAnsiTheme="minorHAnsi"/>
          <w:color w:val="auto"/>
          <w:sz w:val="22"/>
          <w:szCs w:val="22"/>
        </w:rPr>
        <w:t>approach</w:t>
      </w:r>
      <w:r w:rsidRPr="00560488">
        <w:rPr>
          <w:rFonts w:asciiTheme="minorHAnsi" w:hAnsiTheme="minorHAnsi"/>
          <w:color w:val="auto"/>
          <w:sz w:val="22"/>
          <w:szCs w:val="22"/>
        </w:rPr>
        <w:tab/>
      </w:r>
      <w:r w:rsidR="00CA6813" w:rsidRPr="00560488">
        <w:rPr>
          <w:rFonts w:asciiTheme="minorHAnsi" w:hAnsiTheme="minorHAnsi"/>
          <w:color w:val="auto"/>
          <w:sz w:val="22"/>
          <w:szCs w:val="22"/>
        </w:rPr>
        <w:t>1</w:t>
      </w:r>
      <w:r w:rsidR="00063230">
        <w:rPr>
          <w:rFonts w:asciiTheme="minorHAnsi" w:hAnsiTheme="minorHAnsi"/>
          <w:color w:val="auto"/>
          <w:sz w:val="22"/>
          <w:szCs w:val="22"/>
        </w:rPr>
        <w:t>2</w:t>
      </w:r>
    </w:p>
    <w:p w:rsidR="00A77C53" w:rsidRPr="00560488" w:rsidRDefault="00A77C53" w:rsidP="00F56A53">
      <w:pPr>
        <w:pStyle w:val="TOC1"/>
        <w:spacing w:before="0" w:after="0" w:afterAutospacing="0"/>
        <w:rPr>
          <w:rFonts w:asciiTheme="minorHAnsi" w:hAnsiTheme="minorHAnsi"/>
          <w:color w:val="auto"/>
          <w:sz w:val="22"/>
          <w:szCs w:val="22"/>
        </w:rPr>
      </w:pPr>
    </w:p>
    <w:p w:rsidR="00D501B4" w:rsidRPr="00560488" w:rsidRDefault="00D501B4" w:rsidP="00F56A53">
      <w:pPr>
        <w:pStyle w:val="TOC1"/>
        <w:spacing w:before="0" w:after="0" w:afterAutospacing="0"/>
        <w:rPr>
          <w:rFonts w:asciiTheme="minorHAnsi" w:hAnsiTheme="minorHAnsi"/>
          <w:color w:val="auto"/>
          <w:sz w:val="22"/>
          <w:szCs w:val="22"/>
        </w:rPr>
      </w:pPr>
    </w:p>
    <w:p w:rsidR="00190284" w:rsidRPr="00560488" w:rsidRDefault="007F5E51" w:rsidP="00F56A53">
      <w:pPr>
        <w:pStyle w:val="TOC1"/>
        <w:spacing w:before="0" w:after="0" w:afterAutospacing="0"/>
        <w:rPr>
          <w:rFonts w:asciiTheme="minorHAnsi" w:hAnsiTheme="minorHAnsi"/>
          <w:color w:val="auto"/>
          <w:sz w:val="22"/>
          <w:szCs w:val="22"/>
        </w:rPr>
      </w:pPr>
      <w:r w:rsidRPr="00560488">
        <w:rPr>
          <w:rFonts w:asciiTheme="minorHAnsi" w:hAnsiTheme="minorHAnsi"/>
          <w:color w:val="auto"/>
          <w:sz w:val="22"/>
          <w:szCs w:val="22"/>
        </w:rPr>
        <w:t>ATTACHMENT</w:t>
      </w:r>
      <w:r w:rsidR="00190284" w:rsidRPr="00560488">
        <w:rPr>
          <w:rFonts w:asciiTheme="minorHAnsi" w:hAnsiTheme="minorHAnsi"/>
          <w:color w:val="auto"/>
          <w:sz w:val="22"/>
          <w:szCs w:val="22"/>
        </w:rPr>
        <w:t xml:space="preserve"> A</w:t>
      </w:r>
      <w:r w:rsidRPr="00560488">
        <w:rPr>
          <w:rFonts w:asciiTheme="minorHAnsi" w:hAnsiTheme="minorHAnsi"/>
          <w:color w:val="auto"/>
          <w:sz w:val="22"/>
          <w:szCs w:val="22"/>
        </w:rPr>
        <w:t xml:space="preserve"> -</w:t>
      </w:r>
      <w:r w:rsidR="00190284" w:rsidRPr="00560488">
        <w:rPr>
          <w:rFonts w:asciiTheme="minorHAnsi" w:hAnsiTheme="minorHAnsi"/>
          <w:color w:val="auto"/>
          <w:sz w:val="22"/>
          <w:szCs w:val="22"/>
        </w:rPr>
        <w:t xml:space="preserve"> Outsourced Maintenance </w:t>
      </w:r>
      <w:r w:rsidR="00061B8E" w:rsidRPr="00560488">
        <w:rPr>
          <w:rFonts w:asciiTheme="minorHAnsi" w:hAnsiTheme="minorHAnsi"/>
          <w:color w:val="auto"/>
          <w:sz w:val="22"/>
          <w:szCs w:val="22"/>
        </w:rPr>
        <w:t xml:space="preserve">survey </w:t>
      </w:r>
      <w:r w:rsidR="00190284" w:rsidRPr="00560488">
        <w:rPr>
          <w:rFonts w:asciiTheme="minorHAnsi" w:hAnsiTheme="minorHAnsi"/>
          <w:color w:val="auto"/>
          <w:sz w:val="22"/>
          <w:szCs w:val="22"/>
        </w:rPr>
        <w:t xml:space="preserve">findings </w:t>
      </w:r>
      <w:r w:rsidR="00190284" w:rsidRPr="00560488">
        <w:rPr>
          <w:rFonts w:asciiTheme="minorHAnsi" w:hAnsiTheme="minorHAnsi"/>
          <w:color w:val="auto"/>
          <w:sz w:val="22"/>
          <w:szCs w:val="22"/>
        </w:rPr>
        <w:tab/>
      </w:r>
      <w:r w:rsidR="005157DB" w:rsidRPr="00560488">
        <w:rPr>
          <w:rFonts w:asciiTheme="minorHAnsi" w:hAnsiTheme="minorHAnsi"/>
          <w:color w:val="auto"/>
          <w:sz w:val="22"/>
          <w:szCs w:val="22"/>
        </w:rPr>
        <w:t>1</w:t>
      </w:r>
      <w:r w:rsidR="00063230">
        <w:rPr>
          <w:rFonts w:asciiTheme="minorHAnsi" w:hAnsiTheme="minorHAnsi"/>
          <w:color w:val="auto"/>
          <w:sz w:val="22"/>
          <w:szCs w:val="22"/>
        </w:rPr>
        <w:t>3</w:t>
      </w:r>
    </w:p>
    <w:p w:rsidR="00D501B4" w:rsidRPr="00560488" w:rsidRDefault="00D501B4" w:rsidP="00F56A53">
      <w:pPr>
        <w:pStyle w:val="TOC1"/>
        <w:spacing w:before="0" w:after="0" w:afterAutospacing="0"/>
        <w:rPr>
          <w:rFonts w:asciiTheme="minorHAnsi" w:hAnsiTheme="minorHAnsi"/>
          <w:color w:val="auto"/>
          <w:sz w:val="22"/>
          <w:szCs w:val="22"/>
        </w:rPr>
      </w:pPr>
    </w:p>
    <w:p w:rsidR="00190284" w:rsidRPr="00560488" w:rsidRDefault="007F5E51" w:rsidP="00F56A53">
      <w:pPr>
        <w:pStyle w:val="TOC1"/>
        <w:spacing w:before="0" w:after="0" w:afterAutospacing="0"/>
        <w:rPr>
          <w:rFonts w:asciiTheme="minorHAnsi" w:hAnsiTheme="minorHAnsi"/>
          <w:color w:val="auto"/>
          <w:sz w:val="22"/>
          <w:szCs w:val="22"/>
        </w:rPr>
      </w:pPr>
      <w:r w:rsidRPr="00560488">
        <w:rPr>
          <w:rFonts w:asciiTheme="minorHAnsi" w:hAnsiTheme="minorHAnsi"/>
          <w:color w:val="auto"/>
          <w:sz w:val="22"/>
          <w:szCs w:val="22"/>
        </w:rPr>
        <w:t xml:space="preserve">ATTACHMENT </w:t>
      </w:r>
      <w:r w:rsidR="00190284" w:rsidRPr="00560488">
        <w:rPr>
          <w:rFonts w:asciiTheme="minorHAnsi" w:hAnsiTheme="minorHAnsi"/>
          <w:color w:val="auto"/>
          <w:sz w:val="22"/>
          <w:szCs w:val="22"/>
        </w:rPr>
        <w:t>B</w:t>
      </w:r>
      <w:r w:rsidRPr="00560488">
        <w:rPr>
          <w:rFonts w:asciiTheme="minorHAnsi" w:hAnsiTheme="minorHAnsi"/>
          <w:color w:val="auto"/>
          <w:sz w:val="22"/>
          <w:szCs w:val="22"/>
        </w:rPr>
        <w:t xml:space="preserve"> - </w:t>
      </w:r>
      <w:r w:rsidR="00190284" w:rsidRPr="00560488">
        <w:rPr>
          <w:rFonts w:asciiTheme="minorHAnsi" w:hAnsiTheme="minorHAnsi"/>
          <w:color w:val="auto"/>
          <w:sz w:val="22"/>
          <w:szCs w:val="22"/>
        </w:rPr>
        <w:t xml:space="preserve">Defect Process </w:t>
      </w:r>
      <w:r w:rsidR="003B4BC0" w:rsidRPr="00560488">
        <w:rPr>
          <w:rFonts w:asciiTheme="minorHAnsi" w:hAnsiTheme="minorHAnsi"/>
          <w:color w:val="auto"/>
          <w:sz w:val="22"/>
          <w:szCs w:val="22"/>
        </w:rPr>
        <w:t xml:space="preserve">survey </w:t>
      </w:r>
      <w:r w:rsidR="00190284" w:rsidRPr="00560488">
        <w:rPr>
          <w:rFonts w:asciiTheme="minorHAnsi" w:hAnsiTheme="minorHAnsi"/>
          <w:color w:val="auto"/>
          <w:sz w:val="22"/>
          <w:szCs w:val="22"/>
        </w:rPr>
        <w:t xml:space="preserve">findings </w:t>
      </w:r>
      <w:r w:rsidR="00190284" w:rsidRPr="00560488">
        <w:rPr>
          <w:rFonts w:asciiTheme="minorHAnsi" w:hAnsiTheme="minorHAnsi"/>
          <w:color w:val="auto"/>
          <w:sz w:val="22"/>
          <w:szCs w:val="22"/>
        </w:rPr>
        <w:tab/>
      </w:r>
      <w:r w:rsidR="005157DB" w:rsidRPr="00560488">
        <w:rPr>
          <w:rFonts w:asciiTheme="minorHAnsi" w:hAnsiTheme="minorHAnsi"/>
          <w:color w:val="auto"/>
          <w:sz w:val="22"/>
          <w:szCs w:val="22"/>
        </w:rPr>
        <w:t>1</w:t>
      </w:r>
      <w:r w:rsidR="00063230">
        <w:rPr>
          <w:rFonts w:asciiTheme="minorHAnsi" w:hAnsiTheme="minorHAnsi"/>
          <w:color w:val="auto"/>
          <w:sz w:val="22"/>
          <w:szCs w:val="22"/>
        </w:rPr>
        <w:t>7</w:t>
      </w:r>
    </w:p>
    <w:p w:rsidR="00576ED0" w:rsidRPr="00560488" w:rsidRDefault="007073BB" w:rsidP="00F56A53">
      <w:pPr>
        <w:tabs>
          <w:tab w:val="right" w:leader="dot" w:pos="9645"/>
        </w:tabs>
        <w:jc w:val="both"/>
        <w:rPr>
          <w:rFonts w:asciiTheme="minorHAnsi" w:hAnsiTheme="minorHAnsi" w:cs="Arial"/>
          <w:sz w:val="20"/>
          <w:szCs w:val="20"/>
        </w:rPr>
      </w:pPr>
      <w:r w:rsidRPr="00560488">
        <w:rPr>
          <w:rFonts w:asciiTheme="minorHAnsi" w:hAnsiTheme="minorHAnsi" w:cs="Arial"/>
          <w:szCs w:val="24"/>
        </w:rPr>
        <w:fldChar w:fldCharType="end"/>
      </w:r>
      <w:r w:rsidR="00576ED0" w:rsidRPr="00560488">
        <w:rPr>
          <w:rFonts w:asciiTheme="minorHAnsi" w:hAnsiTheme="minorHAnsi" w:cs="Arial"/>
          <w:sz w:val="20"/>
          <w:szCs w:val="20"/>
        </w:rPr>
        <w:br w:type="page"/>
      </w:r>
    </w:p>
    <w:p w:rsidR="00576ED0" w:rsidRPr="00887EB4" w:rsidRDefault="00576ED0" w:rsidP="00887EB4">
      <w:pPr>
        <w:pStyle w:val="Heading1"/>
        <w:rPr>
          <w:color w:val="auto"/>
        </w:rPr>
      </w:pPr>
      <w:bookmarkStart w:id="0" w:name="_Toc398126234"/>
      <w:r w:rsidRPr="00887EB4">
        <w:rPr>
          <w:color w:val="auto"/>
        </w:rPr>
        <w:lastRenderedPageBreak/>
        <w:t>Introduction</w:t>
      </w:r>
      <w:bookmarkEnd w:id="0"/>
    </w:p>
    <w:p w:rsidR="00A54132" w:rsidRPr="00560488" w:rsidRDefault="00A54132" w:rsidP="00F56A53">
      <w:pPr>
        <w:rPr>
          <w:rFonts w:asciiTheme="minorHAnsi" w:eastAsiaTheme="minorHAnsi" w:hAnsiTheme="minorHAnsi" w:cstheme="minorBidi"/>
          <w:sz w:val="20"/>
          <w:szCs w:val="20"/>
        </w:rPr>
      </w:pPr>
    </w:p>
    <w:p w:rsidR="008068DD" w:rsidRPr="00560488" w:rsidRDefault="008068DD" w:rsidP="00F56A53">
      <w:pPr>
        <w:pStyle w:val="Default"/>
        <w:rPr>
          <w:rFonts w:asciiTheme="minorHAnsi" w:hAnsiTheme="minorHAnsi" w:cs="Arial"/>
          <w:color w:val="auto"/>
          <w:sz w:val="20"/>
          <w:szCs w:val="20"/>
        </w:rPr>
      </w:pPr>
      <w:r w:rsidRPr="00560488">
        <w:rPr>
          <w:rFonts w:asciiTheme="minorHAnsi" w:hAnsiTheme="minorHAnsi" w:cs="Arial"/>
          <w:color w:val="auto"/>
          <w:sz w:val="20"/>
          <w:szCs w:val="20"/>
        </w:rPr>
        <w:t xml:space="preserve">The National Heavy Vehicle Regulator (NHVR) is Australia’s first institutional approach to a single regulator of heavy vehicles. The NHVR administers the Heavy Vehicle National Law (HVNL), which </w:t>
      </w:r>
      <w:r w:rsidR="00B133C5" w:rsidRPr="00560488">
        <w:rPr>
          <w:rFonts w:asciiTheme="minorHAnsi" w:hAnsiTheme="minorHAnsi" w:cs="Arial"/>
          <w:color w:val="auto"/>
          <w:sz w:val="20"/>
          <w:szCs w:val="20"/>
        </w:rPr>
        <w:t xml:space="preserve">sets </w:t>
      </w:r>
      <w:r w:rsidR="002E43CC" w:rsidRPr="00560488">
        <w:rPr>
          <w:rFonts w:asciiTheme="minorHAnsi" w:hAnsiTheme="minorHAnsi" w:cs="Arial"/>
          <w:color w:val="auto"/>
          <w:sz w:val="20"/>
          <w:szCs w:val="20"/>
        </w:rPr>
        <w:t xml:space="preserve">legal </w:t>
      </w:r>
      <w:r w:rsidR="00B133C5" w:rsidRPr="00560488">
        <w:rPr>
          <w:rFonts w:asciiTheme="minorHAnsi" w:hAnsiTheme="minorHAnsi" w:cs="Arial"/>
          <w:color w:val="auto"/>
          <w:sz w:val="20"/>
          <w:szCs w:val="20"/>
        </w:rPr>
        <w:t xml:space="preserve">standards for </w:t>
      </w:r>
      <w:r w:rsidRPr="00560488">
        <w:rPr>
          <w:rFonts w:asciiTheme="minorHAnsi" w:hAnsiTheme="minorHAnsi" w:cs="Arial"/>
          <w:color w:val="auto"/>
          <w:sz w:val="20"/>
          <w:szCs w:val="20"/>
        </w:rPr>
        <w:t xml:space="preserve">vehicles over 4.5 tonnes gross vehicle mass (GVM) and </w:t>
      </w:r>
      <w:r w:rsidR="002E43CC" w:rsidRPr="00560488">
        <w:rPr>
          <w:rFonts w:asciiTheme="minorHAnsi" w:hAnsiTheme="minorHAnsi" w:cs="Arial"/>
          <w:color w:val="auto"/>
          <w:sz w:val="20"/>
          <w:szCs w:val="20"/>
        </w:rPr>
        <w:t>provides for</w:t>
      </w:r>
      <w:r w:rsidRPr="00560488">
        <w:rPr>
          <w:rFonts w:asciiTheme="minorHAnsi" w:hAnsiTheme="minorHAnsi" w:cs="Arial"/>
          <w:color w:val="auto"/>
          <w:sz w:val="20"/>
          <w:szCs w:val="20"/>
        </w:rPr>
        <w:t xml:space="preserve"> </w:t>
      </w:r>
      <w:r w:rsidR="003B1F87" w:rsidRPr="00560488">
        <w:rPr>
          <w:rFonts w:asciiTheme="minorHAnsi" w:hAnsiTheme="minorHAnsi" w:cs="Arial"/>
          <w:color w:val="auto"/>
          <w:sz w:val="20"/>
          <w:szCs w:val="20"/>
        </w:rPr>
        <w:t xml:space="preserve">delivery of </w:t>
      </w:r>
      <w:r w:rsidRPr="00560488">
        <w:rPr>
          <w:rFonts w:asciiTheme="minorHAnsi" w:hAnsiTheme="minorHAnsi" w:cs="Arial"/>
          <w:color w:val="auto"/>
          <w:sz w:val="20"/>
          <w:szCs w:val="20"/>
        </w:rPr>
        <w:t xml:space="preserve">services </w:t>
      </w:r>
      <w:r w:rsidR="003B1F87" w:rsidRPr="00560488">
        <w:rPr>
          <w:rFonts w:asciiTheme="minorHAnsi" w:hAnsiTheme="minorHAnsi" w:cs="Arial"/>
          <w:color w:val="auto"/>
          <w:sz w:val="20"/>
          <w:szCs w:val="20"/>
        </w:rPr>
        <w:t xml:space="preserve">to industry </w:t>
      </w:r>
      <w:r w:rsidRPr="00560488">
        <w:rPr>
          <w:rFonts w:asciiTheme="minorHAnsi" w:hAnsiTheme="minorHAnsi" w:cs="Arial"/>
          <w:color w:val="auto"/>
          <w:sz w:val="20"/>
          <w:szCs w:val="20"/>
        </w:rPr>
        <w:t xml:space="preserve">such as the National Heavy Vehicle Accreditation Scheme (NHVAS). </w:t>
      </w:r>
    </w:p>
    <w:p w:rsidR="008068DD" w:rsidRPr="00560488" w:rsidRDefault="008068DD" w:rsidP="00F56A53">
      <w:pPr>
        <w:pStyle w:val="Default"/>
        <w:rPr>
          <w:rFonts w:asciiTheme="minorHAnsi" w:hAnsiTheme="minorHAnsi" w:cs="Arial"/>
          <w:color w:val="auto"/>
          <w:sz w:val="20"/>
          <w:szCs w:val="20"/>
        </w:rPr>
      </w:pPr>
    </w:p>
    <w:p w:rsidR="0012629D" w:rsidRPr="00560488" w:rsidRDefault="008068DD" w:rsidP="00F56A53">
      <w:pPr>
        <w:autoSpaceDE w:val="0"/>
        <w:autoSpaceDN w:val="0"/>
        <w:adjustRightInd w:val="0"/>
        <w:rPr>
          <w:rFonts w:cs="Arial"/>
          <w:sz w:val="20"/>
          <w:szCs w:val="20"/>
        </w:rPr>
      </w:pPr>
      <w:r w:rsidRPr="00560488">
        <w:rPr>
          <w:rFonts w:cs="Arial"/>
          <w:sz w:val="20"/>
          <w:szCs w:val="20"/>
        </w:rPr>
        <w:t xml:space="preserve">The NHVR and the National Transport Commission are working on a </w:t>
      </w:r>
      <w:r w:rsidR="00DF3316" w:rsidRPr="00560488">
        <w:rPr>
          <w:rFonts w:cs="Arial"/>
          <w:sz w:val="20"/>
          <w:szCs w:val="20"/>
        </w:rPr>
        <w:t>national</w:t>
      </w:r>
      <w:r w:rsidRPr="00560488">
        <w:rPr>
          <w:rFonts w:cs="Arial"/>
          <w:sz w:val="20"/>
          <w:szCs w:val="20"/>
        </w:rPr>
        <w:t xml:space="preserve"> </w:t>
      </w:r>
      <w:r w:rsidR="00096DFD" w:rsidRPr="00560488">
        <w:rPr>
          <w:rFonts w:cs="Arial"/>
          <w:sz w:val="20"/>
          <w:szCs w:val="20"/>
        </w:rPr>
        <w:t xml:space="preserve">approach to </w:t>
      </w:r>
      <w:r w:rsidRPr="00560488">
        <w:rPr>
          <w:rFonts w:cs="Arial"/>
          <w:sz w:val="20"/>
          <w:szCs w:val="20"/>
        </w:rPr>
        <w:t>heavy vehicle roadworthiness for</w:t>
      </w:r>
      <w:r w:rsidR="00096DFD" w:rsidRPr="00560488">
        <w:rPr>
          <w:rFonts w:cs="Arial"/>
          <w:sz w:val="20"/>
          <w:szCs w:val="20"/>
        </w:rPr>
        <w:t xml:space="preserve"> transport</w:t>
      </w:r>
      <w:r w:rsidRPr="00560488">
        <w:rPr>
          <w:rFonts w:cs="Arial"/>
          <w:sz w:val="20"/>
          <w:szCs w:val="20"/>
        </w:rPr>
        <w:t xml:space="preserve"> ministers to consider in </w:t>
      </w:r>
      <w:r w:rsidR="00096DFD" w:rsidRPr="00560488">
        <w:rPr>
          <w:rFonts w:cs="Arial"/>
          <w:sz w:val="20"/>
          <w:szCs w:val="20"/>
        </w:rPr>
        <w:t>November</w:t>
      </w:r>
      <w:r w:rsidRPr="00560488">
        <w:rPr>
          <w:rFonts w:cs="Arial"/>
          <w:sz w:val="20"/>
          <w:szCs w:val="20"/>
        </w:rPr>
        <w:t xml:space="preserve"> 2014. </w:t>
      </w:r>
      <w:r w:rsidR="00096DFD" w:rsidRPr="00560488">
        <w:rPr>
          <w:rFonts w:cs="Arial"/>
          <w:sz w:val="20"/>
          <w:szCs w:val="20"/>
        </w:rPr>
        <w:t>The</w:t>
      </w:r>
      <w:r w:rsidRPr="00560488">
        <w:rPr>
          <w:rFonts w:cs="Arial"/>
          <w:sz w:val="20"/>
          <w:szCs w:val="20"/>
        </w:rPr>
        <w:t xml:space="preserve"> </w:t>
      </w:r>
      <w:r w:rsidR="00DF3316" w:rsidRPr="00560488">
        <w:rPr>
          <w:rFonts w:cs="Arial"/>
          <w:sz w:val="20"/>
          <w:szCs w:val="20"/>
        </w:rPr>
        <w:t>task</w:t>
      </w:r>
      <w:r w:rsidRPr="00560488">
        <w:rPr>
          <w:rFonts w:cs="Arial"/>
          <w:sz w:val="20"/>
          <w:szCs w:val="20"/>
        </w:rPr>
        <w:t xml:space="preserve"> is</w:t>
      </w:r>
      <w:r w:rsidR="00096DFD" w:rsidRPr="00560488">
        <w:rPr>
          <w:rFonts w:cs="Arial"/>
          <w:sz w:val="20"/>
          <w:szCs w:val="20"/>
        </w:rPr>
        <w:t xml:space="preserve"> being</w:t>
      </w:r>
      <w:r w:rsidRPr="00560488">
        <w:rPr>
          <w:rFonts w:cs="Arial"/>
          <w:sz w:val="20"/>
          <w:szCs w:val="20"/>
        </w:rPr>
        <w:t xml:space="preserve"> informed</w:t>
      </w:r>
      <w:r w:rsidR="00096DFD" w:rsidRPr="00560488">
        <w:rPr>
          <w:rFonts w:cs="Arial"/>
          <w:sz w:val="20"/>
          <w:szCs w:val="20"/>
        </w:rPr>
        <w:t>, amongst other information sources,</w:t>
      </w:r>
      <w:r w:rsidRPr="00560488">
        <w:rPr>
          <w:rFonts w:cs="Arial"/>
          <w:sz w:val="20"/>
          <w:szCs w:val="20"/>
        </w:rPr>
        <w:t xml:space="preserve"> by the NTC-led Roadworthiness Technical Working Group (of which the ATA is a member) and the </w:t>
      </w:r>
      <w:r w:rsidR="00096DFD" w:rsidRPr="00560488">
        <w:rPr>
          <w:rFonts w:cs="Arial"/>
          <w:sz w:val="20"/>
          <w:szCs w:val="20"/>
        </w:rPr>
        <w:t xml:space="preserve">simultaneous </w:t>
      </w:r>
      <w:r w:rsidRPr="00560488">
        <w:rPr>
          <w:rFonts w:cs="Arial"/>
          <w:sz w:val="20"/>
          <w:szCs w:val="20"/>
        </w:rPr>
        <w:t>NHVR</w:t>
      </w:r>
      <w:r w:rsidR="0012629D" w:rsidRPr="00560488">
        <w:rPr>
          <w:rFonts w:cs="Arial"/>
          <w:sz w:val="20"/>
          <w:szCs w:val="20"/>
        </w:rPr>
        <w:t>-led</w:t>
      </w:r>
      <w:r w:rsidRPr="00560488">
        <w:rPr>
          <w:rFonts w:cs="Arial"/>
          <w:sz w:val="20"/>
          <w:szCs w:val="20"/>
        </w:rPr>
        <w:t xml:space="preserve"> review of the NHVAS. </w:t>
      </w:r>
    </w:p>
    <w:p w:rsidR="0012629D" w:rsidRPr="00560488" w:rsidRDefault="0012629D" w:rsidP="00F56A53">
      <w:pPr>
        <w:autoSpaceDE w:val="0"/>
        <w:autoSpaceDN w:val="0"/>
        <w:adjustRightInd w:val="0"/>
        <w:rPr>
          <w:rFonts w:cs="Arial"/>
          <w:sz w:val="20"/>
          <w:szCs w:val="20"/>
        </w:rPr>
      </w:pPr>
    </w:p>
    <w:p w:rsidR="00564DAD" w:rsidRPr="00560488" w:rsidRDefault="0012629D" w:rsidP="00F56A53">
      <w:pPr>
        <w:autoSpaceDE w:val="0"/>
        <w:autoSpaceDN w:val="0"/>
        <w:adjustRightInd w:val="0"/>
        <w:rPr>
          <w:sz w:val="20"/>
          <w:szCs w:val="20"/>
        </w:rPr>
      </w:pPr>
      <w:r w:rsidRPr="00560488">
        <w:rPr>
          <w:sz w:val="20"/>
          <w:szCs w:val="20"/>
        </w:rPr>
        <w:t>This ATA submission addresses some of the reform options presented in t</w:t>
      </w:r>
      <w:r w:rsidR="00564DAD" w:rsidRPr="00560488">
        <w:rPr>
          <w:sz w:val="20"/>
          <w:szCs w:val="20"/>
        </w:rPr>
        <w:t xml:space="preserve">he NTC Heavy Vehicle Roadworthiness draft Phase 2 integrity </w:t>
      </w:r>
      <w:r w:rsidRPr="00560488">
        <w:rPr>
          <w:sz w:val="20"/>
          <w:szCs w:val="20"/>
        </w:rPr>
        <w:t>review report</w:t>
      </w:r>
      <w:r w:rsidR="000A01A7" w:rsidRPr="00560488">
        <w:rPr>
          <w:sz w:val="20"/>
          <w:szCs w:val="20"/>
        </w:rPr>
        <w:t xml:space="preserve">. </w:t>
      </w:r>
      <w:r w:rsidR="00056134" w:rsidRPr="00560488">
        <w:rPr>
          <w:sz w:val="20"/>
          <w:szCs w:val="20"/>
        </w:rPr>
        <w:t xml:space="preserve">The Phase 2 report </w:t>
      </w:r>
      <w:r w:rsidR="00564DAD" w:rsidRPr="00560488">
        <w:rPr>
          <w:sz w:val="20"/>
          <w:szCs w:val="20"/>
        </w:rPr>
        <w:t xml:space="preserve">contains 38 opportunities for </w:t>
      </w:r>
      <w:r w:rsidR="00096DFD" w:rsidRPr="00560488">
        <w:rPr>
          <w:sz w:val="20"/>
          <w:szCs w:val="20"/>
        </w:rPr>
        <w:t xml:space="preserve">roadworthiness </w:t>
      </w:r>
      <w:r w:rsidR="00564DAD" w:rsidRPr="00560488">
        <w:rPr>
          <w:sz w:val="20"/>
          <w:szCs w:val="20"/>
        </w:rPr>
        <w:t>reform</w:t>
      </w:r>
      <w:r w:rsidR="00EC50BE" w:rsidRPr="00560488">
        <w:rPr>
          <w:sz w:val="20"/>
          <w:szCs w:val="20"/>
        </w:rPr>
        <w:t xml:space="preserve"> and for</w:t>
      </w:r>
      <w:r w:rsidR="00564DAD" w:rsidRPr="00560488">
        <w:rPr>
          <w:sz w:val="20"/>
          <w:szCs w:val="20"/>
        </w:rPr>
        <w:t xml:space="preserve"> improvements to the NHVAS. </w:t>
      </w:r>
      <w:r w:rsidR="000A01A7" w:rsidRPr="00560488">
        <w:rPr>
          <w:sz w:val="20"/>
          <w:szCs w:val="20"/>
        </w:rPr>
        <w:t>It follows the Phase 1 paper which looked into roadworthiness theory and practice.</w:t>
      </w:r>
      <w:r w:rsidR="00D31DE8" w:rsidRPr="00560488">
        <w:rPr>
          <w:sz w:val="20"/>
          <w:szCs w:val="20"/>
        </w:rPr>
        <w:t xml:space="preserve"> The submission includes some qualitative findings of three surveys conducted during 2014.</w:t>
      </w:r>
    </w:p>
    <w:p w:rsidR="00564DAD" w:rsidRPr="00560488" w:rsidRDefault="00564DAD" w:rsidP="00F56A53">
      <w:pPr>
        <w:rPr>
          <w:sz w:val="20"/>
          <w:szCs w:val="20"/>
        </w:rPr>
      </w:pPr>
    </w:p>
    <w:p w:rsidR="008E530C" w:rsidRPr="00560488" w:rsidRDefault="008E530C" w:rsidP="00F56A53">
      <w:pPr>
        <w:rPr>
          <w:sz w:val="20"/>
          <w:szCs w:val="20"/>
        </w:rPr>
      </w:pPr>
      <w:r w:rsidRPr="00560488">
        <w:rPr>
          <w:sz w:val="20"/>
          <w:szCs w:val="20"/>
        </w:rPr>
        <w:t xml:space="preserve">The ATA strongly supports joint development </w:t>
      </w:r>
      <w:r w:rsidR="00645B3C" w:rsidRPr="00560488">
        <w:rPr>
          <w:sz w:val="20"/>
          <w:szCs w:val="20"/>
        </w:rPr>
        <w:t>by</w:t>
      </w:r>
      <w:r w:rsidRPr="00560488">
        <w:rPr>
          <w:sz w:val="20"/>
          <w:szCs w:val="20"/>
        </w:rPr>
        <w:t xml:space="preserve"> government and industry of new policy measures for a seamless national approach to roadworthiness</w:t>
      </w:r>
      <w:r w:rsidR="00645B3C" w:rsidRPr="00560488">
        <w:rPr>
          <w:sz w:val="20"/>
          <w:szCs w:val="20"/>
        </w:rPr>
        <w:t xml:space="preserve"> assessments</w:t>
      </w:r>
      <w:r w:rsidRPr="00560488">
        <w:rPr>
          <w:sz w:val="20"/>
          <w:szCs w:val="20"/>
        </w:rPr>
        <w:t xml:space="preserve">. The ATA is </w:t>
      </w:r>
      <w:r w:rsidR="00F21744" w:rsidRPr="00560488">
        <w:rPr>
          <w:sz w:val="20"/>
          <w:szCs w:val="20"/>
        </w:rPr>
        <w:t xml:space="preserve">also </w:t>
      </w:r>
      <w:r w:rsidRPr="00560488">
        <w:rPr>
          <w:sz w:val="20"/>
          <w:szCs w:val="20"/>
        </w:rPr>
        <w:t xml:space="preserve">grateful for the ongoing opportunity to provide road transport industry advice as a member of the NTC Roadworthiness Technical Working Group (TWG) charged with providing technical input to the </w:t>
      </w:r>
      <w:r w:rsidR="00F21744" w:rsidRPr="00560488">
        <w:rPr>
          <w:sz w:val="20"/>
          <w:szCs w:val="20"/>
        </w:rPr>
        <w:t>r</w:t>
      </w:r>
      <w:r w:rsidRPr="00560488">
        <w:rPr>
          <w:sz w:val="20"/>
          <w:szCs w:val="20"/>
        </w:rPr>
        <w:t>eview.</w:t>
      </w:r>
    </w:p>
    <w:p w:rsidR="007447F2" w:rsidRPr="00560488" w:rsidRDefault="007447F2" w:rsidP="00F56A53">
      <w:pPr>
        <w:rPr>
          <w:sz w:val="20"/>
          <w:szCs w:val="20"/>
        </w:rPr>
      </w:pPr>
    </w:p>
    <w:p w:rsidR="004405E7" w:rsidRPr="00560488" w:rsidRDefault="004405E7" w:rsidP="00F56A53">
      <w:pPr>
        <w:pStyle w:val="BodyText2"/>
        <w:rPr>
          <w:rFonts w:asciiTheme="minorHAnsi" w:eastAsia="Calibri" w:hAnsiTheme="minorHAnsi"/>
          <w:b w:val="0"/>
          <w:bCs w:val="0"/>
          <w:sz w:val="20"/>
        </w:rPr>
      </w:pPr>
    </w:p>
    <w:p w:rsidR="00576ED0" w:rsidRPr="00887EB4" w:rsidRDefault="003340FB" w:rsidP="00887EB4">
      <w:pPr>
        <w:pStyle w:val="Heading1"/>
        <w:rPr>
          <w:color w:val="auto"/>
        </w:rPr>
      </w:pPr>
      <w:r w:rsidRPr="00887EB4">
        <w:rPr>
          <w:color w:val="auto"/>
        </w:rPr>
        <w:t xml:space="preserve"> </w:t>
      </w:r>
      <w:bookmarkStart w:id="1" w:name="_Toc398126235"/>
      <w:r w:rsidRPr="00887EB4">
        <w:rPr>
          <w:color w:val="auto"/>
        </w:rPr>
        <w:t>Australian Trucking Association</w:t>
      </w:r>
      <w:bookmarkEnd w:id="1"/>
      <w:r w:rsidRPr="00887EB4">
        <w:rPr>
          <w:color w:val="auto"/>
        </w:rPr>
        <w:t xml:space="preserve">  </w:t>
      </w:r>
    </w:p>
    <w:p w:rsidR="004008C7" w:rsidRPr="00560488" w:rsidRDefault="004008C7" w:rsidP="00F56A53">
      <w:pPr>
        <w:pStyle w:val="BodyText2"/>
        <w:jc w:val="both"/>
        <w:rPr>
          <w:rFonts w:asciiTheme="minorHAnsi" w:hAnsiTheme="minorHAnsi"/>
          <w:b w:val="0"/>
          <w:sz w:val="20"/>
        </w:rPr>
      </w:pPr>
    </w:p>
    <w:p w:rsidR="006104D6" w:rsidRPr="00560488" w:rsidRDefault="00CF3600" w:rsidP="00F56A53">
      <w:pPr>
        <w:pStyle w:val="BodyText2"/>
        <w:rPr>
          <w:rFonts w:asciiTheme="minorHAnsi" w:eastAsia="Calibri" w:hAnsiTheme="minorHAnsi"/>
          <w:b w:val="0"/>
          <w:bCs w:val="0"/>
          <w:sz w:val="20"/>
        </w:rPr>
      </w:pPr>
      <w:r w:rsidRPr="00560488">
        <w:rPr>
          <w:rFonts w:asciiTheme="minorHAnsi" w:eastAsia="Calibri" w:hAnsiTheme="minorHAnsi"/>
          <w:b w:val="0"/>
          <w:bCs w:val="0"/>
          <w:sz w:val="20"/>
        </w:rPr>
        <w:t>The Australian Trucking Association (ATA) is the peak body that represents the trucking industry. Its members include state and sector</w:t>
      </w:r>
      <w:r w:rsidR="004405E7" w:rsidRPr="00560488">
        <w:rPr>
          <w:rFonts w:asciiTheme="minorHAnsi" w:eastAsia="Calibri" w:hAnsiTheme="minorHAnsi"/>
          <w:b w:val="0"/>
          <w:bCs w:val="0"/>
          <w:sz w:val="20"/>
        </w:rPr>
        <w:t>-</w:t>
      </w:r>
      <w:r w:rsidRPr="00560488">
        <w:rPr>
          <w:rFonts w:asciiTheme="minorHAnsi" w:eastAsia="Calibri" w:hAnsiTheme="minorHAnsi"/>
          <w:b w:val="0"/>
          <w:bCs w:val="0"/>
          <w:sz w:val="20"/>
        </w:rPr>
        <w:t>based trucking associations, some of the nation’s largest transport companies</w:t>
      </w:r>
      <w:r w:rsidR="004405E7" w:rsidRPr="00560488">
        <w:rPr>
          <w:rFonts w:asciiTheme="minorHAnsi" w:eastAsia="Calibri" w:hAnsiTheme="minorHAnsi"/>
          <w:b w:val="0"/>
          <w:bCs w:val="0"/>
          <w:sz w:val="20"/>
        </w:rPr>
        <w:t>,</w:t>
      </w:r>
      <w:r w:rsidRPr="00560488">
        <w:rPr>
          <w:rFonts w:asciiTheme="minorHAnsi" w:eastAsia="Calibri" w:hAnsiTheme="minorHAnsi"/>
          <w:b w:val="0"/>
          <w:bCs w:val="0"/>
          <w:sz w:val="20"/>
        </w:rPr>
        <w:t xml:space="preserve"> and businesses with leading expertise in truck technology. </w:t>
      </w:r>
    </w:p>
    <w:p w:rsidR="007C19DA" w:rsidRPr="00560488" w:rsidRDefault="007C19DA" w:rsidP="00F56A53">
      <w:pPr>
        <w:pStyle w:val="BodyText2"/>
        <w:rPr>
          <w:rFonts w:asciiTheme="minorHAnsi" w:eastAsia="Calibri" w:hAnsiTheme="minorHAnsi"/>
          <w:b w:val="0"/>
          <w:bCs w:val="0"/>
          <w:sz w:val="20"/>
        </w:rPr>
      </w:pPr>
    </w:p>
    <w:p w:rsidR="006B7D84" w:rsidRPr="00560488" w:rsidRDefault="006B7D84" w:rsidP="00F56A53">
      <w:pPr>
        <w:jc w:val="both"/>
        <w:rPr>
          <w:rFonts w:asciiTheme="minorHAnsi" w:eastAsia="Times New Roman" w:hAnsiTheme="minorHAnsi" w:cs="Arial"/>
          <w:bCs/>
          <w:sz w:val="20"/>
          <w:szCs w:val="20"/>
        </w:rPr>
      </w:pPr>
    </w:p>
    <w:p w:rsidR="00D73280" w:rsidRPr="00887EB4" w:rsidRDefault="00907971" w:rsidP="00887EB4">
      <w:pPr>
        <w:pStyle w:val="Heading1"/>
        <w:rPr>
          <w:color w:val="auto"/>
        </w:rPr>
      </w:pPr>
      <w:bookmarkStart w:id="2" w:name="_Toc398126236"/>
      <w:r w:rsidRPr="00887EB4">
        <w:rPr>
          <w:color w:val="auto"/>
        </w:rPr>
        <w:t>Recommendations</w:t>
      </w:r>
      <w:bookmarkEnd w:id="2"/>
      <w:r w:rsidR="00C05A4F" w:rsidRPr="00887EB4">
        <w:rPr>
          <w:color w:val="auto"/>
        </w:rPr>
        <w:t xml:space="preserve"> </w:t>
      </w:r>
    </w:p>
    <w:p w:rsidR="007447F2" w:rsidRPr="00560488" w:rsidRDefault="007447F2" w:rsidP="00F56A53">
      <w:pPr>
        <w:autoSpaceDE w:val="0"/>
        <w:autoSpaceDN w:val="0"/>
        <w:adjustRightInd w:val="0"/>
        <w:rPr>
          <w:rFonts w:asciiTheme="minorHAnsi" w:hAnsiTheme="minorHAnsi" w:cs="Arial"/>
          <w:b/>
          <w:sz w:val="20"/>
          <w:szCs w:val="20"/>
        </w:rPr>
      </w:pPr>
    </w:p>
    <w:p w:rsidR="00683B8D" w:rsidRPr="00560488" w:rsidRDefault="000C2BBA" w:rsidP="00F56A53">
      <w:pPr>
        <w:rPr>
          <w:rFonts w:asciiTheme="minorHAnsi" w:hAnsiTheme="minorHAnsi" w:cs="Arial"/>
          <w:b/>
          <w:sz w:val="20"/>
          <w:szCs w:val="20"/>
        </w:rPr>
      </w:pPr>
      <w:r w:rsidRPr="00560488">
        <w:rPr>
          <w:rFonts w:asciiTheme="minorHAnsi" w:hAnsiTheme="minorHAnsi" w:cs="Arial"/>
          <w:b/>
          <w:sz w:val="20"/>
          <w:szCs w:val="20"/>
        </w:rPr>
        <w:t>ATA recommendation 1</w:t>
      </w:r>
    </w:p>
    <w:p w:rsidR="00626794" w:rsidRPr="00560488" w:rsidRDefault="004D16E1" w:rsidP="00F56A53">
      <w:pPr>
        <w:rPr>
          <w:b/>
          <w:bCs/>
          <w:sz w:val="20"/>
          <w:szCs w:val="20"/>
        </w:rPr>
      </w:pPr>
      <w:r w:rsidRPr="00560488">
        <w:rPr>
          <w:rFonts w:asciiTheme="minorHAnsi" w:hAnsiTheme="minorHAnsi"/>
          <w:b/>
          <w:sz w:val="20"/>
          <w:szCs w:val="20"/>
        </w:rPr>
        <w:t>A</w:t>
      </w:r>
      <w:r w:rsidR="00B2669F" w:rsidRPr="00560488">
        <w:rPr>
          <w:b/>
          <w:bCs/>
          <w:sz w:val="20"/>
          <w:szCs w:val="20"/>
        </w:rPr>
        <w:t xml:space="preserve"> standardised heavy vehicle </w:t>
      </w:r>
      <w:r w:rsidR="00683B8D" w:rsidRPr="00560488">
        <w:rPr>
          <w:b/>
          <w:bCs/>
          <w:sz w:val="20"/>
          <w:szCs w:val="20"/>
        </w:rPr>
        <w:t xml:space="preserve">inspection system </w:t>
      </w:r>
      <w:r w:rsidR="00176848" w:rsidRPr="00560488">
        <w:rPr>
          <w:b/>
          <w:sz w:val="20"/>
          <w:szCs w:val="20"/>
        </w:rPr>
        <w:t xml:space="preserve">should </w:t>
      </w:r>
      <w:r w:rsidR="00683B8D" w:rsidRPr="00560488">
        <w:rPr>
          <w:b/>
          <w:bCs/>
          <w:sz w:val="20"/>
          <w:szCs w:val="20"/>
        </w:rPr>
        <w:t xml:space="preserve">be implemented. </w:t>
      </w:r>
    </w:p>
    <w:p w:rsidR="004D16E1" w:rsidRPr="00560488" w:rsidRDefault="004D16E1" w:rsidP="00F56A53">
      <w:pPr>
        <w:rPr>
          <w:rFonts w:asciiTheme="minorHAnsi" w:hAnsiTheme="minorHAnsi" w:cs="Arial"/>
          <w:b/>
          <w:sz w:val="20"/>
          <w:szCs w:val="20"/>
        </w:rPr>
      </w:pPr>
    </w:p>
    <w:p w:rsidR="00870812" w:rsidRPr="00560488" w:rsidRDefault="00870812" w:rsidP="00F56A53">
      <w:pPr>
        <w:rPr>
          <w:rFonts w:asciiTheme="minorHAnsi" w:hAnsiTheme="minorHAnsi" w:cs="Arial"/>
          <w:b/>
          <w:sz w:val="20"/>
          <w:szCs w:val="20"/>
        </w:rPr>
      </w:pPr>
    </w:p>
    <w:p w:rsidR="004D16E1" w:rsidRPr="00560488" w:rsidRDefault="004D16E1" w:rsidP="00F56A53">
      <w:pPr>
        <w:rPr>
          <w:rFonts w:asciiTheme="minorHAnsi" w:hAnsiTheme="minorHAnsi" w:cs="Arial"/>
          <w:b/>
          <w:sz w:val="20"/>
          <w:szCs w:val="20"/>
        </w:rPr>
      </w:pPr>
      <w:r w:rsidRPr="00560488">
        <w:rPr>
          <w:rFonts w:asciiTheme="minorHAnsi" w:hAnsiTheme="minorHAnsi" w:cs="Arial"/>
          <w:b/>
          <w:sz w:val="20"/>
          <w:szCs w:val="20"/>
        </w:rPr>
        <w:t>ATA recommendation 2</w:t>
      </w:r>
    </w:p>
    <w:p w:rsidR="00F55C58" w:rsidRPr="00560488" w:rsidRDefault="00870812" w:rsidP="00F56A53">
      <w:pPr>
        <w:rPr>
          <w:rFonts w:asciiTheme="minorHAnsi" w:hAnsiTheme="minorHAnsi" w:cs="Arial"/>
          <w:b/>
          <w:sz w:val="20"/>
          <w:szCs w:val="20"/>
        </w:rPr>
      </w:pPr>
      <w:r w:rsidRPr="00560488">
        <w:rPr>
          <w:b/>
          <w:bCs/>
          <w:sz w:val="20"/>
          <w:szCs w:val="20"/>
        </w:rPr>
        <w:t>A</w:t>
      </w:r>
      <w:r w:rsidR="004D16E1" w:rsidRPr="00560488">
        <w:rPr>
          <w:b/>
          <w:bCs/>
          <w:sz w:val="20"/>
          <w:szCs w:val="20"/>
        </w:rPr>
        <w:t xml:space="preserve"> national heavy vehicle inspection manual</w:t>
      </w:r>
      <w:r w:rsidRPr="00560488">
        <w:rPr>
          <w:b/>
          <w:bCs/>
          <w:sz w:val="20"/>
          <w:szCs w:val="20"/>
        </w:rPr>
        <w:t xml:space="preserve"> should be </w:t>
      </w:r>
      <w:r w:rsidR="00AC6947" w:rsidRPr="00560488">
        <w:rPr>
          <w:b/>
          <w:bCs/>
          <w:sz w:val="20"/>
          <w:szCs w:val="20"/>
        </w:rPr>
        <w:t>adopted</w:t>
      </w:r>
      <w:r w:rsidR="005449A1">
        <w:rPr>
          <w:b/>
          <w:bCs/>
          <w:sz w:val="20"/>
          <w:szCs w:val="20"/>
        </w:rPr>
        <w:t xml:space="preserve"> and called up in the regulations</w:t>
      </w:r>
      <w:r w:rsidR="004D16E1" w:rsidRPr="00560488">
        <w:rPr>
          <w:b/>
          <w:bCs/>
          <w:sz w:val="20"/>
          <w:szCs w:val="20"/>
        </w:rPr>
        <w:t>.</w:t>
      </w:r>
    </w:p>
    <w:p w:rsidR="004D16E1" w:rsidRPr="00560488" w:rsidRDefault="004D16E1" w:rsidP="00F56A53">
      <w:pPr>
        <w:rPr>
          <w:rFonts w:asciiTheme="minorHAnsi" w:hAnsiTheme="minorHAnsi" w:cs="Arial"/>
          <w:b/>
          <w:sz w:val="20"/>
          <w:szCs w:val="20"/>
        </w:rPr>
      </w:pPr>
    </w:p>
    <w:p w:rsidR="00870812" w:rsidRPr="00560488" w:rsidRDefault="00870812" w:rsidP="00F56A53">
      <w:pPr>
        <w:rPr>
          <w:rFonts w:asciiTheme="minorHAnsi" w:hAnsiTheme="minorHAnsi" w:cs="Arial"/>
          <w:b/>
          <w:sz w:val="20"/>
          <w:szCs w:val="20"/>
        </w:rPr>
      </w:pPr>
    </w:p>
    <w:p w:rsidR="00683B8D" w:rsidRPr="00560488" w:rsidRDefault="00683B8D" w:rsidP="00F56A53">
      <w:pPr>
        <w:rPr>
          <w:rFonts w:asciiTheme="minorHAnsi" w:hAnsiTheme="minorHAnsi" w:cs="Arial"/>
          <w:b/>
          <w:sz w:val="20"/>
          <w:szCs w:val="20"/>
        </w:rPr>
      </w:pPr>
      <w:r w:rsidRPr="00560488">
        <w:rPr>
          <w:rFonts w:asciiTheme="minorHAnsi" w:hAnsiTheme="minorHAnsi" w:cs="Arial"/>
          <w:b/>
          <w:sz w:val="20"/>
          <w:szCs w:val="20"/>
        </w:rPr>
        <w:t xml:space="preserve">ATA recommendation </w:t>
      </w:r>
      <w:r w:rsidR="00870812" w:rsidRPr="00560488">
        <w:rPr>
          <w:rFonts w:asciiTheme="minorHAnsi" w:hAnsiTheme="minorHAnsi" w:cs="Arial"/>
          <w:b/>
          <w:sz w:val="20"/>
          <w:szCs w:val="20"/>
        </w:rPr>
        <w:t>3</w:t>
      </w:r>
    </w:p>
    <w:p w:rsidR="00080193" w:rsidRPr="00560488" w:rsidRDefault="004D16E1" w:rsidP="00F56A53">
      <w:pPr>
        <w:rPr>
          <w:b/>
          <w:bCs/>
          <w:sz w:val="20"/>
          <w:szCs w:val="20"/>
        </w:rPr>
      </w:pPr>
      <w:r w:rsidRPr="00560488">
        <w:rPr>
          <w:b/>
          <w:bCs/>
          <w:sz w:val="20"/>
          <w:szCs w:val="20"/>
        </w:rPr>
        <w:t>R</w:t>
      </w:r>
      <w:r w:rsidR="00870812" w:rsidRPr="00560488">
        <w:rPr>
          <w:b/>
          <w:bCs/>
          <w:sz w:val="20"/>
          <w:szCs w:val="20"/>
        </w:rPr>
        <w:t xml:space="preserve">esponsible parties, such as authorised examiners and inspectors, </w:t>
      </w:r>
      <w:r w:rsidRPr="00560488">
        <w:rPr>
          <w:b/>
          <w:bCs/>
          <w:sz w:val="20"/>
          <w:szCs w:val="20"/>
        </w:rPr>
        <w:t xml:space="preserve">should </w:t>
      </w:r>
      <w:r w:rsidR="00626794" w:rsidRPr="00560488">
        <w:rPr>
          <w:b/>
          <w:bCs/>
          <w:sz w:val="20"/>
          <w:szCs w:val="20"/>
        </w:rPr>
        <w:t>be</w:t>
      </w:r>
      <w:r w:rsidR="00B2669F" w:rsidRPr="00560488">
        <w:rPr>
          <w:b/>
          <w:bCs/>
          <w:sz w:val="20"/>
          <w:szCs w:val="20"/>
        </w:rPr>
        <w:t xml:space="preserve"> </w:t>
      </w:r>
      <w:r w:rsidR="00626794" w:rsidRPr="00560488">
        <w:rPr>
          <w:b/>
          <w:bCs/>
          <w:sz w:val="20"/>
          <w:szCs w:val="20"/>
        </w:rPr>
        <w:t xml:space="preserve">systematically </w:t>
      </w:r>
      <w:r w:rsidR="00B2669F" w:rsidRPr="00560488">
        <w:rPr>
          <w:b/>
          <w:bCs/>
          <w:sz w:val="20"/>
          <w:szCs w:val="20"/>
        </w:rPr>
        <w:t xml:space="preserve">trained to </w:t>
      </w:r>
      <w:r w:rsidR="00683B8D" w:rsidRPr="00560488">
        <w:rPr>
          <w:b/>
          <w:bCs/>
          <w:sz w:val="20"/>
          <w:szCs w:val="20"/>
        </w:rPr>
        <w:t>enforce the HVNL.</w:t>
      </w:r>
    </w:p>
    <w:p w:rsidR="00080193" w:rsidRPr="00560488" w:rsidRDefault="00080193" w:rsidP="00F56A53">
      <w:pPr>
        <w:rPr>
          <w:b/>
          <w:bCs/>
          <w:sz w:val="20"/>
          <w:szCs w:val="20"/>
        </w:rPr>
      </w:pPr>
    </w:p>
    <w:p w:rsidR="00B2669F" w:rsidRPr="00560488" w:rsidRDefault="00B2669F" w:rsidP="00F56A53">
      <w:pPr>
        <w:rPr>
          <w:rFonts w:asciiTheme="minorHAnsi" w:hAnsiTheme="minorHAnsi" w:cs="Arial"/>
          <w:b/>
          <w:i/>
          <w:sz w:val="20"/>
          <w:szCs w:val="20"/>
        </w:rPr>
      </w:pPr>
    </w:p>
    <w:p w:rsidR="00683B8D" w:rsidRPr="00560488" w:rsidRDefault="00683B8D" w:rsidP="00F56A53">
      <w:pPr>
        <w:rPr>
          <w:rFonts w:asciiTheme="minorHAnsi" w:hAnsiTheme="minorHAnsi" w:cs="Arial"/>
          <w:b/>
          <w:sz w:val="20"/>
          <w:szCs w:val="20"/>
        </w:rPr>
      </w:pPr>
      <w:r w:rsidRPr="00560488">
        <w:rPr>
          <w:rFonts w:asciiTheme="minorHAnsi" w:hAnsiTheme="minorHAnsi" w:cs="Arial"/>
          <w:b/>
          <w:sz w:val="20"/>
          <w:szCs w:val="20"/>
        </w:rPr>
        <w:t xml:space="preserve">ATA recommendation </w:t>
      </w:r>
      <w:r w:rsidR="00870812" w:rsidRPr="00560488">
        <w:rPr>
          <w:rFonts w:asciiTheme="minorHAnsi" w:hAnsiTheme="minorHAnsi" w:cs="Arial"/>
          <w:b/>
          <w:sz w:val="20"/>
          <w:szCs w:val="20"/>
        </w:rPr>
        <w:t>4</w:t>
      </w:r>
      <w:r w:rsidR="000C2BBA" w:rsidRPr="00560488">
        <w:rPr>
          <w:rFonts w:asciiTheme="minorHAnsi" w:hAnsiTheme="minorHAnsi" w:cs="Arial"/>
          <w:b/>
          <w:sz w:val="20"/>
          <w:szCs w:val="20"/>
        </w:rPr>
        <w:t xml:space="preserve"> </w:t>
      </w:r>
    </w:p>
    <w:p w:rsidR="00046DD6" w:rsidRPr="00560488" w:rsidRDefault="00DE7895" w:rsidP="00F56A53">
      <w:pPr>
        <w:rPr>
          <w:rFonts w:asciiTheme="minorHAnsi" w:hAnsiTheme="minorHAnsi" w:cs="Arial"/>
          <w:b/>
          <w:sz w:val="20"/>
          <w:szCs w:val="20"/>
        </w:rPr>
      </w:pPr>
      <w:r w:rsidRPr="00560488">
        <w:rPr>
          <w:rFonts w:asciiTheme="minorHAnsi" w:hAnsiTheme="minorHAnsi" w:cs="Arial"/>
          <w:b/>
          <w:sz w:val="20"/>
          <w:szCs w:val="20"/>
        </w:rPr>
        <w:t>R</w:t>
      </w:r>
      <w:r w:rsidR="00046DD6" w:rsidRPr="00560488">
        <w:rPr>
          <w:rFonts w:asciiTheme="minorHAnsi" w:hAnsiTheme="minorHAnsi" w:cs="Arial"/>
          <w:b/>
          <w:sz w:val="20"/>
          <w:szCs w:val="20"/>
        </w:rPr>
        <w:t xml:space="preserve">oadside </w:t>
      </w:r>
      <w:r w:rsidR="00626794" w:rsidRPr="00560488">
        <w:rPr>
          <w:rFonts w:asciiTheme="minorHAnsi" w:hAnsiTheme="minorHAnsi" w:cs="Arial"/>
          <w:b/>
          <w:sz w:val="20"/>
          <w:szCs w:val="20"/>
        </w:rPr>
        <w:t>i</w:t>
      </w:r>
      <w:r w:rsidR="00B2669F" w:rsidRPr="00560488">
        <w:rPr>
          <w:rFonts w:asciiTheme="minorHAnsi" w:hAnsiTheme="minorHAnsi" w:cs="Arial"/>
          <w:b/>
          <w:sz w:val="20"/>
          <w:szCs w:val="20"/>
        </w:rPr>
        <w:t xml:space="preserve">nspections </w:t>
      </w:r>
      <w:r w:rsidR="00176848" w:rsidRPr="00560488">
        <w:rPr>
          <w:b/>
          <w:sz w:val="20"/>
          <w:szCs w:val="20"/>
        </w:rPr>
        <w:t xml:space="preserve">should </w:t>
      </w:r>
      <w:r w:rsidR="00B2669F" w:rsidRPr="00560488">
        <w:rPr>
          <w:rFonts w:asciiTheme="minorHAnsi" w:hAnsiTheme="minorHAnsi" w:cs="Arial"/>
          <w:b/>
          <w:sz w:val="20"/>
          <w:szCs w:val="20"/>
        </w:rPr>
        <w:t>target the worst performers in the industry, not the best.</w:t>
      </w:r>
      <w:r w:rsidR="00926BE8" w:rsidRPr="00560488">
        <w:rPr>
          <w:rFonts w:asciiTheme="minorHAnsi" w:hAnsiTheme="minorHAnsi" w:cs="Arial"/>
          <w:b/>
          <w:sz w:val="20"/>
          <w:szCs w:val="20"/>
        </w:rPr>
        <w:t xml:space="preserve"> </w:t>
      </w:r>
    </w:p>
    <w:p w:rsidR="00046DD6" w:rsidRPr="00560488" w:rsidRDefault="00046DD6" w:rsidP="00F56A53">
      <w:pPr>
        <w:rPr>
          <w:rFonts w:asciiTheme="minorHAnsi" w:hAnsiTheme="minorHAnsi" w:cs="Arial"/>
          <w:b/>
          <w:sz w:val="20"/>
          <w:szCs w:val="20"/>
        </w:rPr>
      </w:pPr>
    </w:p>
    <w:p w:rsidR="00D115A9" w:rsidRPr="00560488" w:rsidRDefault="00D115A9" w:rsidP="00F56A53">
      <w:pPr>
        <w:rPr>
          <w:rFonts w:asciiTheme="minorHAnsi" w:hAnsiTheme="minorHAnsi" w:cs="Arial"/>
          <w:b/>
          <w:sz w:val="20"/>
          <w:szCs w:val="20"/>
        </w:rPr>
      </w:pPr>
    </w:p>
    <w:p w:rsidR="00B2669F" w:rsidRPr="00560488" w:rsidRDefault="00D115A9" w:rsidP="00F56A53">
      <w:pPr>
        <w:rPr>
          <w:rFonts w:asciiTheme="minorHAnsi" w:hAnsiTheme="minorHAnsi" w:cs="Arial"/>
          <w:b/>
          <w:sz w:val="20"/>
          <w:szCs w:val="20"/>
        </w:rPr>
      </w:pPr>
      <w:r w:rsidRPr="00560488">
        <w:rPr>
          <w:rFonts w:asciiTheme="minorHAnsi" w:hAnsiTheme="minorHAnsi" w:cs="Arial"/>
          <w:b/>
          <w:sz w:val="20"/>
          <w:szCs w:val="20"/>
        </w:rPr>
        <w:t xml:space="preserve">ATA </w:t>
      </w:r>
      <w:r w:rsidR="00B2669F" w:rsidRPr="00560488">
        <w:rPr>
          <w:rFonts w:asciiTheme="minorHAnsi" w:hAnsiTheme="minorHAnsi" w:cs="Arial"/>
          <w:b/>
          <w:sz w:val="20"/>
          <w:szCs w:val="20"/>
        </w:rPr>
        <w:t xml:space="preserve">recommendation </w:t>
      </w:r>
      <w:r w:rsidR="00870812" w:rsidRPr="00560488">
        <w:rPr>
          <w:rFonts w:asciiTheme="minorHAnsi" w:hAnsiTheme="minorHAnsi" w:cs="Arial"/>
          <w:b/>
          <w:sz w:val="20"/>
          <w:szCs w:val="20"/>
        </w:rPr>
        <w:t>5</w:t>
      </w:r>
    </w:p>
    <w:p w:rsidR="00080193" w:rsidRPr="00560488" w:rsidRDefault="001104E3" w:rsidP="00F56A53">
      <w:pPr>
        <w:rPr>
          <w:rFonts w:asciiTheme="minorHAnsi" w:hAnsiTheme="minorHAnsi"/>
          <w:b/>
          <w:sz w:val="20"/>
          <w:szCs w:val="20"/>
        </w:rPr>
      </w:pPr>
      <w:r w:rsidRPr="00560488">
        <w:rPr>
          <w:rFonts w:asciiTheme="minorHAnsi" w:hAnsiTheme="minorHAnsi" w:cs="Arial"/>
          <w:b/>
          <w:sz w:val="20"/>
          <w:szCs w:val="20"/>
        </w:rPr>
        <w:t>A</w:t>
      </w:r>
      <w:r w:rsidR="00080193" w:rsidRPr="00560488">
        <w:rPr>
          <w:b/>
          <w:sz w:val="20"/>
          <w:szCs w:val="20"/>
        </w:rPr>
        <w:t xml:space="preserve"> formal process for issuing/clearing/withdrawing defect notices </w:t>
      </w:r>
      <w:r w:rsidRPr="00560488">
        <w:rPr>
          <w:b/>
          <w:sz w:val="20"/>
          <w:szCs w:val="20"/>
        </w:rPr>
        <w:t xml:space="preserve">should </w:t>
      </w:r>
      <w:r w:rsidR="00080193" w:rsidRPr="00560488">
        <w:rPr>
          <w:b/>
          <w:sz w:val="20"/>
          <w:szCs w:val="20"/>
        </w:rPr>
        <w:t>be agreed between HVNL-participating states. Defect n</w:t>
      </w:r>
      <w:r w:rsidR="00080193" w:rsidRPr="00560488">
        <w:rPr>
          <w:rFonts w:asciiTheme="minorHAnsi" w:hAnsiTheme="minorHAnsi"/>
          <w:b/>
          <w:sz w:val="20"/>
          <w:szCs w:val="20"/>
        </w:rPr>
        <w:t xml:space="preserve">otices should display sufficient detail for </w:t>
      </w:r>
      <w:r w:rsidR="00B51520" w:rsidRPr="00560488">
        <w:rPr>
          <w:rFonts w:asciiTheme="minorHAnsi" w:hAnsiTheme="minorHAnsi"/>
          <w:b/>
          <w:sz w:val="20"/>
          <w:szCs w:val="20"/>
        </w:rPr>
        <w:t>a person</w:t>
      </w:r>
      <w:r w:rsidR="00080193" w:rsidRPr="00560488">
        <w:rPr>
          <w:rFonts w:asciiTheme="minorHAnsi" w:hAnsiTheme="minorHAnsi"/>
          <w:b/>
          <w:sz w:val="20"/>
          <w:szCs w:val="20"/>
        </w:rPr>
        <w:t xml:space="preserve"> to be able to note the rule </w:t>
      </w:r>
      <w:r w:rsidR="00C55968" w:rsidRPr="00560488">
        <w:rPr>
          <w:rFonts w:asciiTheme="minorHAnsi" w:hAnsiTheme="minorHAnsi"/>
          <w:b/>
          <w:sz w:val="20"/>
          <w:szCs w:val="20"/>
        </w:rPr>
        <w:t xml:space="preserve">that is </w:t>
      </w:r>
      <w:r w:rsidR="00080193" w:rsidRPr="00560488">
        <w:rPr>
          <w:rFonts w:asciiTheme="minorHAnsi" w:hAnsiTheme="minorHAnsi"/>
          <w:b/>
          <w:sz w:val="20"/>
          <w:szCs w:val="20"/>
        </w:rPr>
        <w:t>applied</w:t>
      </w:r>
      <w:r w:rsidR="00B51520" w:rsidRPr="00560488">
        <w:rPr>
          <w:rFonts w:asciiTheme="minorHAnsi" w:hAnsiTheme="minorHAnsi"/>
          <w:b/>
          <w:sz w:val="20"/>
          <w:szCs w:val="20"/>
        </w:rPr>
        <w:t xml:space="preserve"> and </w:t>
      </w:r>
      <w:r w:rsidR="00080193" w:rsidRPr="00560488">
        <w:rPr>
          <w:rFonts w:asciiTheme="minorHAnsi" w:hAnsiTheme="minorHAnsi"/>
          <w:b/>
          <w:sz w:val="20"/>
          <w:szCs w:val="20"/>
        </w:rPr>
        <w:t xml:space="preserve">the physical location of the alleged non-conformance. </w:t>
      </w:r>
    </w:p>
    <w:p w:rsidR="000D11F5" w:rsidRPr="00560488" w:rsidRDefault="000D11F5" w:rsidP="00F56A53">
      <w:pPr>
        <w:rPr>
          <w:rFonts w:asciiTheme="minorHAnsi" w:hAnsiTheme="minorHAnsi" w:cs="Arial"/>
          <w:b/>
          <w:sz w:val="20"/>
          <w:szCs w:val="20"/>
        </w:rPr>
      </w:pPr>
    </w:p>
    <w:p w:rsidR="000D11F5" w:rsidRPr="00560488" w:rsidRDefault="000D11F5" w:rsidP="00F56A53">
      <w:pPr>
        <w:rPr>
          <w:rFonts w:asciiTheme="minorHAnsi" w:hAnsiTheme="minorHAnsi" w:cs="Arial"/>
          <w:b/>
          <w:sz w:val="20"/>
          <w:szCs w:val="20"/>
        </w:rPr>
      </w:pPr>
    </w:p>
    <w:p w:rsidR="003A65B0" w:rsidRPr="00560488" w:rsidRDefault="00984D7B" w:rsidP="00F56A53">
      <w:pPr>
        <w:rPr>
          <w:rFonts w:asciiTheme="minorHAnsi" w:hAnsiTheme="minorHAnsi" w:cs="Arial"/>
          <w:b/>
          <w:i/>
          <w:sz w:val="20"/>
          <w:szCs w:val="20"/>
        </w:rPr>
      </w:pPr>
      <w:r w:rsidRPr="00560488">
        <w:rPr>
          <w:rFonts w:asciiTheme="minorHAnsi" w:hAnsiTheme="minorHAnsi" w:cs="Arial"/>
          <w:b/>
          <w:sz w:val="20"/>
          <w:szCs w:val="20"/>
        </w:rPr>
        <w:t xml:space="preserve">ATA recommendation </w:t>
      </w:r>
      <w:r w:rsidR="00870812" w:rsidRPr="00560488">
        <w:rPr>
          <w:rFonts w:asciiTheme="minorHAnsi" w:hAnsiTheme="minorHAnsi" w:cs="Arial"/>
          <w:b/>
          <w:sz w:val="20"/>
          <w:szCs w:val="20"/>
        </w:rPr>
        <w:t>6</w:t>
      </w:r>
      <w:r w:rsidR="003A65B0" w:rsidRPr="00560488">
        <w:rPr>
          <w:rFonts w:asciiTheme="minorHAnsi" w:hAnsiTheme="minorHAnsi" w:cs="Arial"/>
          <w:b/>
          <w:sz w:val="20"/>
          <w:szCs w:val="20"/>
        </w:rPr>
        <w:t xml:space="preserve"> </w:t>
      </w:r>
      <w:r w:rsidR="002C15AF" w:rsidRPr="00560488">
        <w:rPr>
          <w:rFonts w:asciiTheme="minorHAnsi" w:hAnsiTheme="minorHAnsi" w:cs="Arial"/>
          <w:b/>
          <w:sz w:val="20"/>
          <w:szCs w:val="20"/>
        </w:rPr>
        <w:t xml:space="preserve"> </w:t>
      </w:r>
      <w:r w:rsidR="003A65B0" w:rsidRPr="00560488">
        <w:rPr>
          <w:rFonts w:asciiTheme="minorHAnsi" w:hAnsiTheme="minorHAnsi" w:cs="Arial"/>
          <w:b/>
          <w:sz w:val="20"/>
          <w:szCs w:val="20"/>
        </w:rPr>
        <w:t>(</w:t>
      </w:r>
      <w:r w:rsidRPr="00560488">
        <w:rPr>
          <w:rFonts w:asciiTheme="minorHAnsi" w:hAnsiTheme="minorHAnsi" w:cs="Arial"/>
          <w:b/>
          <w:i/>
          <w:sz w:val="20"/>
          <w:szCs w:val="20"/>
        </w:rPr>
        <w:t>Opportunity 24</w:t>
      </w:r>
      <w:r w:rsidR="003A65B0" w:rsidRPr="00560488">
        <w:rPr>
          <w:rFonts w:asciiTheme="minorHAnsi" w:hAnsiTheme="minorHAnsi" w:cs="Arial"/>
          <w:b/>
          <w:i/>
          <w:sz w:val="20"/>
          <w:szCs w:val="20"/>
        </w:rPr>
        <w:t>)</w:t>
      </w:r>
    </w:p>
    <w:p w:rsidR="00984D7B" w:rsidRPr="00560488" w:rsidRDefault="00984D7B" w:rsidP="00F56A53">
      <w:pPr>
        <w:rPr>
          <w:rFonts w:asciiTheme="minorHAnsi" w:hAnsiTheme="minorHAnsi" w:cs="Arial"/>
          <w:b/>
          <w:sz w:val="20"/>
          <w:szCs w:val="20"/>
        </w:rPr>
      </w:pPr>
      <w:r w:rsidRPr="00560488">
        <w:rPr>
          <w:rFonts w:asciiTheme="minorHAnsi" w:hAnsiTheme="minorHAnsi" w:cs="Arial"/>
          <w:b/>
          <w:sz w:val="20"/>
          <w:szCs w:val="20"/>
        </w:rPr>
        <w:t xml:space="preserve">The NTC should recommend to </w:t>
      </w:r>
      <w:r w:rsidR="002C15AF" w:rsidRPr="00560488">
        <w:rPr>
          <w:rFonts w:asciiTheme="minorHAnsi" w:hAnsiTheme="minorHAnsi" w:cs="Arial"/>
          <w:b/>
          <w:sz w:val="20"/>
          <w:szCs w:val="20"/>
        </w:rPr>
        <w:t xml:space="preserve">transport </w:t>
      </w:r>
      <w:r w:rsidRPr="00560488">
        <w:rPr>
          <w:rFonts w:asciiTheme="minorHAnsi" w:hAnsiTheme="minorHAnsi" w:cs="Arial"/>
          <w:b/>
          <w:sz w:val="20"/>
          <w:szCs w:val="20"/>
        </w:rPr>
        <w:t xml:space="preserve">ministers that a new duty should be included in chapter 3 of the HVNL, to require chain parties to take reasonable steps to ensure that vehicles are free of defects, safe and maintained in a roadworthy condition. </w:t>
      </w:r>
      <w:r w:rsidR="00A23FA6" w:rsidRPr="00560488">
        <w:rPr>
          <w:rFonts w:asciiTheme="minorHAnsi" w:hAnsiTheme="minorHAnsi" w:cs="Arial"/>
          <w:b/>
          <w:sz w:val="20"/>
          <w:szCs w:val="20"/>
        </w:rPr>
        <w:t>V</w:t>
      </w:r>
      <w:r w:rsidRPr="00560488">
        <w:rPr>
          <w:rFonts w:asciiTheme="minorHAnsi" w:hAnsiTheme="minorHAnsi" w:cs="Arial"/>
          <w:b/>
          <w:sz w:val="20"/>
          <w:szCs w:val="20"/>
        </w:rPr>
        <w:t xml:space="preserve">ehicle maintenance service providers should be included as chain parties. </w:t>
      </w:r>
    </w:p>
    <w:p w:rsidR="003A65B0" w:rsidRPr="00560488" w:rsidRDefault="00984D7B" w:rsidP="00F56A53">
      <w:pPr>
        <w:keepNext/>
        <w:rPr>
          <w:rFonts w:asciiTheme="minorHAnsi" w:hAnsiTheme="minorHAnsi" w:cs="Arial"/>
          <w:b/>
          <w:sz w:val="20"/>
          <w:szCs w:val="20"/>
        </w:rPr>
      </w:pPr>
      <w:r w:rsidRPr="00560488">
        <w:rPr>
          <w:rFonts w:asciiTheme="minorHAnsi" w:hAnsiTheme="minorHAnsi" w:cs="Arial"/>
          <w:b/>
          <w:sz w:val="20"/>
          <w:szCs w:val="20"/>
        </w:rPr>
        <w:lastRenderedPageBreak/>
        <w:t xml:space="preserve">ATA recommendation </w:t>
      </w:r>
      <w:r w:rsidR="002D6BFA" w:rsidRPr="00560488">
        <w:rPr>
          <w:rFonts w:asciiTheme="minorHAnsi" w:hAnsiTheme="minorHAnsi" w:cs="Arial"/>
          <w:b/>
          <w:sz w:val="20"/>
          <w:szCs w:val="20"/>
        </w:rPr>
        <w:t>7</w:t>
      </w:r>
      <w:r w:rsidRPr="00560488">
        <w:rPr>
          <w:rFonts w:asciiTheme="minorHAnsi" w:hAnsiTheme="minorHAnsi"/>
          <w:b/>
          <w:sz w:val="20"/>
          <w:szCs w:val="20"/>
        </w:rPr>
        <w:t xml:space="preserve"> </w:t>
      </w:r>
      <w:r w:rsidR="000E2261" w:rsidRPr="00560488">
        <w:rPr>
          <w:rFonts w:asciiTheme="minorHAnsi" w:hAnsiTheme="minorHAnsi"/>
          <w:b/>
          <w:sz w:val="20"/>
          <w:szCs w:val="20"/>
        </w:rPr>
        <w:t xml:space="preserve"> (</w:t>
      </w:r>
      <w:r w:rsidRPr="00560488">
        <w:rPr>
          <w:rFonts w:asciiTheme="minorHAnsi" w:hAnsiTheme="minorHAnsi"/>
          <w:b/>
          <w:i/>
          <w:sz w:val="20"/>
          <w:szCs w:val="20"/>
        </w:rPr>
        <w:t>Opportunity 8</w:t>
      </w:r>
      <w:r w:rsidR="000E2261" w:rsidRPr="00560488">
        <w:rPr>
          <w:rFonts w:asciiTheme="minorHAnsi" w:hAnsiTheme="minorHAnsi"/>
          <w:b/>
          <w:i/>
          <w:sz w:val="20"/>
          <w:szCs w:val="20"/>
        </w:rPr>
        <w:t xml:space="preserve">) </w:t>
      </w:r>
      <w:r w:rsidR="00E5731D" w:rsidRPr="00560488">
        <w:rPr>
          <w:rFonts w:asciiTheme="minorHAnsi" w:hAnsiTheme="minorHAnsi" w:cs="Arial"/>
          <w:b/>
          <w:sz w:val="20"/>
          <w:szCs w:val="20"/>
        </w:rPr>
        <w:t xml:space="preserve"> </w:t>
      </w:r>
    </w:p>
    <w:p w:rsidR="00984D7B" w:rsidRPr="00560488" w:rsidRDefault="00E5731D" w:rsidP="00F56A53">
      <w:pPr>
        <w:keepNext/>
        <w:rPr>
          <w:rFonts w:asciiTheme="minorHAnsi" w:hAnsiTheme="minorHAnsi" w:cs="Arial"/>
          <w:b/>
          <w:sz w:val="20"/>
          <w:szCs w:val="20"/>
        </w:rPr>
      </w:pPr>
      <w:r w:rsidRPr="00560488">
        <w:rPr>
          <w:rFonts w:asciiTheme="minorHAnsi" w:hAnsiTheme="minorHAnsi" w:cs="Arial"/>
          <w:b/>
          <w:sz w:val="20"/>
          <w:szCs w:val="20"/>
        </w:rPr>
        <w:t xml:space="preserve">To </w:t>
      </w:r>
      <w:r w:rsidR="00984D7B" w:rsidRPr="00560488">
        <w:rPr>
          <w:rFonts w:asciiTheme="minorHAnsi" w:hAnsiTheme="minorHAnsi" w:cs="Arial"/>
          <w:b/>
          <w:sz w:val="20"/>
          <w:szCs w:val="20"/>
        </w:rPr>
        <w:t>comply with the Australian Government’s regulatory requirements – and good regulatory practice –</w:t>
      </w:r>
      <w:r w:rsidR="00190504" w:rsidRPr="00560488">
        <w:rPr>
          <w:rFonts w:asciiTheme="minorHAnsi" w:hAnsiTheme="minorHAnsi" w:cs="Arial"/>
          <w:b/>
          <w:sz w:val="20"/>
          <w:szCs w:val="20"/>
        </w:rPr>
        <w:t xml:space="preserve"> </w:t>
      </w:r>
      <w:r w:rsidR="00984D7B" w:rsidRPr="00560488">
        <w:rPr>
          <w:rFonts w:asciiTheme="minorHAnsi" w:hAnsiTheme="minorHAnsi" w:cs="Arial"/>
          <w:b/>
          <w:sz w:val="20"/>
          <w:szCs w:val="20"/>
        </w:rPr>
        <w:t>the extension of CoR to vehicle standards should be considered as part of a package that includes streamlining other CoR provisions.</w:t>
      </w:r>
    </w:p>
    <w:p w:rsidR="00984D7B" w:rsidRPr="00560488" w:rsidRDefault="00984D7B" w:rsidP="00F56A53">
      <w:pPr>
        <w:rPr>
          <w:rFonts w:asciiTheme="minorHAnsi" w:hAnsiTheme="minorHAnsi" w:cs="Arial"/>
          <w:b/>
          <w:sz w:val="20"/>
          <w:szCs w:val="20"/>
        </w:rPr>
      </w:pPr>
    </w:p>
    <w:p w:rsidR="00984D7B" w:rsidRPr="00560488" w:rsidRDefault="00984D7B" w:rsidP="00F56A53">
      <w:pPr>
        <w:keepNext/>
        <w:rPr>
          <w:rFonts w:asciiTheme="minorHAnsi" w:hAnsiTheme="minorHAnsi" w:cs="Arial"/>
          <w:b/>
          <w:sz w:val="20"/>
          <w:szCs w:val="20"/>
        </w:rPr>
      </w:pPr>
      <w:r w:rsidRPr="00560488">
        <w:rPr>
          <w:rFonts w:asciiTheme="minorHAnsi" w:hAnsiTheme="minorHAnsi" w:cs="Arial"/>
          <w:b/>
          <w:sz w:val="20"/>
          <w:szCs w:val="20"/>
        </w:rPr>
        <w:t xml:space="preserve">ATA recommendation </w:t>
      </w:r>
      <w:r w:rsidR="002D6BFA" w:rsidRPr="00560488">
        <w:rPr>
          <w:rFonts w:asciiTheme="minorHAnsi" w:hAnsiTheme="minorHAnsi" w:cs="Arial"/>
          <w:b/>
          <w:sz w:val="20"/>
          <w:szCs w:val="20"/>
        </w:rPr>
        <w:t>8</w:t>
      </w:r>
    </w:p>
    <w:p w:rsidR="00984D7B" w:rsidRPr="00560488" w:rsidRDefault="00984D7B" w:rsidP="00F56A53">
      <w:pPr>
        <w:keepNext/>
        <w:rPr>
          <w:rFonts w:asciiTheme="minorHAnsi" w:hAnsiTheme="minorHAnsi" w:cs="Arial"/>
          <w:b/>
          <w:sz w:val="20"/>
          <w:szCs w:val="20"/>
        </w:rPr>
      </w:pPr>
      <w:r w:rsidRPr="00560488">
        <w:rPr>
          <w:rFonts w:asciiTheme="minorHAnsi" w:hAnsiTheme="minorHAnsi"/>
          <w:b/>
          <w:sz w:val="20"/>
          <w:szCs w:val="20"/>
        </w:rPr>
        <w:t xml:space="preserve">The </w:t>
      </w:r>
      <w:r w:rsidRPr="00560488">
        <w:rPr>
          <w:rFonts w:asciiTheme="minorHAnsi" w:hAnsiTheme="minorHAnsi" w:cs="Arial"/>
          <w:b/>
          <w:sz w:val="20"/>
          <w:szCs w:val="20"/>
        </w:rPr>
        <w:t xml:space="preserve">COR package </w:t>
      </w:r>
      <w:r w:rsidR="00190504" w:rsidRPr="00560488">
        <w:rPr>
          <w:rFonts w:asciiTheme="minorHAnsi" w:hAnsiTheme="minorHAnsi" w:cs="Arial"/>
          <w:b/>
          <w:sz w:val="20"/>
          <w:szCs w:val="20"/>
        </w:rPr>
        <w:t xml:space="preserve">submitted to ministers </w:t>
      </w:r>
      <w:r w:rsidRPr="00560488">
        <w:rPr>
          <w:rFonts w:asciiTheme="minorHAnsi" w:hAnsiTheme="minorHAnsi" w:cs="Arial"/>
          <w:b/>
          <w:sz w:val="20"/>
          <w:szCs w:val="20"/>
        </w:rPr>
        <w:t xml:space="preserve">include </w:t>
      </w:r>
      <w:r w:rsidR="00487B19">
        <w:rPr>
          <w:rFonts w:asciiTheme="minorHAnsi" w:hAnsiTheme="minorHAnsi" w:cs="Arial"/>
          <w:b/>
          <w:sz w:val="20"/>
          <w:szCs w:val="20"/>
        </w:rPr>
        <w:t xml:space="preserve">the </w:t>
      </w:r>
      <w:r w:rsidRPr="00560488">
        <w:rPr>
          <w:rFonts w:asciiTheme="minorHAnsi" w:hAnsiTheme="minorHAnsi" w:cs="Arial"/>
          <w:b/>
          <w:sz w:val="20"/>
          <w:szCs w:val="20"/>
        </w:rPr>
        <w:t xml:space="preserve">results of the reviews recommended by the CoR Taskforce. The package should be accompanied by a detailed case study analysis that investigates net impact. In particular, it is essential that: </w:t>
      </w:r>
    </w:p>
    <w:p w:rsidR="00984D7B" w:rsidRPr="00560488" w:rsidRDefault="00984D7B" w:rsidP="00F56A53">
      <w:pPr>
        <w:rPr>
          <w:rFonts w:asciiTheme="minorHAnsi" w:hAnsiTheme="minorHAnsi" w:cs="Arial"/>
          <w:b/>
          <w:sz w:val="20"/>
          <w:szCs w:val="20"/>
        </w:rPr>
      </w:pPr>
    </w:p>
    <w:p w:rsidR="00984D7B" w:rsidRPr="00560488" w:rsidRDefault="00984D7B" w:rsidP="00F56A53">
      <w:pPr>
        <w:pStyle w:val="ListParagraph"/>
        <w:keepNext/>
        <w:numPr>
          <w:ilvl w:val="0"/>
          <w:numId w:val="8"/>
        </w:numPr>
        <w:spacing w:after="0" w:line="240" w:lineRule="auto"/>
        <w:ind w:left="360"/>
        <w:rPr>
          <w:rFonts w:asciiTheme="minorHAnsi" w:hAnsiTheme="minorHAnsi" w:cs="Arial"/>
          <w:b/>
          <w:sz w:val="20"/>
          <w:szCs w:val="20"/>
        </w:rPr>
      </w:pPr>
      <w:r w:rsidRPr="00560488">
        <w:rPr>
          <w:rFonts w:asciiTheme="minorHAnsi" w:hAnsiTheme="minorHAnsi" w:cs="Arial"/>
          <w:b/>
          <w:sz w:val="20"/>
          <w:szCs w:val="20"/>
        </w:rPr>
        <w:t>the regulatory burden of the law is not increased and, if possible,</w:t>
      </w:r>
      <w:r w:rsidR="0012626C">
        <w:rPr>
          <w:rFonts w:asciiTheme="minorHAnsi" w:hAnsiTheme="minorHAnsi" w:cs="Arial"/>
          <w:b/>
          <w:sz w:val="20"/>
          <w:szCs w:val="20"/>
        </w:rPr>
        <w:t xml:space="preserve"> decreased</w:t>
      </w:r>
    </w:p>
    <w:p w:rsidR="00984D7B" w:rsidRPr="00560488" w:rsidRDefault="00984D7B" w:rsidP="00F56A53">
      <w:pPr>
        <w:pStyle w:val="ListParagraph"/>
        <w:keepNext/>
        <w:numPr>
          <w:ilvl w:val="0"/>
          <w:numId w:val="8"/>
        </w:numPr>
        <w:spacing w:after="0" w:line="240" w:lineRule="auto"/>
        <w:ind w:left="360"/>
        <w:rPr>
          <w:rFonts w:asciiTheme="minorHAnsi" w:hAnsiTheme="minorHAnsi" w:cs="Arial"/>
          <w:b/>
          <w:sz w:val="20"/>
          <w:szCs w:val="20"/>
        </w:rPr>
      </w:pPr>
      <w:r w:rsidRPr="00560488">
        <w:rPr>
          <w:rFonts w:asciiTheme="minorHAnsi" w:hAnsiTheme="minorHAnsi" w:cs="Arial"/>
          <w:b/>
          <w:sz w:val="20"/>
          <w:szCs w:val="20"/>
        </w:rPr>
        <w:t xml:space="preserve">the law complies with </w:t>
      </w:r>
      <w:r w:rsidR="00487B19">
        <w:rPr>
          <w:rFonts w:asciiTheme="minorHAnsi" w:hAnsiTheme="minorHAnsi" w:cs="Arial"/>
          <w:b/>
          <w:sz w:val="20"/>
          <w:szCs w:val="20"/>
        </w:rPr>
        <w:t xml:space="preserve">the </w:t>
      </w:r>
      <w:r w:rsidRPr="00560488">
        <w:rPr>
          <w:rFonts w:asciiTheme="minorHAnsi" w:hAnsiTheme="minorHAnsi" w:cs="Arial"/>
          <w:b/>
          <w:sz w:val="20"/>
          <w:szCs w:val="20"/>
        </w:rPr>
        <w:t>COAG principles and guidelines</w:t>
      </w:r>
    </w:p>
    <w:p w:rsidR="00984D7B" w:rsidRPr="00560488" w:rsidRDefault="00984D7B" w:rsidP="00F56A53">
      <w:pPr>
        <w:pStyle w:val="ListParagraph"/>
        <w:keepNext/>
        <w:numPr>
          <w:ilvl w:val="0"/>
          <w:numId w:val="7"/>
        </w:numPr>
        <w:spacing w:after="0" w:line="240" w:lineRule="auto"/>
        <w:ind w:left="360"/>
        <w:rPr>
          <w:rFonts w:asciiTheme="minorHAnsi" w:hAnsiTheme="minorHAnsi" w:cs="Arial"/>
          <w:b/>
          <w:sz w:val="20"/>
          <w:szCs w:val="20"/>
        </w:rPr>
      </w:pPr>
      <w:r w:rsidRPr="00560488">
        <w:rPr>
          <w:rFonts w:asciiTheme="minorHAnsi" w:hAnsiTheme="minorHAnsi" w:cs="Arial"/>
          <w:b/>
          <w:sz w:val="20"/>
          <w:szCs w:val="20"/>
        </w:rPr>
        <w:t>Executive officer liability offences in the law may and are likely to be investigated and prosecuted effectively</w:t>
      </w:r>
    </w:p>
    <w:p w:rsidR="00984D7B" w:rsidRPr="00560488" w:rsidRDefault="00984D7B" w:rsidP="00F56A53">
      <w:pPr>
        <w:pStyle w:val="ListParagraph"/>
        <w:keepNext/>
        <w:numPr>
          <w:ilvl w:val="0"/>
          <w:numId w:val="7"/>
        </w:numPr>
        <w:spacing w:after="0" w:line="240" w:lineRule="auto"/>
        <w:ind w:left="360"/>
        <w:rPr>
          <w:rFonts w:asciiTheme="minorHAnsi" w:hAnsiTheme="minorHAnsi" w:cs="Arial"/>
          <w:b/>
          <w:sz w:val="20"/>
          <w:szCs w:val="20"/>
        </w:rPr>
      </w:pPr>
      <w:r w:rsidRPr="00560488">
        <w:rPr>
          <w:rFonts w:asciiTheme="minorHAnsi" w:hAnsiTheme="minorHAnsi" w:cs="Arial"/>
          <w:b/>
          <w:sz w:val="20"/>
          <w:szCs w:val="20"/>
        </w:rPr>
        <w:t xml:space="preserve">offences provide adequate tools to discourage and, if necessary, deal effectively with systemic corporate failures such as failure to prevent speed limiter tampering that can result in or enable specific offences </w:t>
      </w:r>
    </w:p>
    <w:p w:rsidR="00984D7B" w:rsidRPr="00560488" w:rsidRDefault="00984D7B" w:rsidP="00F56A53">
      <w:pPr>
        <w:pStyle w:val="ListParagraph"/>
        <w:keepNext/>
        <w:numPr>
          <w:ilvl w:val="0"/>
          <w:numId w:val="7"/>
        </w:numPr>
        <w:spacing w:after="0" w:line="240" w:lineRule="auto"/>
        <w:ind w:left="360"/>
        <w:rPr>
          <w:rFonts w:asciiTheme="minorHAnsi" w:hAnsiTheme="minorHAnsi" w:cs="Arial"/>
          <w:b/>
          <w:sz w:val="20"/>
          <w:szCs w:val="20"/>
        </w:rPr>
      </w:pPr>
      <w:r w:rsidRPr="00560488">
        <w:rPr>
          <w:rFonts w:asciiTheme="minorHAnsi" w:hAnsiTheme="minorHAnsi" w:cs="Arial"/>
          <w:b/>
          <w:sz w:val="20"/>
          <w:szCs w:val="20"/>
        </w:rPr>
        <w:t>the total of penalties, including for multiple breaches, that can be imposed is not smaller than the penalties that can currently be imposed under the HVNL and, before it, the model law; and</w:t>
      </w:r>
    </w:p>
    <w:p w:rsidR="00984D7B" w:rsidRPr="00560488" w:rsidRDefault="00984D7B" w:rsidP="00F56A53">
      <w:pPr>
        <w:pStyle w:val="ListParagraph"/>
        <w:keepNext/>
        <w:numPr>
          <w:ilvl w:val="0"/>
          <w:numId w:val="7"/>
        </w:numPr>
        <w:spacing w:after="0" w:line="240" w:lineRule="auto"/>
        <w:ind w:left="360"/>
        <w:rPr>
          <w:rFonts w:asciiTheme="minorHAnsi" w:hAnsiTheme="minorHAnsi" w:cs="Arial"/>
          <w:b/>
          <w:sz w:val="20"/>
          <w:szCs w:val="20"/>
        </w:rPr>
      </w:pPr>
      <w:r w:rsidRPr="00560488">
        <w:rPr>
          <w:rFonts w:asciiTheme="minorHAnsi" w:hAnsiTheme="minorHAnsi" w:cs="Arial"/>
          <w:b/>
          <w:sz w:val="20"/>
          <w:szCs w:val="20"/>
        </w:rPr>
        <w:t>the HVNL can stand alone and not rely upon state legislation to fill gaps when pursuing CoR parties due to inadequacies or gaps in the HVNL.</w:t>
      </w:r>
    </w:p>
    <w:p w:rsidR="00F1057D" w:rsidRPr="00560488" w:rsidRDefault="00F1057D" w:rsidP="00F56A53">
      <w:pPr>
        <w:rPr>
          <w:rFonts w:asciiTheme="minorHAnsi" w:hAnsiTheme="minorHAnsi" w:cs="Arial"/>
          <w:b/>
          <w:sz w:val="20"/>
          <w:szCs w:val="20"/>
        </w:rPr>
      </w:pPr>
    </w:p>
    <w:p w:rsidR="00A23FA6" w:rsidRPr="00560488" w:rsidRDefault="00A23FA6" w:rsidP="00F56A53">
      <w:pPr>
        <w:rPr>
          <w:b/>
          <w:bCs/>
          <w:i/>
          <w:sz w:val="20"/>
          <w:szCs w:val="20"/>
        </w:rPr>
      </w:pPr>
      <w:r w:rsidRPr="00560488">
        <w:rPr>
          <w:rFonts w:asciiTheme="minorHAnsi" w:hAnsiTheme="minorHAnsi" w:cs="Arial"/>
          <w:b/>
          <w:sz w:val="20"/>
          <w:szCs w:val="20"/>
        </w:rPr>
        <w:t xml:space="preserve">ATA recommendation 9   </w:t>
      </w:r>
      <w:r w:rsidRPr="00560488">
        <w:rPr>
          <w:b/>
          <w:bCs/>
          <w:i/>
          <w:sz w:val="20"/>
          <w:szCs w:val="20"/>
        </w:rPr>
        <w:t>(Opportunit</w:t>
      </w:r>
      <w:r w:rsidR="001C6757" w:rsidRPr="00560488">
        <w:rPr>
          <w:b/>
          <w:bCs/>
          <w:i/>
          <w:sz w:val="20"/>
          <w:szCs w:val="20"/>
        </w:rPr>
        <w:t>ies</w:t>
      </w:r>
      <w:r w:rsidRPr="00560488">
        <w:rPr>
          <w:b/>
          <w:bCs/>
          <w:i/>
          <w:sz w:val="20"/>
          <w:szCs w:val="20"/>
        </w:rPr>
        <w:t xml:space="preserve"> 32</w:t>
      </w:r>
      <w:r w:rsidR="001C6757" w:rsidRPr="00560488">
        <w:rPr>
          <w:b/>
          <w:bCs/>
          <w:i/>
          <w:sz w:val="20"/>
          <w:szCs w:val="20"/>
        </w:rPr>
        <w:t>, 35</w:t>
      </w:r>
      <w:r w:rsidRPr="00560488">
        <w:rPr>
          <w:b/>
          <w:bCs/>
          <w:i/>
          <w:sz w:val="20"/>
          <w:szCs w:val="20"/>
        </w:rPr>
        <w:t>)</w:t>
      </w:r>
    </w:p>
    <w:p w:rsidR="001C6757" w:rsidRPr="00560488" w:rsidRDefault="00A23FA6" w:rsidP="00F56A53">
      <w:pPr>
        <w:rPr>
          <w:b/>
          <w:sz w:val="20"/>
          <w:szCs w:val="20"/>
        </w:rPr>
      </w:pPr>
      <w:r w:rsidRPr="00560488">
        <w:rPr>
          <w:b/>
          <w:bCs/>
          <w:sz w:val="20"/>
          <w:szCs w:val="20"/>
        </w:rPr>
        <w:t>T</w:t>
      </w:r>
      <w:r w:rsidRPr="00560488">
        <w:rPr>
          <w:b/>
          <w:sz w:val="20"/>
          <w:szCs w:val="20"/>
        </w:rPr>
        <w:t xml:space="preserve">he NHVAS in its current form </w:t>
      </w:r>
      <w:r w:rsidR="00190504" w:rsidRPr="00560488">
        <w:rPr>
          <w:b/>
          <w:sz w:val="20"/>
          <w:szCs w:val="20"/>
        </w:rPr>
        <w:t xml:space="preserve">should </w:t>
      </w:r>
      <w:r w:rsidRPr="00560488">
        <w:rPr>
          <w:b/>
          <w:sz w:val="20"/>
          <w:szCs w:val="20"/>
        </w:rPr>
        <w:t>be wound down</w:t>
      </w:r>
      <w:r w:rsidR="00487B19">
        <w:rPr>
          <w:b/>
          <w:sz w:val="20"/>
          <w:szCs w:val="20"/>
        </w:rPr>
        <w:t>. T</w:t>
      </w:r>
      <w:r w:rsidR="001C6757" w:rsidRPr="00560488">
        <w:rPr>
          <w:b/>
          <w:sz w:val="20"/>
          <w:szCs w:val="20"/>
        </w:rPr>
        <w:t>he regulator should not continue seek</w:t>
      </w:r>
      <w:r w:rsidR="007D14FC">
        <w:rPr>
          <w:b/>
          <w:sz w:val="20"/>
          <w:szCs w:val="20"/>
        </w:rPr>
        <w:t>ing</w:t>
      </w:r>
      <w:r w:rsidR="001C6757" w:rsidRPr="00560488">
        <w:rPr>
          <w:b/>
          <w:sz w:val="20"/>
          <w:szCs w:val="20"/>
        </w:rPr>
        <w:t xml:space="preserve"> to crowd out market offerings such as the ATA’s TruckSafe safety management system by delivering an accreditation scheme in competition with them. </w:t>
      </w:r>
    </w:p>
    <w:p w:rsidR="00A23FA6" w:rsidRPr="00560488" w:rsidRDefault="00A23FA6" w:rsidP="00F56A53">
      <w:pPr>
        <w:rPr>
          <w:rFonts w:asciiTheme="minorHAnsi" w:hAnsiTheme="minorHAnsi" w:cs="Arial"/>
          <w:b/>
          <w:sz w:val="20"/>
          <w:szCs w:val="20"/>
        </w:rPr>
      </w:pPr>
    </w:p>
    <w:p w:rsidR="004112FC" w:rsidRPr="00560488" w:rsidRDefault="00984D7B" w:rsidP="00F56A53">
      <w:pPr>
        <w:rPr>
          <w:b/>
          <w:bCs/>
          <w:i/>
          <w:sz w:val="20"/>
          <w:szCs w:val="20"/>
        </w:rPr>
      </w:pPr>
      <w:r w:rsidRPr="00560488">
        <w:rPr>
          <w:rFonts w:asciiTheme="minorHAnsi" w:hAnsiTheme="minorHAnsi" w:cs="Arial"/>
          <w:b/>
          <w:sz w:val="20"/>
          <w:szCs w:val="20"/>
        </w:rPr>
        <w:t xml:space="preserve">ATA recommendation </w:t>
      </w:r>
      <w:r w:rsidR="00A23FA6" w:rsidRPr="00560488">
        <w:rPr>
          <w:rFonts w:asciiTheme="minorHAnsi" w:hAnsiTheme="minorHAnsi" w:cs="Arial"/>
          <w:b/>
          <w:sz w:val="20"/>
          <w:szCs w:val="20"/>
        </w:rPr>
        <w:t>10</w:t>
      </w:r>
      <w:r w:rsidR="004112FC" w:rsidRPr="00560488">
        <w:rPr>
          <w:rFonts w:asciiTheme="minorHAnsi" w:hAnsiTheme="minorHAnsi" w:cs="Arial"/>
          <w:b/>
          <w:sz w:val="20"/>
          <w:szCs w:val="20"/>
        </w:rPr>
        <w:t xml:space="preserve">  (</w:t>
      </w:r>
      <w:r w:rsidRPr="00560488">
        <w:rPr>
          <w:b/>
          <w:bCs/>
          <w:i/>
          <w:sz w:val="20"/>
          <w:szCs w:val="20"/>
        </w:rPr>
        <w:t>Opportunity 31</w:t>
      </w:r>
      <w:r w:rsidR="004112FC" w:rsidRPr="00560488">
        <w:rPr>
          <w:b/>
          <w:bCs/>
          <w:i/>
          <w:sz w:val="20"/>
          <w:szCs w:val="20"/>
        </w:rPr>
        <w:t>)</w:t>
      </w:r>
    </w:p>
    <w:p w:rsidR="00984D7B" w:rsidRDefault="001C6757" w:rsidP="00F56A53">
      <w:pPr>
        <w:rPr>
          <w:b/>
          <w:sz w:val="20"/>
          <w:szCs w:val="20"/>
        </w:rPr>
      </w:pPr>
      <w:r w:rsidRPr="00560488">
        <w:rPr>
          <w:b/>
          <w:sz w:val="20"/>
          <w:szCs w:val="20"/>
        </w:rPr>
        <w:t>O</w:t>
      </w:r>
      <w:r w:rsidR="00984D7B" w:rsidRPr="00560488">
        <w:rPr>
          <w:b/>
          <w:sz w:val="20"/>
          <w:szCs w:val="20"/>
        </w:rPr>
        <w:t xml:space="preserve">perators </w:t>
      </w:r>
      <w:r w:rsidRPr="00560488">
        <w:rPr>
          <w:b/>
          <w:sz w:val="20"/>
          <w:szCs w:val="20"/>
        </w:rPr>
        <w:t xml:space="preserve">in high risk areas should </w:t>
      </w:r>
      <w:r w:rsidR="00984D7B" w:rsidRPr="00560488">
        <w:rPr>
          <w:b/>
          <w:sz w:val="20"/>
          <w:szCs w:val="20"/>
        </w:rPr>
        <w:t xml:space="preserve">be </w:t>
      </w:r>
      <w:r w:rsidR="00C43DBD" w:rsidRPr="00560488">
        <w:rPr>
          <w:b/>
          <w:sz w:val="20"/>
          <w:szCs w:val="20"/>
        </w:rPr>
        <w:t xml:space="preserve">required to be </w:t>
      </w:r>
      <w:r w:rsidR="00984D7B" w:rsidRPr="00560488">
        <w:rPr>
          <w:b/>
          <w:sz w:val="20"/>
          <w:szCs w:val="20"/>
        </w:rPr>
        <w:t>in a maintenance management scheme</w:t>
      </w:r>
      <w:r w:rsidR="007D4CA2">
        <w:rPr>
          <w:b/>
          <w:sz w:val="20"/>
          <w:szCs w:val="20"/>
        </w:rPr>
        <w:t xml:space="preserve"> (but not necessarily the NHVAS)</w:t>
      </w:r>
      <w:r w:rsidR="00984D7B" w:rsidRPr="00560488">
        <w:rPr>
          <w:b/>
          <w:sz w:val="20"/>
          <w:szCs w:val="20"/>
        </w:rPr>
        <w:t>, which would enable them to choose the scheme best suited to their needs.</w:t>
      </w:r>
    </w:p>
    <w:p w:rsidR="005449A1" w:rsidRDefault="005449A1" w:rsidP="00F56A53">
      <w:pPr>
        <w:rPr>
          <w:b/>
          <w:sz w:val="20"/>
          <w:szCs w:val="20"/>
        </w:rPr>
      </w:pPr>
    </w:p>
    <w:p w:rsidR="00A57296" w:rsidRPr="009F7CBE" w:rsidRDefault="00A57296" w:rsidP="00A57296">
      <w:pPr>
        <w:rPr>
          <w:rFonts w:asciiTheme="minorHAnsi" w:hAnsiTheme="minorHAnsi" w:cs="Arial"/>
          <w:b/>
          <w:sz w:val="20"/>
          <w:szCs w:val="20"/>
        </w:rPr>
      </w:pPr>
      <w:r w:rsidRPr="009F7CBE">
        <w:rPr>
          <w:rFonts w:asciiTheme="minorHAnsi" w:hAnsiTheme="minorHAnsi" w:cs="Arial"/>
          <w:b/>
          <w:sz w:val="20"/>
          <w:szCs w:val="20"/>
        </w:rPr>
        <w:t xml:space="preserve">ATA recommendation 11  </w:t>
      </w:r>
    </w:p>
    <w:p w:rsidR="00A57296" w:rsidRPr="00503CE3" w:rsidRDefault="00A57296" w:rsidP="00A57296">
      <w:pPr>
        <w:rPr>
          <w:b/>
          <w:sz w:val="20"/>
          <w:szCs w:val="20"/>
        </w:rPr>
      </w:pPr>
      <w:r w:rsidRPr="009F7CBE">
        <w:rPr>
          <w:rFonts w:asciiTheme="minorHAnsi" w:hAnsiTheme="minorHAnsi" w:cs="Arial"/>
          <w:b/>
          <w:sz w:val="20"/>
          <w:szCs w:val="20"/>
        </w:rPr>
        <w:t xml:space="preserve">The </w:t>
      </w:r>
      <w:r w:rsidRPr="009F7CBE">
        <w:rPr>
          <w:b/>
          <w:sz w:val="20"/>
          <w:szCs w:val="20"/>
        </w:rPr>
        <w:t>skill set required to conduct a full audit should not include mechanical qualifications and expertise to carry out a physical fleet inspection in addition to records-based audit skills.</w:t>
      </w:r>
      <w:r w:rsidRPr="00503CE3">
        <w:rPr>
          <w:b/>
          <w:sz w:val="20"/>
          <w:szCs w:val="20"/>
        </w:rPr>
        <w:t xml:space="preserve"> </w:t>
      </w:r>
    </w:p>
    <w:p w:rsidR="000E2261" w:rsidRPr="00560488" w:rsidRDefault="000E2261" w:rsidP="00F56A53">
      <w:pPr>
        <w:rPr>
          <w:b/>
          <w:sz w:val="20"/>
          <w:szCs w:val="20"/>
        </w:rPr>
      </w:pPr>
    </w:p>
    <w:p w:rsidR="004405E7" w:rsidRPr="00560488" w:rsidRDefault="004405E7" w:rsidP="00F56A53">
      <w:pPr>
        <w:autoSpaceDE w:val="0"/>
        <w:autoSpaceDN w:val="0"/>
        <w:adjustRightInd w:val="0"/>
        <w:rPr>
          <w:rFonts w:asciiTheme="minorHAnsi" w:hAnsiTheme="minorHAnsi" w:cs="Arial"/>
          <w:b/>
          <w:sz w:val="20"/>
          <w:szCs w:val="20"/>
          <w:highlight w:val="white"/>
          <w:lang w:eastAsia="en-AU"/>
        </w:rPr>
      </w:pPr>
    </w:p>
    <w:p w:rsidR="00224606" w:rsidRPr="00887EB4" w:rsidRDefault="003B4BC0" w:rsidP="00887EB4">
      <w:pPr>
        <w:pStyle w:val="Heading1"/>
        <w:rPr>
          <w:color w:val="auto"/>
        </w:rPr>
      </w:pPr>
      <w:bookmarkStart w:id="3" w:name="_Toc398126238"/>
      <w:r w:rsidRPr="00887EB4">
        <w:rPr>
          <w:color w:val="auto"/>
        </w:rPr>
        <w:t>R</w:t>
      </w:r>
      <w:r w:rsidR="00224606" w:rsidRPr="00887EB4">
        <w:rPr>
          <w:color w:val="auto"/>
        </w:rPr>
        <w:t>oadworthiness</w:t>
      </w:r>
      <w:bookmarkEnd w:id="3"/>
      <w:r w:rsidR="00586A08" w:rsidRPr="00887EB4">
        <w:rPr>
          <w:color w:val="auto"/>
        </w:rPr>
        <w:t xml:space="preserve"> </w:t>
      </w:r>
    </w:p>
    <w:p w:rsidR="00295280" w:rsidRDefault="00295280" w:rsidP="00F56A53">
      <w:pPr>
        <w:rPr>
          <w:sz w:val="20"/>
          <w:szCs w:val="20"/>
        </w:rPr>
      </w:pPr>
    </w:p>
    <w:p w:rsidR="00F21744" w:rsidRPr="00560488" w:rsidRDefault="00F21744" w:rsidP="00F56A53">
      <w:pPr>
        <w:rPr>
          <w:sz w:val="20"/>
          <w:szCs w:val="20"/>
        </w:rPr>
      </w:pPr>
      <w:r w:rsidRPr="00560488">
        <w:rPr>
          <w:sz w:val="20"/>
          <w:szCs w:val="20"/>
        </w:rPr>
        <w:t xml:space="preserve">As NHVR systems mature, an agreed, stable national approach to </w:t>
      </w:r>
      <w:r w:rsidR="00E40BB7" w:rsidRPr="00560488">
        <w:rPr>
          <w:sz w:val="20"/>
          <w:szCs w:val="20"/>
        </w:rPr>
        <w:t xml:space="preserve">the </w:t>
      </w:r>
      <w:r w:rsidRPr="00560488">
        <w:rPr>
          <w:sz w:val="20"/>
          <w:szCs w:val="20"/>
        </w:rPr>
        <w:t xml:space="preserve">assessment of </w:t>
      </w:r>
      <w:r w:rsidR="00AE5998" w:rsidRPr="00560488">
        <w:rPr>
          <w:rFonts w:asciiTheme="minorHAnsi" w:hAnsiTheme="minorHAnsi"/>
          <w:sz w:val="20"/>
          <w:szCs w:val="20"/>
        </w:rPr>
        <w:t xml:space="preserve">heavy vehicle </w:t>
      </w:r>
      <w:r w:rsidRPr="00560488">
        <w:rPr>
          <w:sz w:val="20"/>
          <w:szCs w:val="20"/>
        </w:rPr>
        <w:t xml:space="preserve">roadworthiness (including </w:t>
      </w:r>
      <w:r w:rsidR="00916451" w:rsidRPr="00560488">
        <w:rPr>
          <w:sz w:val="20"/>
          <w:szCs w:val="20"/>
        </w:rPr>
        <w:t xml:space="preserve">accreditation, </w:t>
      </w:r>
      <w:r w:rsidRPr="00560488">
        <w:rPr>
          <w:sz w:val="20"/>
          <w:szCs w:val="20"/>
        </w:rPr>
        <w:t>inspection, interception and defect</w:t>
      </w:r>
      <w:r w:rsidR="00AE5998" w:rsidRPr="00560488">
        <w:rPr>
          <w:sz w:val="20"/>
          <w:szCs w:val="20"/>
        </w:rPr>
        <w:t xml:space="preserve"> processes</w:t>
      </w:r>
      <w:r w:rsidRPr="00560488">
        <w:rPr>
          <w:sz w:val="20"/>
          <w:szCs w:val="20"/>
        </w:rPr>
        <w:t xml:space="preserve">) by road </w:t>
      </w:r>
      <w:r w:rsidR="00586A08" w:rsidRPr="00560488">
        <w:rPr>
          <w:sz w:val="20"/>
          <w:szCs w:val="20"/>
        </w:rPr>
        <w:t xml:space="preserve">transport </w:t>
      </w:r>
      <w:r w:rsidRPr="00560488">
        <w:rPr>
          <w:sz w:val="20"/>
          <w:szCs w:val="20"/>
        </w:rPr>
        <w:t>authorities become</w:t>
      </w:r>
      <w:r w:rsidR="00C330F2" w:rsidRPr="00560488">
        <w:rPr>
          <w:sz w:val="20"/>
          <w:szCs w:val="20"/>
        </w:rPr>
        <w:t>s</w:t>
      </w:r>
      <w:r w:rsidRPr="00560488">
        <w:rPr>
          <w:sz w:val="20"/>
          <w:szCs w:val="20"/>
        </w:rPr>
        <w:t xml:space="preserve"> more critical for minimising administrative </w:t>
      </w:r>
      <w:r w:rsidR="00BA5BF3" w:rsidRPr="00560488">
        <w:rPr>
          <w:sz w:val="20"/>
          <w:szCs w:val="20"/>
        </w:rPr>
        <w:t>or</w:t>
      </w:r>
      <w:r w:rsidRPr="00560488">
        <w:rPr>
          <w:sz w:val="20"/>
          <w:szCs w:val="20"/>
        </w:rPr>
        <w:t xml:space="preserve"> customer confusion and compliance costs. As </w:t>
      </w:r>
      <w:r w:rsidR="00AE5998" w:rsidRPr="00560488">
        <w:rPr>
          <w:sz w:val="20"/>
          <w:szCs w:val="20"/>
        </w:rPr>
        <w:t>the</w:t>
      </w:r>
      <w:r w:rsidRPr="00560488">
        <w:rPr>
          <w:sz w:val="20"/>
          <w:szCs w:val="20"/>
        </w:rPr>
        <w:t xml:space="preserve"> </w:t>
      </w:r>
      <w:r w:rsidR="00C330F2" w:rsidRPr="00560488">
        <w:rPr>
          <w:sz w:val="20"/>
          <w:szCs w:val="20"/>
        </w:rPr>
        <w:t xml:space="preserve">whole </w:t>
      </w:r>
      <w:r w:rsidRPr="00560488">
        <w:rPr>
          <w:sz w:val="20"/>
          <w:szCs w:val="20"/>
        </w:rPr>
        <w:t>national access regime matures, industry’s need for</w:t>
      </w:r>
      <w:r w:rsidR="00AE5998" w:rsidRPr="00560488">
        <w:rPr>
          <w:sz w:val="20"/>
          <w:szCs w:val="20"/>
        </w:rPr>
        <w:t xml:space="preserve"> </w:t>
      </w:r>
      <w:r w:rsidRPr="00560488">
        <w:rPr>
          <w:sz w:val="20"/>
          <w:szCs w:val="20"/>
        </w:rPr>
        <w:t xml:space="preserve">systematic </w:t>
      </w:r>
      <w:r w:rsidR="00AE5998" w:rsidRPr="00560488">
        <w:rPr>
          <w:sz w:val="20"/>
          <w:szCs w:val="20"/>
        </w:rPr>
        <w:t xml:space="preserve">treatment </w:t>
      </w:r>
      <w:r w:rsidR="000D11F5" w:rsidRPr="00560488">
        <w:rPr>
          <w:sz w:val="20"/>
          <w:szCs w:val="20"/>
        </w:rPr>
        <w:t xml:space="preserve">under </w:t>
      </w:r>
      <w:r w:rsidR="000509A2" w:rsidRPr="00560488">
        <w:rPr>
          <w:rFonts w:asciiTheme="minorHAnsi" w:hAnsiTheme="minorHAnsi"/>
          <w:sz w:val="20"/>
          <w:szCs w:val="20"/>
        </w:rPr>
        <w:t xml:space="preserve">heavy vehicle </w:t>
      </w:r>
      <w:r w:rsidR="00AE5998" w:rsidRPr="00560488">
        <w:rPr>
          <w:sz w:val="20"/>
          <w:szCs w:val="20"/>
        </w:rPr>
        <w:t xml:space="preserve">compliance processes </w:t>
      </w:r>
      <w:r w:rsidR="00C330F2" w:rsidRPr="00560488">
        <w:rPr>
          <w:sz w:val="20"/>
          <w:szCs w:val="20"/>
        </w:rPr>
        <w:t>becomes</w:t>
      </w:r>
      <w:r w:rsidRPr="00560488">
        <w:rPr>
          <w:sz w:val="20"/>
          <w:szCs w:val="20"/>
        </w:rPr>
        <w:t xml:space="preserve"> urgent.</w:t>
      </w:r>
    </w:p>
    <w:p w:rsidR="00586A08" w:rsidRPr="00560488" w:rsidRDefault="00586A08" w:rsidP="00F56A53">
      <w:pPr>
        <w:rPr>
          <w:sz w:val="20"/>
          <w:szCs w:val="20"/>
        </w:rPr>
      </w:pPr>
    </w:p>
    <w:p w:rsidR="00E64C95" w:rsidRPr="00560488" w:rsidRDefault="00E64C95" w:rsidP="00F56A53">
      <w:pPr>
        <w:rPr>
          <w:sz w:val="20"/>
          <w:szCs w:val="20"/>
        </w:rPr>
      </w:pPr>
      <w:r w:rsidRPr="00560488">
        <w:rPr>
          <w:sz w:val="20"/>
          <w:szCs w:val="20"/>
        </w:rPr>
        <w:t xml:space="preserve">Clear, nationally accepted criteria need to be established for the purposes of declaring a vehicle roadworthy or not, and for issuing and clearing defect notices. </w:t>
      </w:r>
      <w:r w:rsidRPr="00560488">
        <w:rPr>
          <w:bCs/>
          <w:sz w:val="20"/>
          <w:szCs w:val="20"/>
        </w:rPr>
        <w:t>C</w:t>
      </w:r>
      <w:r w:rsidRPr="00560488">
        <w:rPr>
          <w:sz w:val="20"/>
          <w:szCs w:val="20"/>
        </w:rPr>
        <w:t xml:space="preserve">onsistent interpretation of the national heavy vehicle inspection manual by inspectors and other authorised officers is very much needed to ensure consistent national treatment of heavy vehicle roadworthiness. Clear, nationally accepted criteria should be established for the purposes of inspection, declaring a vehicle roadworthy or not, and for issuing and clearing defect notices. </w:t>
      </w:r>
    </w:p>
    <w:p w:rsidR="00E64C95" w:rsidRPr="00560488" w:rsidRDefault="00E64C95" w:rsidP="00F56A53">
      <w:pPr>
        <w:rPr>
          <w:sz w:val="20"/>
          <w:szCs w:val="20"/>
        </w:rPr>
      </w:pPr>
    </w:p>
    <w:p w:rsidR="00E64C95" w:rsidRPr="00560488" w:rsidRDefault="00E64C95" w:rsidP="00F56A53">
      <w:pPr>
        <w:rPr>
          <w:sz w:val="20"/>
          <w:szCs w:val="20"/>
        </w:rPr>
      </w:pPr>
      <w:r w:rsidRPr="00560488">
        <w:rPr>
          <w:sz w:val="20"/>
          <w:szCs w:val="20"/>
        </w:rPr>
        <w:t>Rigorous written guidance materials and systematic training must be provided to dedicated staff in relation to the exercise of their inspection powers. This will ensure a nationally consistent approach is used to interpret the national heavy vehicle inspection manual and thus the assessment of any vehicle’s roadworthiness.</w:t>
      </w:r>
    </w:p>
    <w:p w:rsidR="00220E65" w:rsidRPr="00560488" w:rsidRDefault="00220E65" w:rsidP="00F56A53">
      <w:pPr>
        <w:pStyle w:val="Heading1"/>
        <w:numPr>
          <w:ilvl w:val="0"/>
          <w:numId w:val="0"/>
        </w:numPr>
        <w:jc w:val="both"/>
        <w:rPr>
          <w:rFonts w:asciiTheme="minorHAnsi" w:hAnsiTheme="minorHAnsi"/>
          <w:color w:val="auto"/>
          <w:sz w:val="22"/>
          <w:szCs w:val="22"/>
        </w:rPr>
      </w:pPr>
    </w:p>
    <w:p w:rsidR="001B7BD7" w:rsidRPr="00560488" w:rsidRDefault="001B7BD7" w:rsidP="00F56A53">
      <w:pPr>
        <w:pStyle w:val="Heading1"/>
        <w:numPr>
          <w:ilvl w:val="0"/>
          <w:numId w:val="0"/>
        </w:numPr>
        <w:jc w:val="both"/>
        <w:rPr>
          <w:rFonts w:asciiTheme="minorHAnsi" w:hAnsiTheme="minorHAnsi"/>
          <w:color w:val="auto"/>
          <w:sz w:val="20"/>
          <w:szCs w:val="20"/>
        </w:rPr>
      </w:pPr>
      <w:r w:rsidRPr="00560488">
        <w:rPr>
          <w:rFonts w:asciiTheme="minorHAnsi" w:hAnsiTheme="minorHAnsi"/>
          <w:color w:val="auto"/>
          <w:sz w:val="20"/>
          <w:szCs w:val="20"/>
        </w:rPr>
        <w:t xml:space="preserve">Safety Critical Maintenance </w:t>
      </w:r>
    </w:p>
    <w:p w:rsidR="00DD079D" w:rsidRPr="00560488" w:rsidRDefault="00DD079D" w:rsidP="00F56A53">
      <w:pPr>
        <w:rPr>
          <w:rFonts w:asciiTheme="minorHAnsi" w:hAnsiTheme="minorHAnsi" w:cs="Arial"/>
          <w:sz w:val="20"/>
          <w:szCs w:val="20"/>
        </w:rPr>
      </w:pPr>
      <w:r w:rsidRPr="00560488">
        <w:rPr>
          <w:rFonts w:asciiTheme="minorHAnsi" w:hAnsiTheme="minorHAnsi" w:cs="Arial"/>
          <w:sz w:val="20"/>
          <w:szCs w:val="20"/>
        </w:rPr>
        <w:t>The benefit of annual roadworthiness inspections also remains controversial in the industry. It is the ATA’s view that accreditation schemes like TruckSafe seem to present targets for enforcement even though scheme members record a lower rate of defects than companies who are not enrolled in any accreditation scheme whatsoever. The successful role that TruckSafe plays today in maintaining safety through a unique approach to accreditation should attract more support from policymakers as a tangible example of the strong and voluntary culture of compliance that is steadily emerging within the road transport industry.</w:t>
      </w:r>
    </w:p>
    <w:p w:rsidR="00DD079D" w:rsidRPr="00560488" w:rsidRDefault="00DD079D" w:rsidP="00F56A53">
      <w:pPr>
        <w:rPr>
          <w:rFonts w:asciiTheme="minorHAnsi" w:hAnsiTheme="minorHAnsi" w:cs="Arial"/>
          <w:sz w:val="20"/>
          <w:szCs w:val="20"/>
        </w:rPr>
      </w:pPr>
    </w:p>
    <w:p w:rsidR="00827AAF" w:rsidRDefault="00827AAF" w:rsidP="00827AAF">
      <w:pPr>
        <w:rPr>
          <w:sz w:val="20"/>
          <w:szCs w:val="20"/>
        </w:rPr>
      </w:pPr>
      <w:r>
        <w:rPr>
          <w:sz w:val="20"/>
          <w:szCs w:val="20"/>
        </w:rPr>
        <w:lastRenderedPageBreak/>
        <w:t>An ATA</w:t>
      </w:r>
      <w:r w:rsidRPr="00560488">
        <w:rPr>
          <w:sz w:val="20"/>
          <w:szCs w:val="20"/>
        </w:rPr>
        <w:t xml:space="preserve"> survey of</w:t>
      </w:r>
      <w:r>
        <w:rPr>
          <w:sz w:val="20"/>
          <w:szCs w:val="20"/>
        </w:rPr>
        <w:t xml:space="preserve"> operator</w:t>
      </w:r>
      <w:r w:rsidRPr="00560488">
        <w:rPr>
          <w:sz w:val="20"/>
          <w:szCs w:val="20"/>
        </w:rPr>
        <w:t xml:space="preserve"> maintenance approaches (Attachment A) indicates a drift towards outsourcing and that three factors are consistently influencing operator choices, i.e. </w:t>
      </w:r>
      <w:r w:rsidRPr="00560488">
        <w:rPr>
          <w:i/>
          <w:sz w:val="20"/>
          <w:szCs w:val="20"/>
        </w:rPr>
        <w:t>service</w:t>
      </w:r>
      <w:r w:rsidRPr="00560488">
        <w:rPr>
          <w:sz w:val="20"/>
          <w:szCs w:val="20"/>
        </w:rPr>
        <w:t xml:space="preserve"> </w:t>
      </w:r>
      <w:r w:rsidRPr="00560488">
        <w:rPr>
          <w:i/>
          <w:sz w:val="20"/>
          <w:szCs w:val="20"/>
        </w:rPr>
        <w:t xml:space="preserve">quality, cost </w:t>
      </w:r>
      <w:r w:rsidRPr="00560488">
        <w:rPr>
          <w:sz w:val="20"/>
          <w:szCs w:val="20"/>
        </w:rPr>
        <w:t xml:space="preserve">and </w:t>
      </w:r>
      <w:r w:rsidRPr="00560488">
        <w:rPr>
          <w:i/>
          <w:sz w:val="20"/>
          <w:szCs w:val="20"/>
        </w:rPr>
        <w:t>convenience</w:t>
      </w:r>
      <w:r w:rsidRPr="00560488">
        <w:rPr>
          <w:rStyle w:val="FootnoteReference"/>
          <w:i/>
          <w:sz w:val="20"/>
          <w:szCs w:val="20"/>
        </w:rPr>
        <w:footnoteReference w:id="1"/>
      </w:r>
      <w:r w:rsidRPr="00560488">
        <w:rPr>
          <w:sz w:val="20"/>
          <w:szCs w:val="20"/>
        </w:rPr>
        <w:t xml:space="preserve">.  For example, </w:t>
      </w:r>
      <w:r>
        <w:rPr>
          <w:sz w:val="20"/>
          <w:szCs w:val="20"/>
        </w:rPr>
        <w:t>one</w:t>
      </w:r>
      <w:r w:rsidRPr="00560488">
        <w:rPr>
          <w:sz w:val="20"/>
          <w:szCs w:val="20"/>
        </w:rPr>
        <w:t xml:space="preserve"> respondent, with a mixed maintenance approach (including some company workshops), wrote: </w:t>
      </w:r>
    </w:p>
    <w:p w:rsidR="00827AAF" w:rsidRDefault="00827AAF" w:rsidP="00827AAF">
      <w:pPr>
        <w:rPr>
          <w:sz w:val="20"/>
          <w:szCs w:val="20"/>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27AAF" w:rsidTr="00301834">
        <w:tc>
          <w:tcPr>
            <w:tcW w:w="9072" w:type="dxa"/>
          </w:tcPr>
          <w:p w:rsidR="00827AAF" w:rsidRPr="00560488" w:rsidRDefault="00827AAF" w:rsidP="00301834">
            <w:pPr>
              <w:rPr>
                <w:i/>
                <w:sz w:val="20"/>
                <w:szCs w:val="20"/>
              </w:rPr>
            </w:pPr>
            <w:r w:rsidRPr="00560488">
              <w:rPr>
                <w:i/>
                <w:sz w:val="20"/>
                <w:szCs w:val="20"/>
              </w:rPr>
              <w:t xml:space="preserve">This is a part of the business that costs money. Trying to get this through to some of the senior managers that know nothing about maintenance is a major issue, all they see is the cost and a budget that is set by someone who knows nothing about maintenance. Our policy is to maintain a vehicle to a safe, roadworthy standard at minimal cost. </w:t>
            </w:r>
          </w:p>
          <w:p w:rsidR="00827AAF" w:rsidRDefault="00827AAF" w:rsidP="00301834">
            <w:pPr>
              <w:rPr>
                <w:sz w:val="20"/>
                <w:szCs w:val="20"/>
              </w:rPr>
            </w:pPr>
          </w:p>
        </w:tc>
      </w:tr>
    </w:tbl>
    <w:p w:rsidR="00827AAF" w:rsidRPr="00D06D16" w:rsidRDefault="00483942" w:rsidP="00827AAF">
      <w:pPr>
        <w:pStyle w:val="Default"/>
        <w:rPr>
          <w:rFonts w:asciiTheme="minorHAnsi" w:hAnsiTheme="minorHAnsi"/>
          <w:color w:val="auto"/>
          <w:sz w:val="20"/>
          <w:szCs w:val="20"/>
        </w:rPr>
      </w:pPr>
      <w:r>
        <w:rPr>
          <w:rFonts w:asciiTheme="minorHAnsi" w:hAnsiTheme="minorHAnsi"/>
          <w:color w:val="auto"/>
          <w:sz w:val="20"/>
          <w:szCs w:val="20"/>
        </w:rPr>
        <w:t>T</w:t>
      </w:r>
      <w:r w:rsidR="00827AAF" w:rsidRPr="00560488">
        <w:rPr>
          <w:rFonts w:asciiTheme="minorHAnsi" w:hAnsiTheme="minorHAnsi"/>
          <w:color w:val="auto"/>
          <w:sz w:val="20"/>
          <w:szCs w:val="20"/>
        </w:rPr>
        <w:t xml:space="preserve">he ATA concurs with page 6 </w:t>
      </w:r>
      <w:r w:rsidR="00827AAF">
        <w:rPr>
          <w:rFonts w:asciiTheme="minorHAnsi" w:hAnsiTheme="minorHAnsi"/>
          <w:color w:val="auto"/>
          <w:sz w:val="20"/>
          <w:szCs w:val="20"/>
        </w:rPr>
        <w:t>of</w:t>
      </w:r>
      <w:r w:rsidR="00827AAF" w:rsidRPr="00560488">
        <w:rPr>
          <w:rFonts w:asciiTheme="minorHAnsi" w:hAnsiTheme="minorHAnsi"/>
          <w:color w:val="auto"/>
          <w:sz w:val="20"/>
          <w:szCs w:val="20"/>
        </w:rPr>
        <w:t xml:space="preserve"> the Phase 2 report (</w:t>
      </w:r>
      <w:r w:rsidR="00827AAF">
        <w:rPr>
          <w:rFonts w:asciiTheme="minorHAnsi" w:hAnsiTheme="minorHAnsi"/>
          <w:color w:val="auto"/>
          <w:sz w:val="20"/>
          <w:szCs w:val="20"/>
        </w:rPr>
        <w:t xml:space="preserve">see </w:t>
      </w:r>
      <w:r w:rsidR="00827AAF" w:rsidRPr="00560488">
        <w:rPr>
          <w:rFonts w:asciiTheme="minorHAnsi" w:hAnsiTheme="minorHAnsi"/>
          <w:color w:val="auto"/>
          <w:sz w:val="20"/>
          <w:szCs w:val="20"/>
        </w:rPr>
        <w:t xml:space="preserve">also </w:t>
      </w:r>
      <w:r w:rsidR="00827AAF">
        <w:rPr>
          <w:rFonts w:asciiTheme="minorHAnsi" w:hAnsiTheme="minorHAnsi"/>
          <w:color w:val="auto"/>
          <w:sz w:val="20"/>
          <w:szCs w:val="20"/>
        </w:rPr>
        <w:t xml:space="preserve">Phase 1 paper, p31) </w:t>
      </w:r>
      <w:r>
        <w:rPr>
          <w:rFonts w:asciiTheme="minorHAnsi" w:hAnsiTheme="minorHAnsi"/>
          <w:color w:val="auto"/>
          <w:sz w:val="20"/>
          <w:szCs w:val="20"/>
        </w:rPr>
        <w:t>that</w:t>
      </w:r>
      <w:r w:rsidR="00827AAF">
        <w:rPr>
          <w:rFonts w:asciiTheme="minorHAnsi" w:hAnsiTheme="minorHAnsi"/>
          <w:color w:val="auto"/>
          <w:sz w:val="20"/>
          <w:szCs w:val="20"/>
        </w:rPr>
        <w:t xml:space="preserve"> </w:t>
      </w:r>
      <w:r>
        <w:rPr>
          <w:rFonts w:asciiTheme="minorHAnsi" w:hAnsiTheme="minorHAnsi"/>
          <w:color w:val="auto"/>
          <w:sz w:val="20"/>
          <w:szCs w:val="20"/>
        </w:rPr>
        <w:t>states</w:t>
      </w:r>
      <w:r w:rsidR="00827AAF">
        <w:rPr>
          <w:rFonts w:asciiTheme="minorHAnsi" w:hAnsiTheme="minorHAnsi"/>
          <w:color w:val="auto"/>
          <w:sz w:val="20"/>
          <w:szCs w:val="20"/>
        </w:rPr>
        <w:t xml:space="preserve"> </w:t>
      </w:r>
      <w:r w:rsidR="00827AAF" w:rsidRPr="00D06D16">
        <w:rPr>
          <w:rFonts w:asciiTheme="minorHAnsi" w:hAnsiTheme="minorHAnsi"/>
          <w:color w:val="auto"/>
          <w:sz w:val="20"/>
          <w:szCs w:val="20"/>
        </w:rPr>
        <w:t>“Current international best practice suggests that efforts for improving heavy vehicle safety should recognise that some elements of roadworthiness have a greater impact on road safety than others”.</w:t>
      </w:r>
    </w:p>
    <w:p w:rsidR="00483942" w:rsidRDefault="00483942" w:rsidP="00483942">
      <w:pPr>
        <w:pStyle w:val="Default"/>
        <w:rPr>
          <w:rFonts w:asciiTheme="minorHAnsi" w:hAnsiTheme="minorHAnsi"/>
          <w:color w:val="auto"/>
          <w:sz w:val="20"/>
          <w:szCs w:val="20"/>
        </w:rPr>
      </w:pPr>
    </w:p>
    <w:p w:rsidR="00483942" w:rsidRPr="00560488" w:rsidRDefault="00483942" w:rsidP="00483942">
      <w:pPr>
        <w:pStyle w:val="Default"/>
        <w:rPr>
          <w:rFonts w:asciiTheme="minorHAnsi" w:hAnsiTheme="minorHAnsi"/>
          <w:color w:val="auto"/>
          <w:sz w:val="20"/>
          <w:szCs w:val="20"/>
        </w:rPr>
      </w:pPr>
      <w:r w:rsidRPr="00560488">
        <w:rPr>
          <w:rFonts w:asciiTheme="minorHAnsi" w:hAnsiTheme="minorHAnsi"/>
          <w:color w:val="auto"/>
          <w:sz w:val="20"/>
          <w:szCs w:val="20"/>
        </w:rPr>
        <w:t xml:space="preserve">As </w:t>
      </w:r>
      <w:r>
        <w:rPr>
          <w:rFonts w:asciiTheme="minorHAnsi" w:hAnsiTheme="minorHAnsi"/>
          <w:color w:val="auto"/>
          <w:sz w:val="20"/>
          <w:szCs w:val="20"/>
        </w:rPr>
        <w:t xml:space="preserve">a </w:t>
      </w:r>
      <w:r w:rsidRPr="00560488">
        <w:rPr>
          <w:rFonts w:asciiTheme="minorHAnsi" w:hAnsiTheme="minorHAnsi"/>
          <w:color w:val="auto"/>
          <w:sz w:val="20"/>
          <w:szCs w:val="20"/>
        </w:rPr>
        <w:t>participant in the</w:t>
      </w:r>
      <w:r>
        <w:rPr>
          <w:rFonts w:asciiTheme="minorHAnsi" w:hAnsiTheme="minorHAnsi"/>
          <w:color w:val="auto"/>
          <w:sz w:val="20"/>
          <w:szCs w:val="20"/>
        </w:rPr>
        <w:t xml:space="preserve"> NTC </w:t>
      </w:r>
      <w:r w:rsidRPr="00560488">
        <w:rPr>
          <w:rFonts w:asciiTheme="minorHAnsi" w:hAnsiTheme="minorHAnsi"/>
          <w:color w:val="auto"/>
          <w:sz w:val="20"/>
          <w:szCs w:val="20"/>
        </w:rPr>
        <w:t xml:space="preserve">technical working group reviewing the draft </w:t>
      </w:r>
      <w:r>
        <w:rPr>
          <w:rFonts w:asciiTheme="minorHAnsi" w:hAnsiTheme="minorHAnsi"/>
          <w:color w:val="auto"/>
          <w:sz w:val="20"/>
          <w:szCs w:val="20"/>
        </w:rPr>
        <w:t>HVIM</w:t>
      </w:r>
      <w:r w:rsidRPr="00560488">
        <w:rPr>
          <w:rFonts w:asciiTheme="minorHAnsi" w:hAnsiTheme="minorHAnsi"/>
          <w:color w:val="auto"/>
          <w:sz w:val="20"/>
          <w:szCs w:val="20"/>
        </w:rPr>
        <w:t xml:space="preserve">, the ATA supports identification by this group of eight safety critical or primary elements requiring high priority attention during inspections and without which heavy vehicle roadworthiness cannot be assured: </w:t>
      </w:r>
    </w:p>
    <w:p w:rsidR="00483942" w:rsidRPr="00560488" w:rsidRDefault="00483942" w:rsidP="00483942">
      <w:pPr>
        <w:pStyle w:val="Default"/>
        <w:tabs>
          <w:tab w:val="left" w:pos="2169"/>
          <w:tab w:val="left" w:pos="4352"/>
          <w:tab w:val="left" w:pos="6564"/>
        </w:tabs>
        <w:rPr>
          <w:rFonts w:asciiTheme="minorHAnsi" w:hAnsiTheme="minorHAnsi" w:cstheme="minorBidi"/>
          <w:color w:val="auto"/>
          <w:sz w:val="20"/>
          <w:szCs w:val="20"/>
        </w:rPr>
      </w:pPr>
    </w:p>
    <w:p w:rsidR="00483942" w:rsidRPr="00560488" w:rsidRDefault="00483942" w:rsidP="00483942">
      <w:pPr>
        <w:pStyle w:val="Default"/>
        <w:tabs>
          <w:tab w:val="left" w:pos="2169"/>
          <w:tab w:val="left" w:pos="4352"/>
          <w:tab w:val="left" w:pos="6564"/>
        </w:tabs>
        <w:rPr>
          <w:rFonts w:asciiTheme="minorHAnsi" w:hAnsiTheme="minorHAnsi" w:cstheme="minorBidi"/>
          <w:i/>
          <w:color w:val="auto"/>
          <w:sz w:val="20"/>
          <w:szCs w:val="20"/>
        </w:rPr>
      </w:pPr>
      <w:r w:rsidRPr="00560488">
        <w:rPr>
          <w:rFonts w:asciiTheme="minorHAnsi" w:hAnsiTheme="minorHAnsi" w:cstheme="minorBidi"/>
          <w:i/>
          <w:color w:val="auto"/>
          <w:sz w:val="20"/>
          <w:szCs w:val="20"/>
        </w:rPr>
        <w:t xml:space="preserve">1. Brakes  2. Steering  3. Suspension  4. Tyres  5. Axle/wheel-ends   6. Couplings  7. Frame/chassis  8. Load restraint   </w:t>
      </w:r>
    </w:p>
    <w:p w:rsidR="00483942" w:rsidRPr="00560488" w:rsidRDefault="00483942" w:rsidP="00483942">
      <w:pPr>
        <w:pStyle w:val="Default"/>
        <w:rPr>
          <w:rFonts w:asciiTheme="minorHAnsi" w:hAnsiTheme="minorHAnsi"/>
          <w:b/>
          <w:color w:val="auto"/>
          <w:sz w:val="20"/>
          <w:szCs w:val="20"/>
        </w:rPr>
      </w:pPr>
    </w:p>
    <w:p w:rsidR="00483942" w:rsidRPr="00560488" w:rsidRDefault="00483942" w:rsidP="00483942">
      <w:pPr>
        <w:pStyle w:val="FootnoteText"/>
        <w:rPr>
          <w:sz w:val="16"/>
          <w:szCs w:val="16"/>
        </w:rPr>
      </w:pPr>
      <w:r w:rsidRPr="00560488">
        <w:rPr>
          <w:rFonts w:asciiTheme="minorHAnsi" w:hAnsiTheme="minorHAnsi"/>
          <w:lang w:eastAsia="en-AU"/>
        </w:rPr>
        <w:t>Other vehicle components of course also require assessment and their requirements are also found in the manual</w:t>
      </w:r>
      <w:r w:rsidRPr="00560488">
        <w:rPr>
          <w:sz w:val="16"/>
          <w:szCs w:val="16"/>
        </w:rPr>
        <w:t>.</w:t>
      </w:r>
      <w:r w:rsidRPr="00560488">
        <w:rPr>
          <w:rStyle w:val="FootnoteReference"/>
          <w:rFonts w:asciiTheme="minorHAnsi" w:hAnsiTheme="minorHAnsi"/>
          <w:b/>
        </w:rPr>
        <w:footnoteReference w:id="2"/>
      </w:r>
    </w:p>
    <w:p w:rsidR="001B7BD7" w:rsidRPr="00560488" w:rsidRDefault="001B7BD7" w:rsidP="00F56A53">
      <w:pPr>
        <w:pStyle w:val="FootnoteText"/>
        <w:rPr>
          <w:sz w:val="16"/>
          <w:szCs w:val="16"/>
        </w:rPr>
      </w:pPr>
    </w:p>
    <w:p w:rsidR="001B7BD7" w:rsidRPr="00560488" w:rsidRDefault="001B7BD7" w:rsidP="00F56A53">
      <w:pPr>
        <w:rPr>
          <w:rFonts w:asciiTheme="minorHAnsi" w:hAnsiTheme="minorHAnsi" w:cs="Arial"/>
          <w:b/>
          <w:sz w:val="20"/>
          <w:szCs w:val="20"/>
        </w:rPr>
      </w:pPr>
      <w:r w:rsidRPr="00560488">
        <w:rPr>
          <w:rFonts w:asciiTheme="minorHAnsi" w:hAnsiTheme="minorHAnsi" w:cs="Arial"/>
          <w:b/>
          <w:sz w:val="20"/>
          <w:szCs w:val="20"/>
        </w:rPr>
        <w:t>ATA recommendation 1</w:t>
      </w:r>
    </w:p>
    <w:p w:rsidR="001B7BD7" w:rsidRPr="00560488" w:rsidRDefault="001B7BD7" w:rsidP="00F56A53">
      <w:pPr>
        <w:rPr>
          <w:b/>
          <w:bCs/>
          <w:sz w:val="20"/>
          <w:szCs w:val="20"/>
        </w:rPr>
      </w:pPr>
      <w:r w:rsidRPr="00560488">
        <w:rPr>
          <w:rFonts w:asciiTheme="minorHAnsi" w:hAnsiTheme="minorHAnsi"/>
          <w:b/>
          <w:sz w:val="20"/>
          <w:szCs w:val="20"/>
        </w:rPr>
        <w:t>A</w:t>
      </w:r>
      <w:r w:rsidRPr="00560488">
        <w:rPr>
          <w:b/>
          <w:bCs/>
          <w:sz w:val="20"/>
          <w:szCs w:val="20"/>
        </w:rPr>
        <w:t xml:space="preserve"> standardised heavy vehicle inspection system </w:t>
      </w:r>
      <w:r w:rsidRPr="00560488">
        <w:rPr>
          <w:b/>
          <w:sz w:val="20"/>
          <w:szCs w:val="20"/>
        </w:rPr>
        <w:t xml:space="preserve">should </w:t>
      </w:r>
      <w:r w:rsidRPr="00560488">
        <w:rPr>
          <w:b/>
          <w:bCs/>
          <w:sz w:val="20"/>
          <w:szCs w:val="20"/>
        </w:rPr>
        <w:t xml:space="preserve">be implemented. </w:t>
      </w:r>
    </w:p>
    <w:p w:rsidR="001B7BD7" w:rsidRPr="00560488" w:rsidRDefault="001B7BD7" w:rsidP="00F56A53">
      <w:pPr>
        <w:rPr>
          <w:rFonts w:asciiTheme="minorHAnsi" w:hAnsiTheme="minorHAnsi" w:cs="Arial"/>
          <w:b/>
          <w:sz w:val="20"/>
          <w:szCs w:val="20"/>
        </w:rPr>
      </w:pPr>
    </w:p>
    <w:p w:rsidR="001B7BD7" w:rsidRPr="00560488" w:rsidRDefault="007A4CEE" w:rsidP="00F56A53">
      <w:pPr>
        <w:pStyle w:val="Heading1"/>
        <w:numPr>
          <w:ilvl w:val="0"/>
          <w:numId w:val="0"/>
        </w:numPr>
        <w:jc w:val="both"/>
        <w:rPr>
          <w:rFonts w:asciiTheme="minorHAnsi" w:hAnsiTheme="minorHAnsi"/>
          <w:color w:val="auto"/>
          <w:sz w:val="20"/>
          <w:szCs w:val="20"/>
        </w:rPr>
      </w:pPr>
      <w:r w:rsidRPr="00560488">
        <w:rPr>
          <w:rFonts w:asciiTheme="minorHAnsi" w:hAnsiTheme="minorHAnsi"/>
          <w:color w:val="auto"/>
          <w:sz w:val="20"/>
          <w:szCs w:val="20"/>
        </w:rPr>
        <w:t>The d</w:t>
      </w:r>
      <w:r w:rsidR="001B7BD7" w:rsidRPr="00560488">
        <w:rPr>
          <w:rFonts w:asciiTheme="minorHAnsi" w:hAnsiTheme="minorHAnsi"/>
          <w:color w:val="auto"/>
          <w:sz w:val="20"/>
          <w:szCs w:val="20"/>
        </w:rPr>
        <w:t>raft National Heavy Vehicle Inspection Manual (HVIM)</w:t>
      </w:r>
    </w:p>
    <w:p w:rsidR="00483942" w:rsidRPr="00560488" w:rsidRDefault="00483942" w:rsidP="00483942">
      <w:pPr>
        <w:pStyle w:val="Default"/>
        <w:rPr>
          <w:rFonts w:asciiTheme="minorHAnsi" w:hAnsiTheme="minorHAnsi"/>
          <w:color w:val="auto"/>
          <w:sz w:val="20"/>
          <w:szCs w:val="20"/>
        </w:rPr>
      </w:pPr>
      <w:r w:rsidRPr="00560488">
        <w:rPr>
          <w:rFonts w:asciiTheme="minorHAnsi" w:hAnsiTheme="minorHAnsi"/>
          <w:color w:val="auto"/>
          <w:sz w:val="20"/>
          <w:szCs w:val="20"/>
        </w:rPr>
        <w:t xml:space="preserve">The NHVR’s </w:t>
      </w:r>
      <w:r>
        <w:rPr>
          <w:rFonts w:asciiTheme="minorHAnsi" w:hAnsiTheme="minorHAnsi"/>
          <w:color w:val="auto"/>
          <w:sz w:val="20"/>
          <w:szCs w:val="20"/>
        </w:rPr>
        <w:t xml:space="preserve">current </w:t>
      </w:r>
      <w:r w:rsidRPr="00560488">
        <w:rPr>
          <w:rFonts w:asciiTheme="minorHAnsi" w:hAnsiTheme="minorHAnsi"/>
          <w:color w:val="auto"/>
          <w:sz w:val="20"/>
          <w:szCs w:val="20"/>
        </w:rPr>
        <w:t>draft national inspection manual is eventually intended as a set of guidelines that interpret the heavy vehicle standards regulations under the HVNL and it will be publicly available. However, it has no current legal status under the HVNL. If it is accorded status, it will still have no legal status in WA or the NT. Some kind of arrangement has to be reached with non-participating states on how to use and interpret the HVIM.</w:t>
      </w:r>
    </w:p>
    <w:p w:rsidR="00483942" w:rsidRDefault="00483942" w:rsidP="00483942">
      <w:pPr>
        <w:pStyle w:val="Default"/>
        <w:rPr>
          <w:rFonts w:asciiTheme="minorHAnsi" w:hAnsiTheme="minorHAnsi"/>
          <w:color w:val="auto"/>
          <w:sz w:val="20"/>
          <w:szCs w:val="20"/>
        </w:rPr>
      </w:pPr>
    </w:p>
    <w:p w:rsidR="00483942" w:rsidRDefault="00483942" w:rsidP="00483942">
      <w:pPr>
        <w:pStyle w:val="Default"/>
        <w:rPr>
          <w:rFonts w:asciiTheme="minorHAnsi" w:hAnsiTheme="minorHAnsi"/>
          <w:color w:val="auto"/>
          <w:sz w:val="20"/>
          <w:szCs w:val="20"/>
        </w:rPr>
      </w:pPr>
      <w:r w:rsidRPr="00560488">
        <w:rPr>
          <w:rFonts w:asciiTheme="minorHAnsi" w:hAnsiTheme="minorHAnsi"/>
          <w:color w:val="auto"/>
          <w:sz w:val="20"/>
          <w:szCs w:val="20"/>
        </w:rPr>
        <w:t xml:space="preserve">Further, all relevant road safety stakeholders, including police officers, authorised officers, mechanics, operators and drivers </w:t>
      </w:r>
      <w:r>
        <w:rPr>
          <w:rFonts w:asciiTheme="minorHAnsi" w:hAnsiTheme="minorHAnsi"/>
          <w:color w:val="auto"/>
          <w:sz w:val="20"/>
          <w:szCs w:val="20"/>
        </w:rPr>
        <w:t>must</w:t>
      </w:r>
      <w:r w:rsidRPr="00560488">
        <w:rPr>
          <w:rFonts w:asciiTheme="minorHAnsi" w:hAnsiTheme="minorHAnsi"/>
          <w:color w:val="auto"/>
          <w:sz w:val="20"/>
          <w:szCs w:val="20"/>
        </w:rPr>
        <w:t xml:space="preserve"> be encouraged to undertake similar training courses in order to apply and interpret the rules from common materials. </w:t>
      </w:r>
    </w:p>
    <w:p w:rsidR="00483942" w:rsidRDefault="00483942" w:rsidP="00F56A53">
      <w:pPr>
        <w:pStyle w:val="Default"/>
        <w:rPr>
          <w:rFonts w:asciiTheme="minorHAnsi" w:hAnsiTheme="minorHAnsi"/>
          <w:color w:val="auto"/>
          <w:sz w:val="20"/>
          <w:szCs w:val="20"/>
        </w:rPr>
      </w:pPr>
    </w:p>
    <w:p w:rsidR="00322B07" w:rsidRDefault="001B7BD7" w:rsidP="00F56A53">
      <w:pPr>
        <w:pStyle w:val="Default"/>
        <w:rPr>
          <w:rFonts w:asciiTheme="minorHAnsi" w:hAnsiTheme="minorHAnsi"/>
          <w:color w:val="auto"/>
          <w:sz w:val="20"/>
          <w:szCs w:val="20"/>
        </w:rPr>
      </w:pPr>
      <w:r w:rsidRPr="00560488">
        <w:rPr>
          <w:rFonts w:asciiTheme="minorHAnsi" w:hAnsiTheme="minorHAnsi"/>
          <w:color w:val="auto"/>
          <w:sz w:val="20"/>
          <w:szCs w:val="20"/>
        </w:rPr>
        <w:t>In the spirit of Opportunity 25</w:t>
      </w:r>
      <w:r w:rsidRPr="00560488">
        <w:rPr>
          <w:rStyle w:val="FootnoteReference"/>
          <w:rFonts w:asciiTheme="minorHAnsi" w:hAnsiTheme="minorHAnsi"/>
          <w:color w:val="auto"/>
          <w:sz w:val="20"/>
          <w:szCs w:val="20"/>
        </w:rPr>
        <w:footnoteReference w:id="3"/>
      </w:r>
      <w:r w:rsidRPr="00560488">
        <w:rPr>
          <w:rFonts w:asciiTheme="minorHAnsi" w:hAnsiTheme="minorHAnsi"/>
          <w:color w:val="auto"/>
          <w:sz w:val="20"/>
          <w:szCs w:val="20"/>
        </w:rPr>
        <w:t xml:space="preserve">, the ATA suggests further supplementary information be added to the HVIM to support its interpretation by stakeholders. For example, </w:t>
      </w:r>
      <w:r w:rsidR="00322B07">
        <w:rPr>
          <w:rFonts w:asciiTheme="minorHAnsi" w:hAnsiTheme="minorHAnsi"/>
          <w:color w:val="auto"/>
          <w:sz w:val="20"/>
          <w:szCs w:val="20"/>
        </w:rPr>
        <w:t>the HVIM</w:t>
      </w:r>
      <w:r w:rsidRPr="00560488">
        <w:rPr>
          <w:rFonts w:asciiTheme="minorHAnsi" w:hAnsiTheme="minorHAnsi"/>
          <w:color w:val="auto"/>
          <w:sz w:val="20"/>
          <w:szCs w:val="20"/>
        </w:rPr>
        <w:t xml:space="preserve"> should provide brief guidance on how to pre-load roller brake testing equipment to prevent false fail results. </w:t>
      </w:r>
    </w:p>
    <w:p w:rsidR="001B7BD7" w:rsidRPr="00560488" w:rsidRDefault="001B7BD7" w:rsidP="00F56A53">
      <w:pPr>
        <w:rPr>
          <w:rFonts w:asciiTheme="minorHAnsi" w:hAnsiTheme="minorHAnsi" w:cs="Arial"/>
          <w:b/>
          <w:sz w:val="20"/>
          <w:szCs w:val="20"/>
        </w:rPr>
      </w:pPr>
    </w:p>
    <w:p w:rsidR="001B7BD7" w:rsidRPr="00560488" w:rsidRDefault="001B7BD7" w:rsidP="00F56A53">
      <w:pPr>
        <w:rPr>
          <w:rFonts w:asciiTheme="minorHAnsi" w:hAnsiTheme="minorHAnsi" w:cs="Arial"/>
          <w:b/>
          <w:sz w:val="20"/>
          <w:szCs w:val="20"/>
        </w:rPr>
      </w:pPr>
      <w:r w:rsidRPr="00560488">
        <w:rPr>
          <w:rFonts w:asciiTheme="minorHAnsi" w:hAnsiTheme="minorHAnsi" w:cs="Arial"/>
          <w:b/>
          <w:sz w:val="20"/>
          <w:szCs w:val="20"/>
        </w:rPr>
        <w:t>ATA recommendation 2</w:t>
      </w:r>
    </w:p>
    <w:p w:rsidR="004417DA" w:rsidRPr="00560488" w:rsidRDefault="004417DA" w:rsidP="004417DA">
      <w:pPr>
        <w:rPr>
          <w:rFonts w:asciiTheme="minorHAnsi" w:hAnsiTheme="minorHAnsi" w:cs="Arial"/>
          <w:b/>
          <w:sz w:val="20"/>
          <w:szCs w:val="20"/>
        </w:rPr>
      </w:pPr>
      <w:r w:rsidRPr="00560488">
        <w:rPr>
          <w:b/>
          <w:bCs/>
          <w:sz w:val="20"/>
          <w:szCs w:val="20"/>
        </w:rPr>
        <w:t>A national heavy vehicle inspection manual should be adopted</w:t>
      </w:r>
      <w:r>
        <w:rPr>
          <w:b/>
          <w:bCs/>
          <w:sz w:val="20"/>
          <w:szCs w:val="20"/>
        </w:rPr>
        <w:t xml:space="preserve"> and called up in the regulations</w:t>
      </w:r>
      <w:r w:rsidRPr="00560488">
        <w:rPr>
          <w:b/>
          <w:bCs/>
          <w:sz w:val="20"/>
          <w:szCs w:val="20"/>
        </w:rPr>
        <w:t>.</w:t>
      </w:r>
    </w:p>
    <w:p w:rsidR="001B7BD7" w:rsidRPr="00560488" w:rsidRDefault="001B7BD7" w:rsidP="00F56A53">
      <w:pPr>
        <w:pStyle w:val="Heading1"/>
        <w:numPr>
          <w:ilvl w:val="0"/>
          <w:numId w:val="0"/>
        </w:numPr>
        <w:jc w:val="both"/>
        <w:rPr>
          <w:rFonts w:asciiTheme="minorHAnsi" w:hAnsiTheme="minorHAnsi"/>
          <w:color w:val="auto"/>
          <w:sz w:val="22"/>
          <w:szCs w:val="22"/>
        </w:rPr>
      </w:pPr>
    </w:p>
    <w:p w:rsidR="001B7BD7" w:rsidRPr="00560488" w:rsidRDefault="001B7BD7" w:rsidP="00F56A53">
      <w:pPr>
        <w:rPr>
          <w:rFonts w:asciiTheme="minorHAnsi" w:hAnsiTheme="minorHAnsi" w:cs="Arial"/>
          <w:b/>
          <w:sz w:val="20"/>
          <w:szCs w:val="20"/>
        </w:rPr>
      </w:pPr>
      <w:r w:rsidRPr="00560488">
        <w:rPr>
          <w:rFonts w:asciiTheme="minorHAnsi" w:hAnsiTheme="minorHAnsi" w:cs="Arial"/>
          <w:b/>
          <w:sz w:val="20"/>
          <w:szCs w:val="20"/>
        </w:rPr>
        <w:t>ATA recommendation 3</w:t>
      </w:r>
    </w:p>
    <w:p w:rsidR="001B7BD7" w:rsidRPr="00560488" w:rsidRDefault="001B7BD7" w:rsidP="00F56A53">
      <w:pPr>
        <w:rPr>
          <w:b/>
          <w:bCs/>
          <w:sz w:val="20"/>
          <w:szCs w:val="20"/>
        </w:rPr>
      </w:pPr>
      <w:r w:rsidRPr="00560488">
        <w:rPr>
          <w:b/>
          <w:bCs/>
          <w:sz w:val="20"/>
          <w:szCs w:val="20"/>
        </w:rPr>
        <w:t>Responsible parties, such as authorised vehicle examiners and inspectors, should be systematically trained to enforce the HVNL.</w:t>
      </w:r>
    </w:p>
    <w:p w:rsidR="001B7BD7" w:rsidRPr="00560488" w:rsidRDefault="001B7BD7" w:rsidP="00F56A53">
      <w:pPr>
        <w:rPr>
          <w:rFonts w:asciiTheme="minorHAnsi" w:hAnsiTheme="minorHAnsi" w:cs="Arial"/>
          <w:b/>
          <w:sz w:val="20"/>
          <w:szCs w:val="20"/>
        </w:rPr>
      </w:pPr>
    </w:p>
    <w:p w:rsidR="00586A08" w:rsidRPr="00560488" w:rsidRDefault="00EA703D" w:rsidP="00F56A53">
      <w:pPr>
        <w:pStyle w:val="Heading1"/>
        <w:numPr>
          <w:ilvl w:val="0"/>
          <w:numId w:val="0"/>
        </w:numPr>
        <w:jc w:val="both"/>
        <w:rPr>
          <w:rFonts w:asciiTheme="minorHAnsi" w:hAnsiTheme="minorHAnsi"/>
          <w:color w:val="auto"/>
          <w:sz w:val="20"/>
          <w:szCs w:val="20"/>
        </w:rPr>
      </w:pPr>
      <w:r w:rsidRPr="00560488">
        <w:rPr>
          <w:rFonts w:asciiTheme="minorHAnsi" w:hAnsiTheme="minorHAnsi"/>
          <w:color w:val="auto"/>
          <w:sz w:val="20"/>
          <w:szCs w:val="20"/>
        </w:rPr>
        <w:t>Defects</w:t>
      </w:r>
    </w:p>
    <w:p w:rsidR="0034071C" w:rsidRPr="00560488" w:rsidRDefault="0034071C" w:rsidP="00F56A53">
      <w:pPr>
        <w:rPr>
          <w:rFonts w:asciiTheme="minorHAnsi" w:hAnsiTheme="minorHAnsi" w:cs="Arial"/>
          <w:sz w:val="20"/>
          <w:szCs w:val="20"/>
        </w:rPr>
      </w:pPr>
      <w:r w:rsidRPr="00560488">
        <w:rPr>
          <w:rFonts w:asciiTheme="minorHAnsi" w:hAnsiTheme="minorHAnsi" w:cs="Arial"/>
          <w:sz w:val="20"/>
          <w:szCs w:val="20"/>
        </w:rPr>
        <w:t xml:space="preserve">A formal process for issuing/clearing/withdrawing defect notices must also be agreed between HVNL-participating states. Defect notices should display sufficient detail for an operator to be able to note the rule being applied, the physical location of the alleged non-conformance either to rectify it or report an inspection error quickly. </w:t>
      </w:r>
    </w:p>
    <w:p w:rsidR="00523D04" w:rsidRDefault="0034071C" w:rsidP="00F56A53">
      <w:pPr>
        <w:rPr>
          <w:rFonts w:asciiTheme="minorHAnsi" w:hAnsiTheme="minorHAnsi"/>
          <w:sz w:val="20"/>
          <w:szCs w:val="20"/>
        </w:rPr>
      </w:pPr>
      <w:r w:rsidRPr="00560488">
        <w:rPr>
          <w:rFonts w:asciiTheme="minorHAnsi" w:hAnsiTheme="minorHAnsi" w:cs="Arial"/>
          <w:sz w:val="20"/>
          <w:szCs w:val="20"/>
        </w:rPr>
        <w:t>Some o</w:t>
      </w:r>
      <w:r w:rsidR="00EA703D" w:rsidRPr="00560488">
        <w:rPr>
          <w:rFonts w:asciiTheme="minorHAnsi" w:hAnsiTheme="minorHAnsi" w:cs="Arial"/>
          <w:sz w:val="20"/>
          <w:szCs w:val="20"/>
        </w:rPr>
        <w:t xml:space="preserve">perator experiences with defect categorisation and clearance </w:t>
      </w:r>
      <w:r w:rsidR="00E3218F" w:rsidRPr="00560488">
        <w:rPr>
          <w:rFonts w:asciiTheme="minorHAnsi" w:hAnsiTheme="minorHAnsi" w:cs="Arial"/>
          <w:sz w:val="20"/>
          <w:szCs w:val="20"/>
        </w:rPr>
        <w:t xml:space="preserve">processes </w:t>
      </w:r>
      <w:r w:rsidR="00EA703D" w:rsidRPr="00560488">
        <w:rPr>
          <w:rFonts w:asciiTheme="minorHAnsi" w:hAnsiTheme="minorHAnsi" w:cs="Arial"/>
          <w:sz w:val="20"/>
          <w:szCs w:val="20"/>
        </w:rPr>
        <w:t>were surveyed by</w:t>
      </w:r>
      <w:r w:rsidR="00EA703D" w:rsidRPr="00560488">
        <w:rPr>
          <w:rFonts w:asciiTheme="minorHAnsi" w:hAnsiTheme="minorHAnsi"/>
          <w:sz w:val="20"/>
          <w:szCs w:val="20"/>
        </w:rPr>
        <w:t xml:space="preserve"> the ATA in 2014 and </w:t>
      </w:r>
      <w:r w:rsidR="00E3218F" w:rsidRPr="00560488">
        <w:rPr>
          <w:rFonts w:asciiTheme="minorHAnsi" w:hAnsiTheme="minorHAnsi"/>
          <w:sz w:val="20"/>
          <w:szCs w:val="20"/>
        </w:rPr>
        <w:t xml:space="preserve">a </w:t>
      </w:r>
      <w:r w:rsidR="00EA703D" w:rsidRPr="00560488">
        <w:rPr>
          <w:rFonts w:asciiTheme="minorHAnsi" w:hAnsiTheme="minorHAnsi"/>
          <w:sz w:val="20"/>
          <w:szCs w:val="20"/>
        </w:rPr>
        <w:t xml:space="preserve">summary of </w:t>
      </w:r>
      <w:r w:rsidRPr="00560488">
        <w:rPr>
          <w:rFonts w:asciiTheme="minorHAnsi" w:hAnsiTheme="minorHAnsi"/>
          <w:sz w:val="20"/>
          <w:szCs w:val="20"/>
        </w:rPr>
        <w:t xml:space="preserve">their </w:t>
      </w:r>
      <w:r w:rsidR="00E3218F" w:rsidRPr="00560488">
        <w:rPr>
          <w:rFonts w:asciiTheme="minorHAnsi" w:hAnsiTheme="minorHAnsi"/>
          <w:sz w:val="20"/>
          <w:szCs w:val="20"/>
        </w:rPr>
        <w:t>responses is</w:t>
      </w:r>
      <w:r w:rsidR="00EA703D" w:rsidRPr="00560488">
        <w:rPr>
          <w:rFonts w:asciiTheme="minorHAnsi" w:hAnsiTheme="minorHAnsi"/>
          <w:sz w:val="20"/>
          <w:szCs w:val="20"/>
        </w:rPr>
        <w:t xml:space="preserve"> provided </w:t>
      </w:r>
      <w:r w:rsidR="00E3218F" w:rsidRPr="00560488">
        <w:rPr>
          <w:rFonts w:asciiTheme="minorHAnsi" w:hAnsiTheme="minorHAnsi"/>
          <w:sz w:val="20"/>
          <w:szCs w:val="20"/>
        </w:rPr>
        <w:t>at</w:t>
      </w:r>
      <w:r w:rsidR="00EA703D" w:rsidRPr="00560488">
        <w:rPr>
          <w:rFonts w:asciiTheme="minorHAnsi" w:hAnsiTheme="minorHAnsi"/>
          <w:sz w:val="20"/>
          <w:szCs w:val="20"/>
        </w:rPr>
        <w:t xml:space="preserve"> </w:t>
      </w:r>
      <w:r w:rsidR="00E3218F" w:rsidRPr="00483942">
        <w:rPr>
          <w:rFonts w:asciiTheme="minorHAnsi" w:hAnsiTheme="minorHAnsi"/>
          <w:sz w:val="20"/>
          <w:szCs w:val="20"/>
        </w:rPr>
        <w:t xml:space="preserve">Attachment </w:t>
      </w:r>
      <w:r w:rsidR="00EA703D" w:rsidRPr="00483942">
        <w:rPr>
          <w:rFonts w:asciiTheme="minorHAnsi" w:hAnsiTheme="minorHAnsi"/>
          <w:sz w:val="20"/>
          <w:szCs w:val="20"/>
        </w:rPr>
        <w:t>B</w:t>
      </w:r>
      <w:r w:rsidR="00EA703D" w:rsidRPr="00560488">
        <w:rPr>
          <w:rFonts w:asciiTheme="minorHAnsi" w:hAnsiTheme="minorHAnsi"/>
          <w:sz w:val="20"/>
          <w:szCs w:val="20"/>
        </w:rPr>
        <w:t xml:space="preserve">. </w:t>
      </w:r>
    </w:p>
    <w:p w:rsidR="00523D04" w:rsidRDefault="00523D04" w:rsidP="00F56A53">
      <w:pPr>
        <w:rPr>
          <w:rFonts w:asciiTheme="minorHAnsi" w:hAnsiTheme="minorHAnsi"/>
          <w:sz w:val="20"/>
          <w:szCs w:val="20"/>
        </w:rPr>
      </w:pPr>
    </w:p>
    <w:p w:rsidR="00EA703D" w:rsidRDefault="00643152" w:rsidP="00F56A53">
      <w:pPr>
        <w:rPr>
          <w:rFonts w:asciiTheme="minorHAnsi" w:hAnsiTheme="minorHAnsi"/>
          <w:sz w:val="20"/>
          <w:szCs w:val="20"/>
        </w:rPr>
      </w:pPr>
      <w:r w:rsidRPr="00560488">
        <w:rPr>
          <w:rFonts w:asciiTheme="minorHAnsi" w:hAnsiTheme="minorHAnsi"/>
          <w:sz w:val="20"/>
          <w:szCs w:val="20"/>
        </w:rPr>
        <w:t>D</w:t>
      </w:r>
      <w:r w:rsidR="007546B4" w:rsidRPr="00560488">
        <w:rPr>
          <w:rFonts w:asciiTheme="minorHAnsi" w:hAnsiTheme="minorHAnsi"/>
          <w:sz w:val="20"/>
          <w:szCs w:val="20"/>
        </w:rPr>
        <w:t xml:space="preserve">uring August, </w:t>
      </w:r>
      <w:r w:rsidR="0034071C" w:rsidRPr="00560488">
        <w:rPr>
          <w:rFonts w:asciiTheme="minorHAnsi" w:hAnsiTheme="minorHAnsi"/>
          <w:sz w:val="20"/>
          <w:szCs w:val="20"/>
        </w:rPr>
        <w:t>ALRTA</w:t>
      </w:r>
      <w:r w:rsidR="00C81B54" w:rsidRPr="00560488">
        <w:rPr>
          <w:rFonts w:asciiTheme="minorHAnsi" w:hAnsiTheme="minorHAnsi"/>
          <w:sz w:val="20"/>
          <w:szCs w:val="20"/>
        </w:rPr>
        <w:t>,</w:t>
      </w:r>
      <w:r w:rsidR="0034071C" w:rsidRPr="00560488">
        <w:rPr>
          <w:rFonts w:asciiTheme="minorHAnsi" w:hAnsiTheme="minorHAnsi"/>
          <w:sz w:val="20"/>
          <w:szCs w:val="20"/>
        </w:rPr>
        <w:t xml:space="preserve"> </w:t>
      </w:r>
      <w:r w:rsidRPr="00560488">
        <w:rPr>
          <w:rFonts w:asciiTheme="minorHAnsi" w:hAnsiTheme="minorHAnsi"/>
          <w:sz w:val="20"/>
          <w:szCs w:val="20"/>
        </w:rPr>
        <w:t>an</w:t>
      </w:r>
      <w:r w:rsidR="00EA703D" w:rsidRPr="00560488">
        <w:rPr>
          <w:rFonts w:asciiTheme="minorHAnsi" w:hAnsiTheme="minorHAnsi"/>
          <w:sz w:val="20"/>
          <w:szCs w:val="20"/>
        </w:rPr>
        <w:t xml:space="preserve"> ATA member association</w:t>
      </w:r>
      <w:r w:rsidR="00C81B54" w:rsidRPr="00560488">
        <w:rPr>
          <w:rFonts w:asciiTheme="minorHAnsi" w:hAnsiTheme="minorHAnsi"/>
          <w:sz w:val="20"/>
          <w:szCs w:val="20"/>
        </w:rPr>
        <w:t>,</w:t>
      </w:r>
      <w:r w:rsidRPr="00560488">
        <w:rPr>
          <w:rFonts w:asciiTheme="minorHAnsi" w:hAnsiTheme="minorHAnsi"/>
          <w:sz w:val="20"/>
          <w:szCs w:val="20"/>
        </w:rPr>
        <w:t xml:space="preserve"> also</w:t>
      </w:r>
      <w:r w:rsidR="00EA703D" w:rsidRPr="00560488">
        <w:rPr>
          <w:rFonts w:asciiTheme="minorHAnsi" w:hAnsiTheme="minorHAnsi"/>
          <w:sz w:val="20"/>
          <w:szCs w:val="20"/>
        </w:rPr>
        <w:t xml:space="preserve"> </w:t>
      </w:r>
      <w:r w:rsidR="007546B4" w:rsidRPr="00560488">
        <w:rPr>
          <w:rFonts w:asciiTheme="minorHAnsi" w:hAnsiTheme="minorHAnsi"/>
          <w:sz w:val="20"/>
          <w:szCs w:val="20"/>
        </w:rPr>
        <w:t>considered</w:t>
      </w:r>
      <w:r w:rsidR="00EA703D" w:rsidRPr="00560488">
        <w:rPr>
          <w:rFonts w:asciiTheme="minorHAnsi" w:hAnsiTheme="minorHAnsi"/>
          <w:sz w:val="20"/>
          <w:szCs w:val="20"/>
        </w:rPr>
        <w:t xml:space="preserve"> defect process</w:t>
      </w:r>
      <w:r w:rsidRPr="00560488">
        <w:rPr>
          <w:rFonts w:asciiTheme="minorHAnsi" w:hAnsiTheme="minorHAnsi"/>
          <w:sz w:val="20"/>
          <w:szCs w:val="20"/>
        </w:rPr>
        <w:t>es</w:t>
      </w:r>
      <w:r w:rsidR="00EA703D" w:rsidRPr="00560488">
        <w:rPr>
          <w:rFonts w:asciiTheme="minorHAnsi" w:hAnsiTheme="minorHAnsi"/>
          <w:sz w:val="20"/>
          <w:szCs w:val="20"/>
        </w:rPr>
        <w:t xml:space="preserve"> </w:t>
      </w:r>
      <w:r w:rsidR="00EB64C2" w:rsidRPr="00560488">
        <w:rPr>
          <w:rFonts w:asciiTheme="minorHAnsi" w:hAnsiTheme="minorHAnsi"/>
          <w:sz w:val="20"/>
          <w:szCs w:val="20"/>
        </w:rPr>
        <w:t>in detail and provided</w:t>
      </w:r>
      <w:r w:rsidR="00EA703D" w:rsidRPr="00560488">
        <w:rPr>
          <w:rFonts w:asciiTheme="minorHAnsi" w:hAnsiTheme="minorHAnsi"/>
          <w:sz w:val="20"/>
          <w:szCs w:val="20"/>
        </w:rPr>
        <w:t xml:space="preserve"> the following supplementary </w:t>
      </w:r>
      <w:r w:rsidRPr="00560488">
        <w:rPr>
          <w:rFonts w:asciiTheme="minorHAnsi" w:hAnsiTheme="minorHAnsi"/>
          <w:sz w:val="20"/>
          <w:szCs w:val="20"/>
        </w:rPr>
        <w:t>comments</w:t>
      </w:r>
      <w:r w:rsidR="00E05F9C" w:rsidRPr="00560488">
        <w:rPr>
          <w:rFonts w:asciiTheme="minorHAnsi" w:hAnsiTheme="minorHAnsi"/>
          <w:sz w:val="20"/>
          <w:szCs w:val="20"/>
        </w:rPr>
        <w:t xml:space="preserve"> that</w:t>
      </w:r>
      <w:r w:rsidR="00EA703D" w:rsidRPr="00560488">
        <w:rPr>
          <w:rFonts w:asciiTheme="minorHAnsi" w:hAnsiTheme="minorHAnsi"/>
          <w:sz w:val="20"/>
          <w:szCs w:val="20"/>
        </w:rPr>
        <w:t>:</w:t>
      </w:r>
    </w:p>
    <w:p w:rsidR="0008629A" w:rsidRPr="00560488" w:rsidRDefault="0008629A" w:rsidP="00F56A53">
      <w:pPr>
        <w:rPr>
          <w:rFonts w:asciiTheme="minorHAnsi" w:hAnsiTheme="minorHAnsi"/>
          <w:sz w:val="20"/>
          <w:szCs w:val="20"/>
        </w:rPr>
      </w:pPr>
    </w:p>
    <w:p w:rsidR="00EA703D" w:rsidRPr="0008629A" w:rsidRDefault="00EA703D" w:rsidP="0008629A">
      <w:pPr>
        <w:rPr>
          <w:rFonts w:asciiTheme="minorHAnsi" w:hAnsiTheme="minorHAnsi"/>
          <w:sz w:val="20"/>
          <w:szCs w:val="20"/>
        </w:rPr>
      </w:pPr>
      <w:r w:rsidRPr="0008629A">
        <w:rPr>
          <w:rFonts w:asciiTheme="minorHAnsi" w:hAnsiTheme="minorHAnsi"/>
          <w:sz w:val="20"/>
          <w:szCs w:val="20"/>
        </w:rPr>
        <w:t xml:space="preserve">Most operators have experienced problems with issuance and clearance of defects and that the key problems include: </w:t>
      </w:r>
    </w:p>
    <w:p w:rsidR="00EA703D" w:rsidRPr="00560488" w:rsidRDefault="00EA703D" w:rsidP="0008629A">
      <w:pPr>
        <w:pStyle w:val="ListParagraph"/>
        <w:numPr>
          <w:ilvl w:val="0"/>
          <w:numId w:val="7"/>
        </w:numPr>
        <w:spacing w:after="0" w:line="240" w:lineRule="auto"/>
        <w:rPr>
          <w:rFonts w:asciiTheme="minorHAnsi" w:hAnsiTheme="minorHAnsi"/>
          <w:sz w:val="20"/>
          <w:szCs w:val="20"/>
        </w:rPr>
      </w:pPr>
      <w:r w:rsidRPr="00560488">
        <w:rPr>
          <w:rFonts w:asciiTheme="minorHAnsi" w:hAnsiTheme="minorHAnsi"/>
          <w:sz w:val="20"/>
          <w:szCs w:val="20"/>
        </w:rPr>
        <w:lastRenderedPageBreak/>
        <w:t>Inter-jurisdictional inconsistencies in administrative process and lack of communication between jurisdictions; poor mechanical understanding by enforcers (particularly police) result in incorrect defects being issued with little recourse for the operator;</w:t>
      </w:r>
    </w:p>
    <w:p w:rsidR="00EA703D" w:rsidRPr="00560488" w:rsidRDefault="00EA703D" w:rsidP="0008629A">
      <w:pPr>
        <w:pStyle w:val="ListParagraph"/>
        <w:numPr>
          <w:ilvl w:val="0"/>
          <w:numId w:val="7"/>
        </w:numPr>
        <w:spacing w:after="0" w:line="240" w:lineRule="auto"/>
        <w:rPr>
          <w:rFonts w:asciiTheme="minorHAnsi" w:hAnsiTheme="minorHAnsi"/>
          <w:sz w:val="20"/>
          <w:szCs w:val="20"/>
        </w:rPr>
      </w:pPr>
      <w:r w:rsidRPr="00560488">
        <w:rPr>
          <w:rFonts w:asciiTheme="minorHAnsi" w:hAnsiTheme="minorHAnsi"/>
          <w:sz w:val="20"/>
          <w:szCs w:val="20"/>
        </w:rPr>
        <w:t>Poor ‘interpretation’ of the law results in a large grey area between minor and major defects;</w:t>
      </w:r>
    </w:p>
    <w:p w:rsidR="00EA703D" w:rsidRPr="00560488" w:rsidRDefault="00EA703D" w:rsidP="0008629A">
      <w:pPr>
        <w:pStyle w:val="ListParagraph"/>
        <w:numPr>
          <w:ilvl w:val="0"/>
          <w:numId w:val="7"/>
        </w:numPr>
        <w:spacing w:after="0" w:line="240" w:lineRule="auto"/>
        <w:rPr>
          <w:rFonts w:asciiTheme="minorHAnsi" w:hAnsiTheme="minorHAnsi"/>
          <w:sz w:val="20"/>
          <w:szCs w:val="20"/>
        </w:rPr>
      </w:pPr>
      <w:r w:rsidRPr="00560488">
        <w:rPr>
          <w:rFonts w:asciiTheme="minorHAnsi" w:hAnsiTheme="minorHAnsi"/>
          <w:sz w:val="20"/>
          <w:szCs w:val="20"/>
        </w:rPr>
        <w:t>Petty enforcement when a warning would be more appropriate (e.g. small chip on edge of windscreen);</w:t>
      </w:r>
    </w:p>
    <w:p w:rsidR="00EA703D" w:rsidRPr="00560488" w:rsidRDefault="00EA703D" w:rsidP="0008629A">
      <w:pPr>
        <w:pStyle w:val="ListParagraph"/>
        <w:numPr>
          <w:ilvl w:val="0"/>
          <w:numId w:val="7"/>
        </w:numPr>
        <w:spacing w:after="0" w:line="240" w:lineRule="auto"/>
        <w:rPr>
          <w:rFonts w:asciiTheme="minorHAnsi" w:hAnsiTheme="minorHAnsi"/>
          <w:sz w:val="20"/>
          <w:szCs w:val="20"/>
        </w:rPr>
      </w:pPr>
      <w:r w:rsidRPr="00560488">
        <w:rPr>
          <w:rFonts w:asciiTheme="minorHAnsi" w:hAnsiTheme="minorHAnsi"/>
          <w:sz w:val="20"/>
          <w:szCs w:val="20"/>
        </w:rPr>
        <w:t>Problems with vehicles in new condition being defected (e.g. slow retracting seatbelt);</w:t>
      </w:r>
    </w:p>
    <w:p w:rsidR="00EA703D" w:rsidRPr="00560488" w:rsidRDefault="00EA703D" w:rsidP="0008629A">
      <w:pPr>
        <w:pStyle w:val="ListParagraph"/>
        <w:numPr>
          <w:ilvl w:val="0"/>
          <w:numId w:val="7"/>
        </w:numPr>
        <w:spacing w:after="0" w:line="240" w:lineRule="auto"/>
        <w:rPr>
          <w:rFonts w:asciiTheme="minorHAnsi" w:hAnsiTheme="minorHAnsi"/>
          <w:sz w:val="20"/>
          <w:szCs w:val="20"/>
        </w:rPr>
      </w:pPr>
      <w:r w:rsidRPr="00560488">
        <w:rPr>
          <w:rFonts w:asciiTheme="minorHAnsi" w:hAnsiTheme="minorHAnsi"/>
          <w:sz w:val="20"/>
          <w:szCs w:val="20"/>
        </w:rPr>
        <w:t>Defect clearance in SA is a problem.  Must be carried out by a government inspector and these are limited in availability – in some remote areas only every 6 weeks;</w:t>
      </w:r>
    </w:p>
    <w:p w:rsidR="00EA703D" w:rsidRPr="00560488" w:rsidRDefault="00EA703D" w:rsidP="0008629A">
      <w:pPr>
        <w:pStyle w:val="ListParagraph"/>
        <w:numPr>
          <w:ilvl w:val="0"/>
          <w:numId w:val="7"/>
        </w:numPr>
        <w:spacing w:after="0" w:line="240" w:lineRule="auto"/>
        <w:rPr>
          <w:rFonts w:asciiTheme="minorHAnsi" w:hAnsiTheme="minorHAnsi"/>
          <w:sz w:val="20"/>
          <w:szCs w:val="20"/>
        </w:rPr>
      </w:pPr>
      <w:r w:rsidRPr="00560488">
        <w:rPr>
          <w:rFonts w:asciiTheme="minorHAnsi" w:hAnsiTheme="minorHAnsi"/>
          <w:sz w:val="20"/>
          <w:szCs w:val="20"/>
        </w:rPr>
        <w:t>Clearance processes within states are inconsistent (e.g. some places will clear at pads and some will not);</w:t>
      </w:r>
    </w:p>
    <w:p w:rsidR="00EA703D" w:rsidRPr="00560488" w:rsidRDefault="00EA703D" w:rsidP="0008629A">
      <w:pPr>
        <w:pStyle w:val="ListParagraph"/>
        <w:numPr>
          <w:ilvl w:val="0"/>
          <w:numId w:val="7"/>
        </w:numPr>
        <w:spacing w:after="0" w:line="240" w:lineRule="auto"/>
        <w:rPr>
          <w:rFonts w:asciiTheme="minorHAnsi" w:hAnsiTheme="minorHAnsi"/>
          <w:sz w:val="20"/>
          <w:szCs w:val="20"/>
        </w:rPr>
      </w:pPr>
      <w:r w:rsidRPr="00560488">
        <w:rPr>
          <w:rFonts w:asciiTheme="minorHAnsi" w:hAnsiTheme="minorHAnsi"/>
          <w:sz w:val="20"/>
          <w:szCs w:val="20"/>
        </w:rPr>
        <w:t>There is some evidence of dodgy clearance services.</w:t>
      </w:r>
    </w:p>
    <w:p w:rsidR="00F445A7" w:rsidRPr="00560488" w:rsidRDefault="00F445A7" w:rsidP="00F56A53">
      <w:pPr>
        <w:rPr>
          <w:rFonts w:asciiTheme="minorHAnsi" w:hAnsiTheme="minorHAnsi"/>
          <w:sz w:val="20"/>
          <w:szCs w:val="20"/>
        </w:rPr>
      </w:pPr>
    </w:p>
    <w:p w:rsidR="00EA703D" w:rsidRDefault="00EA703D" w:rsidP="00F56A53">
      <w:pPr>
        <w:rPr>
          <w:rFonts w:asciiTheme="minorHAnsi" w:hAnsiTheme="minorHAnsi"/>
          <w:sz w:val="20"/>
          <w:szCs w:val="20"/>
        </w:rPr>
      </w:pPr>
      <w:r w:rsidRPr="00560488">
        <w:rPr>
          <w:rFonts w:asciiTheme="minorHAnsi" w:hAnsiTheme="minorHAnsi"/>
          <w:sz w:val="20"/>
          <w:szCs w:val="20"/>
        </w:rPr>
        <w:t xml:space="preserve">This sector of road transport would also prefer a nationally consistent set of rules and processes that provide: </w:t>
      </w:r>
    </w:p>
    <w:p w:rsidR="00EA703D" w:rsidRPr="00560488" w:rsidRDefault="00EA703D" w:rsidP="00F56A53">
      <w:pPr>
        <w:pStyle w:val="ListParagraph"/>
        <w:numPr>
          <w:ilvl w:val="0"/>
          <w:numId w:val="7"/>
        </w:numPr>
        <w:spacing w:after="0" w:line="240" w:lineRule="auto"/>
        <w:rPr>
          <w:rFonts w:asciiTheme="minorHAnsi" w:hAnsiTheme="minorHAnsi"/>
          <w:sz w:val="20"/>
          <w:szCs w:val="20"/>
        </w:rPr>
      </w:pPr>
      <w:r w:rsidRPr="00560488">
        <w:rPr>
          <w:rFonts w:asciiTheme="minorHAnsi" w:hAnsiTheme="minorHAnsi"/>
          <w:sz w:val="20"/>
          <w:szCs w:val="20"/>
        </w:rPr>
        <w:t>Improved skills for enforcers – perhaps even removing powers from police except for major safety matters;</w:t>
      </w:r>
    </w:p>
    <w:p w:rsidR="00EA703D" w:rsidRPr="00560488" w:rsidRDefault="00EA703D" w:rsidP="00F56A53">
      <w:pPr>
        <w:pStyle w:val="ListParagraph"/>
        <w:numPr>
          <w:ilvl w:val="0"/>
          <w:numId w:val="7"/>
        </w:numPr>
        <w:spacing w:after="0" w:line="240" w:lineRule="auto"/>
        <w:rPr>
          <w:rFonts w:asciiTheme="minorHAnsi" w:hAnsiTheme="minorHAnsi"/>
          <w:sz w:val="20"/>
          <w:szCs w:val="20"/>
        </w:rPr>
      </w:pPr>
      <w:r w:rsidRPr="00560488">
        <w:rPr>
          <w:rFonts w:asciiTheme="minorHAnsi" w:hAnsiTheme="minorHAnsi"/>
          <w:sz w:val="20"/>
          <w:szCs w:val="20"/>
        </w:rPr>
        <w:t>Increased use of formal warnings for non-critical issues;</w:t>
      </w:r>
    </w:p>
    <w:p w:rsidR="00EA703D" w:rsidRPr="00560488" w:rsidRDefault="00EA703D" w:rsidP="00F56A53">
      <w:pPr>
        <w:pStyle w:val="ListParagraph"/>
        <w:numPr>
          <w:ilvl w:val="0"/>
          <w:numId w:val="7"/>
        </w:numPr>
        <w:spacing w:after="0" w:line="240" w:lineRule="auto"/>
        <w:rPr>
          <w:rFonts w:asciiTheme="minorHAnsi" w:hAnsiTheme="minorHAnsi"/>
          <w:sz w:val="20"/>
          <w:szCs w:val="20"/>
        </w:rPr>
      </w:pPr>
      <w:r w:rsidRPr="00560488">
        <w:rPr>
          <w:rFonts w:asciiTheme="minorHAnsi" w:hAnsiTheme="minorHAnsi"/>
          <w:sz w:val="20"/>
          <w:szCs w:val="20"/>
        </w:rPr>
        <w:t>Better interpretation of minor versus major defects;</w:t>
      </w:r>
    </w:p>
    <w:p w:rsidR="00EA703D" w:rsidRPr="00560488" w:rsidRDefault="00EA703D" w:rsidP="00F56A53">
      <w:pPr>
        <w:pStyle w:val="ListParagraph"/>
        <w:numPr>
          <w:ilvl w:val="0"/>
          <w:numId w:val="7"/>
        </w:numPr>
        <w:spacing w:after="0" w:line="240" w:lineRule="auto"/>
        <w:rPr>
          <w:rFonts w:asciiTheme="minorHAnsi" w:hAnsiTheme="minorHAnsi"/>
          <w:sz w:val="20"/>
          <w:szCs w:val="20"/>
        </w:rPr>
      </w:pPr>
      <w:r w:rsidRPr="00560488">
        <w:rPr>
          <w:rFonts w:asciiTheme="minorHAnsi" w:hAnsiTheme="minorHAnsi"/>
          <w:sz w:val="20"/>
          <w:szCs w:val="20"/>
        </w:rPr>
        <w:t>Systems which do not ‘hold up the trucks’ unnecessarily;</w:t>
      </w:r>
    </w:p>
    <w:p w:rsidR="00EA703D" w:rsidRPr="00560488" w:rsidRDefault="00EA703D" w:rsidP="00F56A53">
      <w:pPr>
        <w:pStyle w:val="ListParagraph"/>
        <w:numPr>
          <w:ilvl w:val="0"/>
          <w:numId w:val="7"/>
        </w:numPr>
        <w:spacing w:after="0" w:line="240" w:lineRule="auto"/>
        <w:rPr>
          <w:rFonts w:asciiTheme="minorHAnsi" w:hAnsiTheme="minorHAnsi"/>
          <w:sz w:val="20"/>
          <w:szCs w:val="20"/>
        </w:rPr>
      </w:pPr>
      <w:r w:rsidRPr="00560488">
        <w:rPr>
          <w:rFonts w:asciiTheme="minorHAnsi" w:hAnsiTheme="minorHAnsi"/>
          <w:sz w:val="20"/>
          <w:szCs w:val="20"/>
        </w:rPr>
        <w:t>Self-clearance of minor defects (e.g. sign form and return);</w:t>
      </w:r>
    </w:p>
    <w:p w:rsidR="00EA703D" w:rsidRPr="00560488" w:rsidRDefault="00EA703D" w:rsidP="00F56A53">
      <w:pPr>
        <w:pStyle w:val="ListParagraph"/>
        <w:numPr>
          <w:ilvl w:val="0"/>
          <w:numId w:val="7"/>
        </w:numPr>
        <w:spacing w:after="0" w:line="240" w:lineRule="auto"/>
        <w:rPr>
          <w:rFonts w:asciiTheme="minorHAnsi" w:hAnsiTheme="minorHAnsi"/>
          <w:sz w:val="20"/>
          <w:szCs w:val="20"/>
        </w:rPr>
      </w:pPr>
      <w:r w:rsidRPr="00560488">
        <w:rPr>
          <w:rFonts w:asciiTheme="minorHAnsi" w:hAnsiTheme="minorHAnsi"/>
          <w:sz w:val="20"/>
          <w:szCs w:val="20"/>
        </w:rPr>
        <w:t>Greater availability of good quality clearance services (and improved mechanisms for identifying and taking action against dodgy providers); and</w:t>
      </w:r>
    </w:p>
    <w:p w:rsidR="00EA703D" w:rsidRPr="00560488" w:rsidRDefault="00EA703D" w:rsidP="00F56A53">
      <w:pPr>
        <w:pStyle w:val="ListParagraph"/>
        <w:numPr>
          <w:ilvl w:val="0"/>
          <w:numId w:val="7"/>
        </w:numPr>
        <w:spacing w:after="0" w:line="240" w:lineRule="auto"/>
        <w:rPr>
          <w:rFonts w:asciiTheme="minorHAnsi" w:hAnsiTheme="minorHAnsi"/>
          <w:sz w:val="20"/>
          <w:szCs w:val="20"/>
        </w:rPr>
      </w:pPr>
      <w:r w:rsidRPr="00560488">
        <w:rPr>
          <w:rFonts w:asciiTheme="minorHAnsi" w:hAnsiTheme="minorHAnsi"/>
          <w:sz w:val="20"/>
          <w:szCs w:val="20"/>
        </w:rPr>
        <w:t>Better opportunities for the NHVR to review and overturn defects issued in error.</w:t>
      </w:r>
    </w:p>
    <w:p w:rsidR="00CA6813" w:rsidRPr="00560488" w:rsidRDefault="00CA6813" w:rsidP="00F56A53">
      <w:pPr>
        <w:rPr>
          <w:rFonts w:asciiTheme="minorHAnsi" w:hAnsiTheme="minorHAnsi" w:cs="Arial"/>
          <w:b/>
          <w:sz w:val="20"/>
          <w:szCs w:val="20"/>
        </w:rPr>
      </w:pPr>
    </w:p>
    <w:p w:rsidR="007D17B7" w:rsidRPr="00560488" w:rsidRDefault="007D17B7" w:rsidP="007D17B7">
      <w:pPr>
        <w:rPr>
          <w:rFonts w:asciiTheme="minorHAnsi" w:hAnsiTheme="minorHAnsi" w:cs="Arial"/>
          <w:b/>
          <w:sz w:val="20"/>
          <w:szCs w:val="20"/>
        </w:rPr>
      </w:pPr>
      <w:r w:rsidRPr="00560488">
        <w:rPr>
          <w:rFonts w:asciiTheme="minorHAnsi" w:hAnsiTheme="minorHAnsi" w:cs="Arial"/>
          <w:b/>
          <w:sz w:val="20"/>
          <w:szCs w:val="20"/>
        </w:rPr>
        <w:t xml:space="preserve">ATA recommendation 4 </w:t>
      </w:r>
    </w:p>
    <w:p w:rsidR="007D17B7" w:rsidRPr="00560488" w:rsidRDefault="007D17B7" w:rsidP="007D17B7">
      <w:pPr>
        <w:rPr>
          <w:rFonts w:asciiTheme="minorHAnsi" w:hAnsiTheme="minorHAnsi" w:cs="Arial"/>
          <w:b/>
          <w:sz w:val="20"/>
          <w:szCs w:val="20"/>
        </w:rPr>
      </w:pPr>
      <w:r w:rsidRPr="00560488">
        <w:rPr>
          <w:rFonts w:asciiTheme="minorHAnsi" w:hAnsiTheme="minorHAnsi" w:cs="Arial"/>
          <w:b/>
          <w:sz w:val="20"/>
          <w:szCs w:val="20"/>
        </w:rPr>
        <w:t xml:space="preserve">The ATA recommends that roadside inspections target the worst performers in the industry, not the best. </w:t>
      </w:r>
    </w:p>
    <w:p w:rsidR="007D17B7" w:rsidRDefault="007D17B7" w:rsidP="00F56A53">
      <w:pPr>
        <w:rPr>
          <w:rFonts w:asciiTheme="minorHAnsi" w:hAnsiTheme="minorHAnsi" w:cs="Arial"/>
          <w:b/>
          <w:sz w:val="20"/>
          <w:szCs w:val="20"/>
        </w:rPr>
      </w:pPr>
    </w:p>
    <w:p w:rsidR="00A928AA" w:rsidRPr="00560488" w:rsidRDefault="00A928AA" w:rsidP="00F56A53">
      <w:pPr>
        <w:rPr>
          <w:rFonts w:asciiTheme="minorHAnsi" w:hAnsiTheme="minorHAnsi" w:cs="Arial"/>
          <w:b/>
          <w:sz w:val="20"/>
          <w:szCs w:val="20"/>
        </w:rPr>
      </w:pPr>
      <w:r w:rsidRPr="00560488">
        <w:rPr>
          <w:rFonts w:asciiTheme="minorHAnsi" w:hAnsiTheme="minorHAnsi" w:cs="Arial"/>
          <w:b/>
          <w:sz w:val="20"/>
          <w:szCs w:val="20"/>
        </w:rPr>
        <w:t>ATA recommendation 5</w:t>
      </w:r>
    </w:p>
    <w:p w:rsidR="00A928AA" w:rsidRDefault="00A928AA" w:rsidP="00F56A53">
      <w:pPr>
        <w:rPr>
          <w:rFonts w:asciiTheme="minorHAnsi" w:hAnsiTheme="minorHAnsi"/>
          <w:b/>
          <w:sz w:val="20"/>
          <w:szCs w:val="20"/>
        </w:rPr>
      </w:pPr>
      <w:r w:rsidRPr="00560488">
        <w:rPr>
          <w:rFonts w:asciiTheme="minorHAnsi" w:hAnsiTheme="minorHAnsi" w:cs="Arial"/>
          <w:b/>
          <w:sz w:val="20"/>
          <w:szCs w:val="20"/>
        </w:rPr>
        <w:t>A</w:t>
      </w:r>
      <w:r w:rsidRPr="00560488">
        <w:rPr>
          <w:b/>
          <w:sz w:val="20"/>
          <w:szCs w:val="20"/>
        </w:rPr>
        <w:t xml:space="preserve"> formal process for issuing/clearing/withdrawing defect notices should be agreed between HVNL-participating states. Defect n</w:t>
      </w:r>
      <w:r w:rsidRPr="00560488">
        <w:rPr>
          <w:rFonts w:asciiTheme="minorHAnsi" w:hAnsiTheme="minorHAnsi"/>
          <w:b/>
          <w:sz w:val="20"/>
          <w:szCs w:val="20"/>
        </w:rPr>
        <w:t xml:space="preserve">otices should display sufficient detail for a person to be able to note the rule that is applied and the physical location of the alleged non-conformance. </w:t>
      </w:r>
    </w:p>
    <w:p w:rsidR="005634B4" w:rsidRPr="00560488" w:rsidRDefault="005634B4" w:rsidP="00F56A53">
      <w:pPr>
        <w:rPr>
          <w:rFonts w:asciiTheme="minorHAnsi" w:hAnsiTheme="minorHAnsi"/>
          <w:b/>
          <w:sz w:val="20"/>
          <w:szCs w:val="20"/>
        </w:rPr>
      </w:pPr>
    </w:p>
    <w:p w:rsidR="007D17B7" w:rsidRPr="00560488" w:rsidRDefault="007D17B7" w:rsidP="00F56A53">
      <w:pPr>
        <w:rPr>
          <w:rFonts w:asciiTheme="minorHAnsi" w:hAnsiTheme="minorHAnsi"/>
          <w:sz w:val="20"/>
          <w:szCs w:val="20"/>
        </w:rPr>
      </w:pPr>
    </w:p>
    <w:p w:rsidR="000F6239" w:rsidRPr="00887EB4" w:rsidRDefault="00952C60" w:rsidP="00887EB4">
      <w:pPr>
        <w:pStyle w:val="Heading1"/>
        <w:rPr>
          <w:color w:val="auto"/>
        </w:rPr>
      </w:pPr>
      <w:bookmarkStart w:id="4" w:name="_Toc398126239"/>
      <w:r w:rsidRPr="00887EB4">
        <w:rPr>
          <w:color w:val="auto"/>
        </w:rPr>
        <w:t xml:space="preserve">Vehicle Standards </w:t>
      </w:r>
      <w:bookmarkEnd w:id="4"/>
    </w:p>
    <w:p w:rsidR="00CA6813" w:rsidRPr="00560488" w:rsidRDefault="00CA6813" w:rsidP="00F56A53">
      <w:pPr>
        <w:rPr>
          <w:sz w:val="20"/>
          <w:szCs w:val="20"/>
        </w:rPr>
      </w:pPr>
    </w:p>
    <w:p w:rsidR="003B4BC0" w:rsidRPr="00560488" w:rsidRDefault="003B4BC0" w:rsidP="00F56A53">
      <w:pPr>
        <w:rPr>
          <w:sz w:val="20"/>
          <w:szCs w:val="20"/>
        </w:rPr>
      </w:pPr>
      <w:r w:rsidRPr="00560488">
        <w:rPr>
          <w:sz w:val="20"/>
          <w:szCs w:val="20"/>
        </w:rPr>
        <w:t xml:space="preserve">The HVNL is </w:t>
      </w:r>
      <w:r w:rsidR="003E0DA6" w:rsidRPr="00560488">
        <w:rPr>
          <w:sz w:val="20"/>
          <w:szCs w:val="20"/>
        </w:rPr>
        <w:t xml:space="preserve">currently </w:t>
      </w:r>
      <w:r w:rsidRPr="00560488">
        <w:rPr>
          <w:sz w:val="20"/>
          <w:szCs w:val="20"/>
        </w:rPr>
        <w:t>in force in NSW, Victoria, Q</w:t>
      </w:r>
      <w:r w:rsidR="00DD29F2" w:rsidRPr="00560488">
        <w:rPr>
          <w:sz w:val="20"/>
          <w:szCs w:val="20"/>
        </w:rPr>
        <w:t>ueens</w:t>
      </w:r>
      <w:r w:rsidRPr="00560488">
        <w:rPr>
          <w:sz w:val="20"/>
          <w:szCs w:val="20"/>
        </w:rPr>
        <w:t>l</w:t>
      </w:r>
      <w:r w:rsidR="00DD29F2" w:rsidRPr="00560488">
        <w:rPr>
          <w:sz w:val="20"/>
          <w:szCs w:val="20"/>
        </w:rPr>
        <w:t>an</w:t>
      </w:r>
      <w:r w:rsidRPr="00560488">
        <w:rPr>
          <w:sz w:val="20"/>
          <w:szCs w:val="20"/>
        </w:rPr>
        <w:t>d, S</w:t>
      </w:r>
      <w:r w:rsidR="00DD29F2" w:rsidRPr="00560488">
        <w:rPr>
          <w:sz w:val="20"/>
          <w:szCs w:val="20"/>
        </w:rPr>
        <w:t>out</w:t>
      </w:r>
      <w:r w:rsidRPr="00560488">
        <w:rPr>
          <w:sz w:val="20"/>
          <w:szCs w:val="20"/>
        </w:rPr>
        <w:t xml:space="preserve">h Australia, Tasmania and </w:t>
      </w:r>
      <w:r w:rsidR="00DD29F2" w:rsidRPr="00560488">
        <w:rPr>
          <w:sz w:val="20"/>
          <w:szCs w:val="20"/>
        </w:rPr>
        <w:t xml:space="preserve">the </w:t>
      </w:r>
      <w:r w:rsidRPr="00560488">
        <w:rPr>
          <w:sz w:val="20"/>
          <w:szCs w:val="20"/>
        </w:rPr>
        <w:t xml:space="preserve">ACT. It has not been adopted in WA or the </w:t>
      </w:r>
      <w:r w:rsidR="00DD29F2" w:rsidRPr="00560488">
        <w:rPr>
          <w:sz w:val="20"/>
          <w:szCs w:val="20"/>
        </w:rPr>
        <w:t>Northern territory</w:t>
      </w:r>
      <w:r w:rsidR="003B3DB0" w:rsidRPr="00560488">
        <w:rPr>
          <w:sz w:val="20"/>
          <w:szCs w:val="20"/>
        </w:rPr>
        <w:t xml:space="preserve"> and will not be for the foreseeable future</w:t>
      </w:r>
      <w:r w:rsidRPr="00560488">
        <w:rPr>
          <w:sz w:val="20"/>
          <w:szCs w:val="20"/>
        </w:rPr>
        <w:t xml:space="preserve">. For the purposes of this submission, references to applications of the HVNL, the NHVR, and a ‘national heavy vehicle roadworthiness system’ should be understood in this context. </w:t>
      </w:r>
    </w:p>
    <w:p w:rsidR="003B4BC0" w:rsidRPr="00560488" w:rsidRDefault="003B4BC0" w:rsidP="00F56A53">
      <w:pPr>
        <w:rPr>
          <w:sz w:val="20"/>
          <w:szCs w:val="20"/>
        </w:rPr>
      </w:pPr>
    </w:p>
    <w:p w:rsidR="003B4BC0" w:rsidRPr="00560488" w:rsidRDefault="003B4BC0" w:rsidP="00F56A53">
      <w:pPr>
        <w:rPr>
          <w:sz w:val="20"/>
          <w:szCs w:val="20"/>
        </w:rPr>
      </w:pPr>
      <w:r w:rsidRPr="00560488">
        <w:rPr>
          <w:sz w:val="20"/>
          <w:szCs w:val="20"/>
        </w:rPr>
        <w:t xml:space="preserve">There are no chain of responsibility provisions applying </w:t>
      </w:r>
      <w:r w:rsidR="008A4E4F" w:rsidRPr="00560488">
        <w:rPr>
          <w:sz w:val="20"/>
          <w:szCs w:val="20"/>
        </w:rPr>
        <w:t xml:space="preserve">specifically </w:t>
      </w:r>
      <w:r w:rsidRPr="00560488">
        <w:rPr>
          <w:sz w:val="20"/>
          <w:szCs w:val="20"/>
        </w:rPr>
        <w:t xml:space="preserve">to heavy vehicle standards or maintenance. Nevertheless, HVNL Chapter 3 (heavy vehicle standards and safety) </w:t>
      </w:r>
      <w:r w:rsidR="002E5165" w:rsidRPr="00560488">
        <w:rPr>
          <w:sz w:val="20"/>
          <w:szCs w:val="20"/>
        </w:rPr>
        <w:t xml:space="preserve">section 60(1) </w:t>
      </w:r>
      <w:r w:rsidRPr="00560488">
        <w:rPr>
          <w:sz w:val="20"/>
          <w:szCs w:val="20"/>
        </w:rPr>
        <w:t>state</w:t>
      </w:r>
      <w:r w:rsidR="002E5165" w:rsidRPr="00560488">
        <w:rPr>
          <w:sz w:val="20"/>
          <w:szCs w:val="20"/>
        </w:rPr>
        <w:t>s</w:t>
      </w:r>
      <w:r w:rsidRPr="00560488">
        <w:rPr>
          <w:sz w:val="20"/>
          <w:szCs w:val="20"/>
        </w:rPr>
        <w:t xml:space="preserve"> a person must not “use or permit to be used” a heavy vehicle that does not comply with vehicle standards.</w:t>
      </w:r>
      <w:r w:rsidR="00222EBF" w:rsidRPr="00560488">
        <w:rPr>
          <w:sz w:val="20"/>
          <w:szCs w:val="20"/>
        </w:rPr>
        <w:t xml:space="preserve"> As the Phase 2 Report </w:t>
      </w:r>
      <w:r w:rsidR="00080193" w:rsidRPr="00560488">
        <w:rPr>
          <w:sz w:val="20"/>
          <w:szCs w:val="20"/>
        </w:rPr>
        <w:t xml:space="preserve">also </w:t>
      </w:r>
      <w:r w:rsidR="00222EBF" w:rsidRPr="00560488">
        <w:rPr>
          <w:sz w:val="20"/>
          <w:szCs w:val="20"/>
        </w:rPr>
        <w:t xml:space="preserve">notes, the HVNL </w:t>
      </w:r>
      <w:r w:rsidR="007A4CEE" w:rsidRPr="00560488">
        <w:rPr>
          <w:sz w:val="20"/>
          <w:szCs w:val="20"/>
        </w:rPr>
        <w:t>includes</w:t>
      </w:r>
      <w:r w:rsidR="00222EBF" w:rsidRPr="00560488">
        <w:rPr>
          <w:sz w:val="20"/>
          <w:szCs w:val="20"/>
        </w:rPr>
        <w:t xml:space="preserve"> provisions such as </w:t>
      </w:r>
      <w:r w:rsidR="00222EBF" w:rsidRPr="00560488">
        <w:rPr>
          <w:rFonts w:asciiTheme="minorHAnsi" w:hAnsiTheme="minorHAnsi" w:cs="Arial"/>
          <w:sz w:val="20"/>
          <w:szCs w:val="20"/>
        </w:rPr>
        <w:t>section 89(1) provides that a person must not use, or permit to be used, on a road a heavy vehicle that is unsafe and section 89(2) provides (for the purposes of s89(1)) that a heavy vehicle is unsafe only if the condition of the vehicle, or any of its components or equipment – (a) makes the use of the vehicle unsafe; or (b) endangers public safety.</w:t>
      </w:r>
    </w:p>
    <w:p w:rsidR="003B4BC0" w:rsidRPr="00560488" w:rsidRDefault="003B4BC0" w:rsidP="00F56A53"/>
    <w:p w:rsidR="00B60451" w:rsidRPr="00560488" w:rsidRDefault="00080193" w:rsidP="00F56A53">
      <w:pPr>
        <w:pStyle w:val="Heading1"/>
        <w:numPr>
          <w:ilvl w:val="0"/>
          <w:numId w:val="0"/>
        </w:numPr>
        <w:jc w:val="both"/>
        <w:rPr>
          <w:rFonts w:asciiTheme="minorHAnsi" w:hAnsiTheme="minorHAnsi"/>
          <w:color w:val="auto"/>
          <w:sz w:val="20"/>
          <w:szCs w:val="20"/>
        </w:rPr>
      </w:pPr>
      <w:r w:rsidRPr="00560488">
        <w:rPr>
          <w:rFonts w:asciiTheme="minorHAnsi" w:hAnsiTheme="minorHAnsi"/>
          <w:color w:val="auto"/>
          <w:sz w:val="20"/>
          <w:szCs w:val="20"/>
        </w:rPr>
        <w:t xml:space="preserve">Vehicle standards and the chain of responsibility </w:t>
      </w:r>
    </w:p>
    <w:p w:rsidR="004016AC" w:rsidRPr="00560488" w:rsidRDefault="004016AC" w:rsidP="00F56A53">
      <w:pPr>
        <w:rPr>
          <w:rFonts w:asciiTheme="minorHAnsi" w:hAnsiTheme="minorHAnsi" w:cs="Arial"/>
          <w:sz w:val="20"/>
          <w:szCs w:val="20"/>
        </w:rPr>
      </w:pPr>
      <w:r w:rsidRPr="00560488">
        <w:rPr>
          <w:rFonts w:asciiTheme="minorHAnsi" w:hAnsiTheme="minorHAnsi" w:cs="Arial"/>
          <w:sz w:val="20"/>
          <w:szCs w:val="20"/>
        </w:rPr>
        <w:t>According to the NTC</w:t>
      </w:r>
      <w:r w:rsidR="005B3C24" w:rsidRPr="00560488">
        <w:rPr>
          <w:rStyle w:val="FootnoteReference"/>
          <w:rFonts w:asciiTheme="minorHAnsi" w:hAnsiTheme="minorHAnsi"/>
          <w:sz w:val="20"/>
          <w:szCs w:val="20"/>
        </w:rPr>
        <w:footnoteReference w:id="4"/>
      </w:r>
      <w:r w:rsidRPr="00560488">
        <w:rPr>
          <w:rFonts w:asciiTheme="minorHAnsi" w:hAnsiTheme="minorHAnsi" w:cs="Arial"/>
          <w:sz w:val="20"/>
          <w:szCs w:val="20"/>
        </w:rPr>
        <w:t xml:space="preserve">, </w:t>
      </w:r>
      <w:r w:rsidR="00AE5998" w:rsidRPr="00560488">
        <w:rPr>
          <w:rFonts w:asciiTheme="minorHAnsi" w:hAnsiTheme="minorHAnsi" w:cs="Arial"/>
          <w:sz w:val="20"/>
          <w:szCs w:val="20"/>
        </w:rPr>
        <w:t xml:space="preserve">the </w:t>
      </w:r>
      <w:r w:rsidRPr="00560488">
        <w:rPr>
          <w:rFonts w:asciiTheme="minorHAnsi" w:hAnsiTheme="minorHAnsi" w:cs="Arial"/>
          <w:sz w:val="20"/>
          <w:szCs w:val="20"/>
        </w:rPr>
        <w:t>development of CoR provisions applying to vehicle standards was investigated in 2004 and 2005</w:t>
      </w:r>
      <w:r w:rsidR="005B3C24" w:rsidRPr="00560488">
        <w:rPr>
          <w:rFonts w:asciiTheme="minorHAnsi" w:hAnsiTheme="minorHAnsi" w:cs="Arial"/>
          <w:sz w:val="20"/>
          <w:szCs w:val="20"/>
        </w:rPr>
        <w:t xml:space="preserve"> but t</w:t>
      </w:r>
      <w:r w:rsidRPr="00560488">
        <w:rPr>
          <w:rFonts w:asciiTheme="minorHAnsi" w:hAnsiTheme="minorHAnsi" w:cs="Arial"/>
          <w:sz w:val="20"/>
          <w:szCs w:val="20"/>
        </w:rPr>
        <w:t xml:space="preserve">he NTC did not proceed for a number of reasons, including what was described as a lack of evidence of the link between breaches of the vehicle standards and on-road incidents. This argument </w:t>
      </w:r>
      <w:r w:rsidR="005B3C24" w:rsidRPr="00560488">
        <w:rPr>
          <w:rFonts w:asciiTheme="minorHAnsi" w:hAnsiTheme="minorHAnsi" w:cs="Arial"/>
          <w:sz w:val="20"/>
          <w:szCs w:val="20"/>
        </w:rPr>
        <w:t>is</w:t>
      </w:r>
      <w:r w:rsidRPr="00560488">
        <w:rPr>
          <w:rFonts w:asciiTheme="minorHAnsi" w:hAnsiTheme="minorHAnsi" w:cs="Arial"/>
          <w:sz w:val="20"/>
          <w:szCs w:val="20"/>
        </w:rPr>
        <w:t xml:space="preserve"> also been put forward in the current </w:t>
      </w:r>
      <w:r w:rsidR="005B3C24" w:rsidRPr="00560488">
        <w:rPr>
          <w:rFonts w:asciiTheme="minorHAnsi" w:hAnsiTheme="minorHAnsi" w:cs="Arial"/>
          <w:sz w:val="20"/>
          <w:szCs w:val="20"/>
        </w:rPr>
        <w:t xml:space="preserve">review </w:t>
      </w:r>
      <w:r w:rsidRPr="00560488">
        <w:rPr>
          <w:rFonts w:asciiTheme="minorHAnsi" w:hAnsiTheme="minorHAnsi" w:cs="Arial"/>
          <w:sz w:val="20"/>
          <w:szCs w:val="20"/>
        </w:rPr>
        <w:t>process.</w:t>
      </w:r>
    </w:p>
    <w:p w:rsidR="00F445A7" w:rsidRPr="00560488" w:rsidRDefault="00F445A7" w:rsidP="00F56A53">
      <w:pPr>
        <w:rPr>
          <w:rFonts w:asciiTheme="minorHAnsi" w:hAnsiTheme="minorHAnsi" w:cs="Arial"/>
          <w:sz w:val="20"/>
          <w:szCs w:val="20"/>
        </w:rPr>
      </w:pPr>
    </w:p>
    <w:p w:rsidR="00F6794F" w:rsidRPr="00560488" w:rsidRDefault="004A431F" w:rsidP="00F56A53">
      <w:pPr>
        <w:rPr>
          <w:rFonts w:asciiTheme="minorHAnsi" w:hAnsiTheme="minorHAnsi" w:cs="Arial"/>
          <w:sz w:val="20"/>
          <w:szCs w:val="20"/>
        </w:rPr>
      </w:pPr>
      <w:r w:rsidRPr="00560488">
        <w:rPr>
          <w:rFonts w:asciiTheme="minorHAnsi" w:hAnsiTheme="minorHAnsi" w:cs="Arial"/>
          <w:sz w:val="20"/>
          <w:szCs w:val="20"/>
        </w:rPr>
        <w:t>In its response</w:t>
      </w:r>
      <w:r w:rsidR="00480AB0" w:rsidRPr="00560488">
        <w:rPr>
          <w:rFonts w:asciiTheme="minorHAnsi" w:hAnsiTheme="minorHAnsi" w:cs="Arial"/>
          <w:sz w:val="20"/>
          <w:szCs w:val="20"/>
        </w:rPr>
        <w:t xml:space="preserve"> to the 2014 NTC stakeholder brief on </w:t>
      </w:r>
      <w:r w:rsidR="00BB0B05" w:rsidRPr="00560488">
        <w:rPr>
          <w:rFonts w:asciiTheme="minorHAnsi" w:hAnsiTheme="minorHAnsi" w:cs="Arial"/>
          <w:sz w:val="20"/>
          <w:szCs w:val="20"/>
        </w:rPr>
        <w:t>COR and</w:t>
      </w:r>
      <w:r w:rsidR="00480AB0" w:rsidRPr="00560488">
        <w:rPr>
          <w:rFonts w:asciiTheme="minorHAnsi" w:hAnsiTheme="minorHAnsi" w:cs="Arial"/>
          <w:sz w:val="20"/>
          <w:szCs w:val="20"/>
        </w:rPr>
        <w:t xml:space="preserve"> vehicle standards</w:t>
      </w:r>
      <w:r w:rsidRPr="00560488">
        <w:rPr>
          <w:rFonts w:asciiTheme="minorHAnsi" w:hAnsiTheme="minorHAnsi" w:cs="Arial"/>
          <w:sz w:val="20"/>
          <w:szCs w:val="20"/>
        </w:rPr>
        <w:t>, the ATA examined links between vehicle standards and crashes</w:t>
      </w:r>
      <w:r w:rsidR="00260466" w:rsidRPr="00560488">
        <w:rPr>
          <w:rFonts w:asciiTheme="minorHAnsi" w:hAnsiTheme="minorHAnsi" w:cs="Arial"/>
          <w:sz w:val="20"/>
          <w:szCs w:val="20"/>
        </w:rPr>
        <w:t xml:space="preserve">; </w:t>
      </w:r>
      <w:r w:rsidRPr="00560488">
        <w:rPr>
          <w:rFonts w:asciiTheme="minorHAnsi" w:hAnsiTheme="minorHAnsi" w:cs="Arial"/>
          <w:sz w:val="20"/>
          <w:szCs w:val="20"/>
        </w:rPr>
        <w:t>corporate behaviour to be targeted to reduce defect-related accidents</w:t>
      </w:r>
      <w:r w:rsidR="00260466" w:rsidRPr="00560488">
        <w:rPr>
          <w:rFonts w:asciiTheme="minorHAnsi" w:hAnsiTheme="minorHAnsi" w:cs="Arial"/>
          <w:sz w:val="20"/>
          <w:szCs w:val="20"/>
        </w:rPr>
        <w:t>;</w:t>
      </w:r>
      <w:r w:rsidRPr="00560488">
        <w:rPr>
          <w:rFonts w:asciiTheme="minorHAnsi" w:hAnsiTheme="minorHAnsi" w:cs="Arial"/>
          <w:sz w:val="20"/>
          <w:szCs w:val="20"/>
        </w:rPr>
        <w:t xml:space="preserve"> and issues with the existing version of Chapter 3 in the HVNL. </w:t>
      </w:r>
      <w:r w:rsidR="00B02509" w:rsidRPr="00560488">
        <w:rPr>
          <w:rFonts w:asciiTheme="minorHAnsi" w:hAnsiTheme="minorHAnsi" w:cs="Arial"/>
          <w:sz w:val="20"/>
          <w:szCs w:val="20"/>
        </w:rPr>
        <w:t xml:space="preserve"> </w:t>
      </w:r>
    </w:p>
    <w:p w:rsidR="00202563" w:rsidRDefault="00202563">
      <w:pPr>
        <w:rPr>
          <w:rFonts w:asciiTheme="minorHAnsi" w:hAnsiTheme="minorHAnsi" w:cs="Arial"/>
          <w:b/>
          <w:sz w:val="20"/>
          <w:szCs w:val="20"/>
        </w:rPr>
      </w:pPr>
      <w:r>
        <w:rPr>
          <w:rFonts w:asciiTheme="minorHAnsi" w:hAnsiTheme="minorHAnsi"/>
          <w:sz w:val="20"/>
          <w:szCs w:val="20"/>
        </w:rPr>
        <w:br w:type="page"/>
      </w:r>
    </w:p>
    <w:p w:rsidR="00241F2E" w:rsidRPr="00560488" w:rsidRDefault="00241F2E" w:rsidP="00F56A53">
      <w:pPr>
        <w:pStyle w:val="Heading1"/>
        <w:numPr>
          <w:ilvl w:val="0"/>
          <w:numId w:val="0"/>
        </w:numPr>
        <w:jc w:val="both"/>
        <w:rPr>
          <w:rFonts w:asciiTheme="minorHAnsi" w:hAnsiTheme="minorHAnsi"/>
          <w:color w:val="auto"/>
          <w:sz w:val="20"/>
          <w:szCs w:val="20"/>
        </w:rPr>
      </w:pPr>
      <w:r w:rsidRPr="00560488">
        <w:rPr>
          <w:rFonts w:asciiTheme="minorHAnsi" w:hAnsiTheme="minorHAnsi"/>
          <w:color w:val="auto"/>
          <w:sz w:val="20"/>
          <w:szCs w:val="20"/>
        </w:rPr>
        <w:lastRenderedPageBreak/>
        <w:t>The link between vehicle standards and crashes</w:t>
      </w:r>
    </w:p>
    <w:p w:rsidR="00241F2E" w:rsidRPr="00560488" w:rsidRDefault="00241F2E" w:rsidP="00F56A53">
      <w:pPr>
        <w:keepNext/>
        <w:rPr>
          <w:rFonts w:asciiTheme="minorHAnsi" w:hAnsiTheme="minorHAnsi" w:cs="Arial"/>
          <w:sz w:val="20"/>
          <w:szCs w:val="20"/>
        </w:rPr>
      </w:pPr>
      <w:r w:rsidRPr="00560488">
        <w:rPr>
          <w:rFonts w:asciiTheme="minorHAnsi" w:hAnsiTheme="minorHAnsi" w:cs="Arial"/>
          <w:sz w:val="20"/>
          <w:szCs w:val="20"/>
        </w:rPr>
        <w:t xml:space="preserve">In </w:t>
      </w:r>
      <w:r w:rsidR="00CB3CAC" w:rsidRPr="00560488">
        <w:rPr>
          <w:rFonts w:asciiTheme="minorHAnsi" w:hAnsiTheme="minorHAnsi" w:cs="Arial"/>
          <w:sz w:val="20"/>
          <w:szCs w:val="20"/>
        </w:rPr>
        <w:t>the</w:t>
      </w:r>
      <w:r w:rsidRPr="00560488">
        <w:rPr>
          <w:rFonts w:asciiTheme="minorHAnsi" w:hAnsiTheme="minorHAnsi" w:cs="Arial"/>
          <w:sz w:val="20"/>
          <w:szCs w:val="20"/>
        </w:rPr>
        <w:t xml:space="preserve"> </w:t>
      </w:r>
      <w:r w:rsidR="00CB3CAC" w:rsidRPr="00560488">
        <w:rPr>
          <w:rFonts w:asciiTheme="minorHAnsi" w:hAnsiTheme="minorHAnsi" w:cs="Arial"/>
          <w:sz w:val="20"/>
          <w:szCs w:val="20"/>
        </w:rPr>
        <w:t>Phase 1 report</w:t>
      </w:r>
      <w:r w:rsidRPr="00560488">
        <w:rPr>
          <w:rFonts w:asciiTheme="minorHAnsi" w:hAnsiTheme="minorHAnsi" w:cs="Arial"/>
          <w:sz w:val="20"/>
          <w:szCs w:val="20"/>
        </w:rPr>
        <w:t xml:space="preserve">, the NTC found </w:t>
      </w:r>
      <w:r w:rsidR="003407D1" w:rsidRPr="00560488">
        <w:rPr>
          <w:rFonts w:asciiTheme="minorHAnsi" w:hAnsiTheme="minorHAnsi" w:cs="Arial"/>
          <w:sz w:val="20"/>
          <w:szCs w:val="20"/>
        </w:rPr>
        <w:t xml:space="preserve">that </w:t>
      </w:r>
      <w:r w:rsidRPr="00560488">
        <w:rPr>
          <w:rFonts w:asciiTheme="minorHAnsi" w:hAnsiTheme="minorHAnsi" w:cs="Arial"/>
          <w:sz w:val="20"/>
          <w:szCs w:val="20"/>
        </w:rPr>
        <w:t>less than 5 per cent of heavy vehicle crashes are attributed to mechanical failure.</w:t>
      </w:r>
      <w:r w:rsidRPr="00560488">
        <w:rPr>
          <w:rFonts w:asciiTheme="minorHAnsi" w:hAnsiTheme="minorHAnsi"/>
          <w:sz w:val="20"/>
          <w:szCs w:val="20"/>
          <w:vertAlign w:val="superscript"/>
        </w:rPr>
        <w:footnoteReference w:id="5"/>
      </w:r>
      <w:r w:rsidR="00CB3CAC" w:rsidRPr="00560488">
        <w:rPr>
          <w:rFonts w:asciiTheme="minorHAnsi" w:hAnsiTheme="minorHAnsi" w:cs="Arial"/>
          <w:sz w:val="20"/>
          <w:szCs w:val="20"/>
        </w:rPr>
        <w:t xml:space="preserve"> </w:t>
      </w:r>
    </w:p>
    <w:p w:rsidR="00241F2E" w:rsidRPr="00560488" w:rsidRDefault="00241F2E" w:rsidP="00F56A53">
      <w:pPr>
        <w:rPr>
          <w:rFonts w:asciiTheme="minorHAnsi" w:hAnsiTheme="minorHAnsi" w:cs="Arial"/>
          <w:sz w:val="20"/>
          <w:szCs w:val="20"/>
        </w:rPr>
      </w:pPr>
    </w:p>
    <w:p w:rsidR="00241F2E" w:rsidRPr="00560488" w:rsidRDefault="00241F2E" w:rsidP="00F56A53">
      <w:pPr>
        <w:rPr>
          <w:rFonts w:asciiTheme="minorHAnsi" w:hAnsiTheme="minorHAnsi" w:cs="Arial"/>
          <w:sz w:val="20"/>
          <w:szCs w:val="20"/>
        </w:rPr>
      </w:pPr>
      <w:r w:rsidRPr="00560488">
        <w:rPr>
          <w:rFonts w:asciiTheme="minorHAnsi" w:hAnsiTheme="minorHAnsi" w:cs="Arial"/>
          <w:sz w:val="20"/>
          <w:szCs w:val="20"/>
        </w:rPr>
        <w:t xml:space="preserve">In 2009 however, an examination of 61 fatal heavy vehicle crashes by Monash University Department of Forensic Medicine </w:t>
      </w:r>
      <w:r w:rsidR="009A736D" w:rsidRPr="00560488">
        <w:rPr>
          <w:rFonts w:asciiTheme="minorHAnsi" w:hAnsiTheme="minorHAnsi" w:cs="Arial"/>
          <w:sz w:val="20"/>
          <w:szCs w:val="20"/>
        </w:rPr>
        <w:t xml:space="preserve">researchers </w:t>
      </w:r>
      <w:r w:rsidRPr="00560488">
        <w:rPr>
          <w:rFonts w:asciiTheme="minorHAnsi" w:hAnsiTheme="minorHAnsi" w:cs="Arial"/>
          <w:sz w:val="20"/>
          <w:szCs w:val="20"/>
        </w:rPr>
        <w:t>found that 12 of the trucks had defects, including bald or defective tyres (8 out of the 12), steering, brakes, load balance or suspension.</w:t>
      </w:r>
      <w:r w:rsidRPr="00560488">
        <w:rPr>
          <w:rFonts w:asciiTheme="minorHAnsi" w:hAnsiTheme="minorHAnsi"/>
          <w:sz w:val="20"/>
          <w:szCs w:val="20"/>
          <w:vertAlign w:val="superscript"/>
        </w:rPr>
        <w:footnoteReference w:id="6"/>
      </w:r>
      <w:r w:rsidRPr="00560488">
        <w:rPr>
          <w:rFonts w:asciiTheme="minorHAnsi" w:hAnsiTheme="minorHAnsi" w:cs="Arial"/>
          <w:sz w:val="20"/>
          <w:szCs w:val="20"/>
          <w:vertAlign w:val="superscript"/>
        </w:rPr>
        <w:t xml:space="preserve"> </w:t>
      </w:r>
      <w:r w:rsidR="00C13789" w:rsidRPr="00560488">
        <w:rPr>
          <w:rFonts w:asciiTheme="minorHAnsi" w:hAnsiTheme="minorHAnsi" w:cs="Arial"/>
          <w:sz w:val="20"/>
          <w:szCs w:val="20"/>
          <w:vertAlign w:val="superscript"/>
        </w:rPr>
        <w:t xml:space="preserve"> </w:t>
      </w:r>
      <w:r w:rsidRPr="00560488">
        <w:rPr>
          <w:rFonts w:asciiTheme="minorHAnsi" w:hAnsiTheme="minorHAnsi" w:cs="Arial"/>
          <w:sz w:val="20"/>
          <w:szCs w:val="20"/>
        </w:rPr>
        <w:t xml:space="preserve">The paper </w:t>
      </w:r>
      <w:r w:rsidR="00CB3CAC" w:rsidRPr="00560488">
        <w:rPr>
          <w:rFonts w:asciiTheme="minorHAnsi" w:hAnsiTheme="minorHAnsi" w:cs="Arial"/>
          <w:sz w:val="20"/>
          <w:szCs w:val="20"/>
        </w:rPr>
        <w:t xml:space="preserve">also </w:t>
      </w:r>
      <w:r w:rsidRPr="00560488">
        <w:rPr>
          <w:rFonts w:asciiTheme="minorHAnsi" w:hAnsiTheme="minorHAnsi" w:cs="Arial"/>
          <w:sz w:val="20"/>
          <w:szCs w:val="20"/>
        </w:rPr>
        <w:t>found that coroners</w:t>
      </w:r>
      <w:r w:rsidR="00CB3CAC" w:rsidRPr="00560488">
        <w:rPr>
          <w:rFonts w:asciiTheme="minorHAnsi" w:hAnsiTheme="minorHAnsi" w:cs="Arial"/>
          <w:sz w:val="20"/>
          <w:szCs w:val="20"/>
        </w:rPr>
        <w:t xml:space="preserve"> and </w:t>
      </w:r>
      <w:r w:rsidRPr="00560488">
        <w:rPr>
          <w:rFonts w:asciiTheme="minorHAnsi" w:hAnsiTheme="minorHAnsi" w:cs="Arial"/>
          <w:sz w:val="20"/>
          <w:szCs w:val="20"/>
        </w:rPr>
        <w:t xml:space="preserve">police officers had identified vehicle defects as the cause of only one accident, but warned that it was problematic to attribute a single cause to a transport crash. </w:t>
      </w:r>
      <w:r w:rsidR="00CB3CAC" w:rsidRPr="00560488">
        <w:rPr>
          <w:rFonts w:asciiTheme="minorHAnsi" w:hAnsiTheme="minorHAnsi" w:cs="Arial"/>
          <w:sz w:val="20"/>
          <w:szCs w:val="20"/>
        </w:rPr>
        <w:t>It pointed out that f</w:t>
      </w:r>
      <w:r w:rsidRPr="00560488">
        <w:rPr>
          <w:rFonts w:asciiTheme="minorHAnsi" w:hAnsiTheme="minorHAnsi" w:cs="Arial"/>
          <w:sz w:val="20"/>
          <w:szCs w:val="20"/>
        </w:rPr>
        <w:t>atal injuries often occur following a chain of events.</w:t>
      </w:r>
      <w:r w:rsidR="00CB3CAC" w:rsidRPr="00560488">
        <w:rPr>
          <w:rFonts w:asciiTheme="minorHAnsi" w:hAnsiTheme="minorHAnsi" w:cs="Arial"/>
          <w:sz w:val="20"/>
          <w:szCs w:val="20"/>
        </w:rPr>
        <w:t xml:space="preserve"> </w:t>
      </w:r>
    </w:p>
    <w:p w:rsidR="00241F2E" w:rsidRPr="00560488" w:rsidRDefault="00241F2E" w:rsidP="00F56A53">
      <w:pPr>
        <w:rPr>
          <w:rFonts w:asciiTheme="minorHAnsi" w:hAnsiTheme="minorHAnsi" w:cs="Arial"/>
          <w:sz w:val="20"/>
          <w:szCs w:val="20"/>
        </w:rPr>
      </w:pPr>
    </w:p>
    <w:p w:rsidR="00241F2E" w:rsidRPr="00560488" w:rsidRDefault="00241F2E" w:rsidP="00F56A53">
      <w:pPr>
        <w:rPr>
          <w:rFonts w:asciiTheme="minorHAnsi" w:hAnsiTheme="minorHAnsi" w:cs="Arial"/>
          <w:sz w:val="20"/>
          <w:szCs w:val="20"/>
        </w:rPr>
      </w:pPr>
      <w:r w:rsidRPr="00560488">
        <w:rPr>
          <w:rFonts w:asciiTheme="minorHAnsi" w:hAnsiTheme="minorHAnsi" w:cs="Arial"/>
          <w:sz w:val="20"/>
          <w:szCs w:val="20"/>
        </w:rPr>
        <w:t>This conclusion is supported by US research into the causes of 239 heavy vehicle rollovers. The research, based on the US large truck crash causation study, concluded that vehicle maintenance issues (specifically, poor braking and worn tyres) contributed to 18 of the accidents attributed to speed, because the drivers were travelling too fast for the condition of their equipment.</w:t>
      </w:r>
      <w:r w:rsidRPr="00560488">
        <w:rPr>
          <w:rFonts w:asciiTheme="minorHAnsi" w:hAnsiTheme="minorHAnsi"/>
          <w:sz w:val="20"/>
          <w:szCs w:val="20"/>
          <w:vertAlign w:val="superscript"/>
        </w:rPr>
        <w:footnoteReference w:id="7"/>
      </w:r>
      <w:r w:rsidRPr="00560488">
        <w:rPr>
          <w:rFonts w:asciiTheme="minorHAnsi" w:hAnsiTheme="minorHAnsi" w:cs="Arial"/>
          <w:sz w:val="20"/>
          <w:szCs w:val="20"/>
          <w:vertAlign w:val="superscript"/>
        </w:rPr>
        <w:t xml:space="preserve"> </w:t>
      </w:r>
    </w:p>
    <w:p w:rsidR="00241F2E" w:rsidRPr="00560488" w:rsidRDefault="00241F2E" w:rsidP="00F56A53">
      <w:pPr>
        <w:rPr>
          <w:rFonts w:asciiTheme="minorHAnsi" w:hAnsiTheme="minorHAnsi" w:cs="Arial"/>
          <w:sz w:val="20"/>
          <w:szCs w:val="20"/>
        </w:rPr>
      </w:pPr>
    </w:p>
    <w:p w:rsidR="00241F2E" w:rsidRPr="00560488" w:rsidRDefault="00FB67F4" w:rsidP="00F56A53">
      <w:pPr>
        <w:rPr>
          <w:rFonts w:asciiTheme="minorHAnsi" w:hAnsiTheme="minorHAnsi" w:cs="Arial"/>
          <w:sz w:val="20"/>
          <w:szCs w:val="20"/>
        </w:rPr>
      </w:pPr>
      <w:r w:rsidRPr="00560488">
        <w:rPr>
          <w:rFonts w:asciiTheme="minorHAnsi" w:hAnsiTheme="minorHAnsi" w:cs="Arial"/>
          <w:sz w:val="20"/>
          <w:szCs w:val="20"/>
        </w:rPr>
        <w:t>T</w:t>
      </w:r>
      <w:r w:rsidR="00241F2E" w:rsidRPr="00560488">
        <w:rPr>
          <w:rFonts w:asciiTheme="minorHAnsi" w:hAnsiTheme="minorHAnsi" w:cs="Arial"/>
          <w:sz w:val="20"/>
          <w:szCs w:val="20"/>
        </w:rPr>
        <w:t xml:space="preserve">he research shows that vehicle defects account directly for less than 5 per cent of heavy vehicle accidents, but </w:t>
      </w:r>
      <w:r w:rsidRPr="00560488">
        <w:rPr>
          <w:rFonts w:asciiTheme="minorHAnsi" w:hAnsiTheme="minorHAnsi" w:cs="Arial"/>
          <w:sz w:val="20"/>
          <w:szCs w:val="20"/>
        </w:rPr>
        <w:t xml:space="preserve">they </w:t>
      </w:r>
      <w:r w:rsidR="00241F2E" w:rsidRPr="00560488">
        <w:rPr>
          <w:rFonts w:asciiTheme="minorHAnsi" w:hAnsiTheme="minorHAnsi" w:cs="Arial"/>
          <w:sz w:val="20"/>
          <w:szCs w:val="20"/>
        </w:rPr>
        <w:t xml:space="preserve">can be a latent condition associated with a higher percentage of accidents. A safety related defect in a vehicle can mean the difference between a near miss and an accident. The ATA considers that these percentages warrant amendments to the HVNL to support better maintenance practices, when accompanied by a corresponding streamlining of other CoR provisions to ensure the regulatory burden on industry is </w:t>
      </w:r>
      <w:r w:rsidRPr="00560488">
        <w:rPr>
          <w:rFonts w:asciiTheme="minorHAnsi" w:hAnsiTheme="minorHAnsi" w:cs="Arial"/>
          <w:sz w:val="20"/>
          <w:szCs w:val="20"/>
        </w:rPr>
        <w:t>not increased</w:t>
      </w:r>
      <w:r w:rsidR="00241F2E" w:rsidRPr="00560488">
        <w:rPr>
          <w:rFonts w:asciiTheme="minorHAnsi" w:hAnsiTheme="minorHAnsi" w:cs="Arial"/>
          <w:sz w:val="20"/>
          <w:szCs w:val="20"/>
        </w:rPr>
        <w:t xml:space="preserve">. </w:t>
      </w:r>
    </w:p>
    <w:p w:rsidR="009D3B37" w:rsidRPr="00560488" w:rsidRDefault="009D3B37" w:rsidP="00F56A53">
      <w:pPr>
        <w:pStyle w:val="Default"/>
        <w:rPr>
          <w:rFonts w:asciiTheme="minorHAnsi" w:hAnsiTheme="minorHAnsi" w:cs="Arial"/>
          <w:i/>
          <w:color w:val="auto"/>
          <w:sz w:val="22"/>
          <w:szCs w:val="22"/>
          <w:lang w:eastAsia="en-US"/>
        </w:rPr>
      </w:pPr>
    </w:p>
    <w:p w:rsidR="00241F2E" w:rsidRPr="00560488" w:rsidRDefault="00241F2E" w:rsidP="00F56A53">
      <w:pPr>
        <w:pStyle w:val="Heading1"/>
        <w:numPr>
          <w:ilvl w:val="0"/>
          <w:numId w:val="0"/>
        </w:numPr>
        <w:jc w:val="both"/>
        <w:rPr>
          <w:rFonts w:asciiTheme="minorHAnsi" w:hAnsiTheme="minorHAnsi"/>
          <w:color w:val="auto"/>
          <w:sz w:val="20"/>
          <w:szCs w:val="20"/>
        </w:rPr>
      </w:pPr>
      <w:r w:rsidRPr="00560488">
        <w:rPr>
          <w:rFonts w:asciiTheme="minorHAnsi" w:hAnsiTheme="minorHAnsi"/>
          <w:color w:val="auto"/>
          <w:sz w:val="20"/>
          <w:szCs w:val="20"/>
        </w:rPr>
        <w:t>Maintenance issues that should be targeted by the CoR extension</w:t>
      </w:r>
    </w:p>
    <w:p w:rsidR="00241F2E" w:rsidRPr="00560488" w:rsidRDefault="00241F2E" w:rsidP="00F56A53">
      <w:pPr>
        <w:rPr>
          <w:rFonts w:asciiTheme="minorHAnsi" w:hAnsiTheme="minorHAnsi" w:cs="Arial"/>
          <w:sz w:val="20"/>
          <w:szCs w:val="20"/>
        </w:rPr>
      </w:pPr>
      <w:r w:rsidRPr="00560488">
        <w:rPr>
          <w:rFonts w:asciiTheme="minorHAnsi" w:hAnsiTheme="minorHAnsi" w:cs="Arial"/>
          <w:sz w:val="20"/>
          <w:szCs w:val="20"/>
        </w:rPr>
        <w:t xml:space="preserve">In the ATA’s view, the </w:t>
      </w:r>
      <w:r w:rsidR="0050452D" w:rsidRPr="00560488">
        <w:rPr>
          <w:rFonts w:asciiTheme="minorHAnsi" w:hAnsiTheme="minorHAnsi" w:cs="Arial"/>
          <w:sz w:val="20"/>
          <w:szCs w:val="20"/>
        </w:rPr>
        <w:t xml:space="preserve">TruckSafe </w:t>
      </w:r>
      <w:r w:rsidRPr="00560488">
        <w:rPr>
          <w:rFonts w:asciiTheme="minorHAnsi" w:hAnsiTheme="minorHAnsi" w:cs="Arial"/>
          <w:sz w:val="20"/>
          <w:szCs w:val="20"/>
        </w:rPr>
        <w:t>maintenance module sets out a best practice maintenance system for trucking operators. Th</w:t>
      </w:r>
      <w:r w:rsidR="00CB3CAC" w:rsidRPr="00560488">
        <w:rPr>
          <w:rFonts w:asciiTheme="minorHAnsi" w:hAnsiTheme="minorHAnsi" w:cs="Arial"/>
          <w:sz w:val="20"/>
          <w:szCs w:val="20"/>
        </w:rPr>
        <w:t>is</w:t>
      </w:r>
      <w:r w:rsidRPr="00560488">
        <w:rPr>
          <w:rFonts w:asciiTheme="minorHAnsi" w:hAnsiTheme="minorHAnsi" w:cs="Arial"/>
          <w:sz w:val="20"/>
          <w:szCs w:val="20"/>
        </w:rPr>
        <w:t xml:space="preserve"> module requires:</w:t>
      </w:r>
    </w:p>
    <w:p w:rsidR="00B050EE" w:rsidRPr="00560488" w:rsidRDefault="00B050EE" w:rsidP="00F56A53">
      <w:pPr>
        <w:rPr>
          <w:rFonts w:asciiTheme="minorHAnsi" w:hAnsiTheme="minorHAnsi" w:cs="Arial"/>
          <w:sz w:val="20"/>
          <w:szCs w:val="20"/>
        </w:rPr>
      </w:pPr>
    </w:p>
    <w:p w:rsidR="00241F2E" w:rsidRPr="00560488" w:rsidRDefault="00241F2E" w:rsidP="00F56A53">
      <w:pPr>
        <w:pStyle w:val="ListParagraph"/>
        <w:numPr>
          <w:ilvl w:val="0"/>
          <w:numId w:val="10"/>
        </w:numPr>
        <w:spacing w:after="0" w:line="240" w:lineRule="auto"/>
        <w:rPr>
          <w:rFonts w:asciiTheme="minorHAnsi" w:hAnsiTheme="minorHAnsi" w:cs="Arial"/>
          <w:sz w:val="20"/>
          <w:szCs w:val="20"/>
        </w:rPr>
      </w:pPr>
      <w:r w:rsidRPr="00560488">
        <w:rPr>
          <w:rFonts w:asciiTheme="minorHAnsi" w:hAnsiTheme="minorHAnsi" w:cs="Arial"/>
          <w:sz w:val="20"/>
          <w:szCs w:val="20"/>
        </w:rPr>
        <w:t>daily visual checks of vehicles</w:t>
      </w:r>
    </w:p>
    <w:p w:rsidR="00241F2E" w:rsidRPr="00560488" w:rsidRDefault="00241F2E" w:rsidP="00F56A53">
      <w:pPr>
        <w:pStyle w:val="ListParagraph"/>
        <w:numPr>
          <w:ilvl w:val="0"/>
          <w:numId w:val="10"/>
        </w:numPr>
        <w:spacing w:after="0" w:line="240" w:lineRule="auto"/>
        <w:rPr>
          <w:rFonts w:asciiTheme="minorHAnsi" w:hAnsiTheme="minorHAnsi" w:cs="Arial"/>
          <w:sz w:val="20"/>
          <w:szCs w:val="20"/>
        </w:rPr>
      </w:pPr>
      <w:r w:rsidRPr="00560488">
        <w:rPr>
          <w:rFonts w:asciiTheme="minorHAnsi" w:hAnsiTheme="minorHAnsi" w:cs="Arial"/>
          <w:sz w:val="20"/>
          <w:szCs w:val="20"/>
        </w:rPr>
        <w:t>a system for recording and reporting faults</w:t>
      </w:r>
    </w:p>
    <w:p w:rsidR="00EA3C7C" w:rsidRPr="00560488" w:rsidRDefault="00EA3C7C" w:rsidP="00F56A53">
      <w:pPr>
        <w:pStyle w:val="ListParagraph"/>
        <w:numPr>
          <w:ilvl w:val="0"/>
          <w:numId w:val="10"/>
        </w:numPr>
        <w:spacing w:after="0" w:line="240" w:lineRule="auto"/>
        <w:rPr>
          <w:rFonts w:asciiTheme="minorHAnsi" w:hAnsiTheme="minorHAnsi" w:cs="Arial"/>
          <w:sz w:val="20"/>
          <w:szCs w:val="20"/>
        </w:rPr>
      </w:pPr>
      <w:r w:rsidRPr="00560488">
        <w:rPr>
          <w:rFonts w:asciiTheme="minorHAnsi" w:hAnsiTheme="minorHAnsi" w:cs="Arial"/>
          <w:sz w:val="20"/>
          <w:szCs w:val="20"/>
        </w:rPr>
        <w:t>procedures for prioritising and repairing faults</w:t>
      </w:r>
    </w:p>
    <w:p w:rsidR="00EA3C7C" w:rsidRPr="00560488" w:rsidRDefault="00EA3C7C" w:rsidP="00F56A53">
      <w:pPr>
        <w:pStyle w:val="ListParagraph"/>
        <w:numPr>
          <w:ilvl w:val="0"/>
          <w:numId w:val="10"/>
        </w:numPr>
        <w:spacing w:after="0" w:line="240" w:lineRule="auto"/>
        <w:rPr>
          <w:rFonts w:asciiTheme="minorHAnsi" w:hAnsiTheme="minorHAnsi" w:cs="Arial"/>
          <w:sz w:val="20"/>
          <w:szCs w:val="20"/>
        </w:rPr>
      </w:pPr>
      <w:r w:rsidRPr="00560488">
        <w:rPr>
          <w:rFonts w:asciiTheme="minorHAnsi" w:hAnsiTheme="minorHAnsi" w:cs="Arial"/>
          <w:sz w:val="20"/>
          <w:szCs w:val="20"/>
        </w:rPr>
        <w:t>a system for conducting scheduled maintenance</w:t>
      </w:r>
    </w:p>
    <w:p w:rsidR="00EA3C7C" w:rsidRPr="00560488" w:rsidRDefault="00EA3C7C" w:rsidP="00F56A53">
      <w:pPr>
        <w:pStyle w:val="ListParagraph"/>
        <w:numPr>
          <w:ilvl w:val="0"/>
          <w:numId w:val="10"/>
        </w:numPr>
        <w:spacing w:after="0" w:line="240" w:lineRule="auto"/>
        <w:rPr>
          <w:rFonts w:asciiTheme="minorHAnsi" w:hAnsiTheme="minorHAnsi" w:cs="Arial"/>
          <w:sz w:val="20"/>
          <w:szCs w:val="20"/>
        </w:rPr>
      </w:pPr>
      <w:r w:rsidRPr="00560488">
        <w:rPr>
          <w:rFonts w:asciiTheme="minorHAnsi" w:hAnsiTheme="minorHAnsi" w:cs="Arial"/>
          <w:sz w:val="20"/>
          <w:szCs w:val="20"/>
        </w:rPr>
        <w:t>procedures for documenting and recording maintenance activity and decisions</w:t>
      </w:r>
    </w:p>
    <w:p w:rsidR="00241F2E" w:rsidRPr="00560488" w:rsidRDefault="00241F2E" w:rsidP="00F56A53">
      <w:pPr>
        <w:pStyle w:val="ListParagraph"/>
        <w:numPr>
          <w:ilvl w:val="0"/>
          <w:numId w:val="10"/>
        </w:numPr>
        <w:spacing w:after="0" w:line="240" w:lineRule="auto"/>
        <w:rPr>
          <w:rFonts w:asciiTheme="minorHAnsi" w:hAnsiTheme="minorHAnsi" w:cs="Arial"/>
          <w:sz w:val="20"/>
          <w:szCs w:val="20"/>
        </w:rPr>
      </w:pPr>
      <w:r w:rsidRPr="00560488">
        <w:rPr>
          <w:rFonts w:asciiTheme="minorHAnsi" w:hAnsiTheme="minorHAnsi" w:cs="Arial"/>
          <w:sz w:val="20"/>
          <w:szCs w:val="20"/>
        </w:rPr>
        <w:t xml:space="preserve">defined responsibilities for maintenance staff and a program to </w:t>
      </w:r>
      <w:r w:rsidR="00EA3C7C" w:rsidRPr="00560488">
        <w:rPr>
          <w:rFonts w:asciiTheme="minorHAnsi" w:hAnsiTheme="minorHAnsi" w:cs="Arial"/>
          <w:sz w:val="20"/>
          <w:szCs w:val="20"/>
        </w:rPr>
        <w:t>en</w:t>
      </w:r>
      <w:r w:rsidRPr="00560488">
        <w:rPr>
          <w:rFonts w:asciiTheme="minorHAnsi" w:hAnsiTheme="minorHAnsi" w:cs="Arial"/>
          <w:sz w:val="20"/>
          <w:szCs w:val="20"/>
        </w:rPr>
        <w:t>sure they are trained in their responsibilities</w:t>
      </w:r>
    </w:p>
    <w:p w:rsidR="00241F2E" w:rsidRPr="00560488" w:rsidRDefault="00241F2E" w:rsidP="00F56A53">
      <w:pPr>
        <w:pStyle w:val="ListParagraph"/>
        <w:numPr>
          <w:ilvl w:val="0"/>
          <w:numId w:val="10"/>
        </w:numPr>
        <w:spacing w:after="0" w:line="240" w:lineRule="auto"/>
        <w:rPr>
          <w:rFonts w:asciiTheme="minorHAnsi" w:hAnsiTheme="minorHAnsi" w:cs="Arial"/>
          <w:sz w:val="20"/>
          <w:szCs w:val="20"/>
        </w:rPr>
      </w:pPr>
      <w:r w:rsidRPr="00560488">
        <w:rPr>
          <w:rFonts w:asciiTheme="minorHAnsi" w:hAnsiTheme="minorHAnsi" w:cs="Arial"/>
          <w:sz w:val="20"/>
          <w:szCs w:val="20"/>
        </w:rPr>
        <w:t>an internal review process to fix non-conformance</w:t>
      </w:r>
      <w:r w:rsidR="00EA3C7C" w:rsidRPr="00560488">
        <w:rPr>
          <w:rFonts w:asciiTheme="minorHAnsi" w:hAnsiTheme="minorHAnsi" w:cs="Arial"/>
          <w:sz w:val="20"/>
          <w:szCs w:val="20"/>
        </w:rPr>
        <w:t>s</w:t>
      </w:r>
      <w:r w:rsidRPr="00560488">
        <w:rPr>
          <w:rFonts w:asciiTheme="minorHAnsi" w:hAnsiTheme="minorHAnsi" w:cs="Arial"/>
          <w:sz w:val="20"/>
          <w:szCs w:val="20"/>
        </w:rPr>
        <w:t xml:space="preserve"> and deliver continuous improvement and</w:t>
      </w:r>
    </w:p>
    <w:p w:rsidR="00241F2E" w:rsidRPr="00560488" w:rsidRDefault="00241F2E" w:rsidP="00F56A53">
      <w:pPr>
        <w:pStyle w:val="ListParagraph"/>
        <w:numPr>
          <w:ilvl w:val="0"/>
          <w:numId w:val="10"/>
        </w:numPr>
        <w:spacing w:after="0" w:line="240" w:lineRule="auto"/>
        <w:rPr>
          <w:rFonts w:asciiTheme="minorHAnsi" w:hAnsiTheme="minorHAnsi" w:cs="Arial"/>
          <w:sz w:val="20"/>
          <w:szCs w:val="20"/>
        </w:rPr>
      </w:pPr>
      <w:r w:rsidRPr="00560488">
        <w:rPr>
          <w:rFonts w:asciiTheme="minorHAnsi" w:hAnsiTheme="minorHAnsi" w:cs="Arial"/>
          <w:sz w:val="20"/>
          <w:szCs w:val="20"/>
        </w:rPr>
        <w:t>procedures to ensure that speed limiters are maintained and checked for tampering at regular intervals.</w:t>
      </w:r>
    </w:p>
    <w:p w:rsidR="00BE01F3" w:rsidRPr="00560488" w:rsidRDefault="00BE01F3" w:rsidP="00F56A53">
      <w:pPr>
        <w:rPr>
          <w:rFonts w:asciiTheme="minorHAnsi" w:hAnsiTheme="minorHAnsi" w:cs="Arial"/>
          <w:sz w:val="20"/>
          <w:szCs w:val="20"/>
        </w:rPr>
      </w:pPr>
    </w:p>
    <w:p w:rsidR="00241F2E" w:rsidRPr="00560488" w:rsidRDefault="00CB3CAC" w:rsidP="00F56A53">
      <w:pPr>
        <w:rPr>
          <w:rFonts w:asciiTheme="minorHAnsi" w:hAnsiTheme="minorHAnsi" w:cs="Arial"/>
          <w:sz w:val="20"/>
          <w:szCs w:val="20"/>
        </w:rPr>
      </w:pPr>
      <w:r w:rsidRPr="00560488">
        <w:rPr>
          <w:rFonts w:asciiTheme="minorHAnsi" w:hAnsiTheme="minorHAnsi" w:cs="Arial"/>
          <w:sz w:val="20"/>
          <w:szCs w:val="20"/>
        </w:rPr>
        <w:t xml:space="preserve">Coronial reports can also </w:t>
      </w:r>
      <w:r w:rsidR="00241F2E" w:rsidRPr="00560488">
        <w:rPr>
          <w:rFonts w:asciiTheme="minorHAnsi" w:hAnsiTheme="minorHAnsi" w:cs="Arial"/>
          <w:sz w:val="20"/>
          <w:szCs w:val="20"/>
        </w:rPr>
        <w:t xml:space="preserve">show what can happen when businesses do not follow these practices, or at least some of them. </w:t>
      </w:r>
      <w:r w:rsidR="00072EF4">
        <w:rPr>
          <w:rFonts w:asciiTheme="minorHAnsi" w:hAnsiTheme="minorHAnsi" w:cs="Arial"/>
          <w:sz w:val="20"/>
          <w:szCs w:val="20"/>
        </w:rPr>
        <w:t>An analysis of recent reports on maintenance-related truck crashes</w:t>
      </w:r>
      <w:r w:rsidR="00241F2E" w:rsidRPr="00560488">
        <w:rPr>
          <w:rFonts w:asciiTheme="minorHAnsi" w:hAnsiTheme="minorHAnsi" w:cs="Arial"/>
          <w:sz w:val="20"/>
          <w:szCs w:val="20"/>
        </w:rPr>
        <w:t xml:space="preserve"> suggest</w:t>
      </w:r>
      <w:r w:rsidR="00A96E8A">
        <w:rPr>
          <w:rFonts w:asciiTheme="minorHAnsi" w:hAnsiTheme="minorHAnsi" w:cs="Arial"/>
          <w:sz w:val="20"/>
          <w:szCs w:val="20"/>
        </w:rPr>
        <w:t>s</w:t>
      </w:r>
      <w:r w:rsidR="00241F2E" w:rsidRPr="00560488">
        <w:rPr>
          <w:rFonts w:asciiTheme="minorHAnsi" w:hAnsiTheme="minorHAnsi" w:cs="Arial"/>
          <w:sz w:val="20"/>
          <w:szCs w:val="20"/>
        </w:rPr>
        <w:t xml:space="preserve"> extension of CoR to vehicle standards should target corporate behaviours such as:</w:t>
      </w:r>
    </w:p>
    <w:p w:rsidR="00241F2E" w:rsidRPr="00560488" w:rsidRDefault="00241F2E" w:rsidP="00F56A53">
      <w:pPr>
        <w:rPr>
          <w:rFonts w:asciiTheme="minorHAnsi" w:hAnsiTheme="minorHAnsi" w:cs="Arial"/>
          <w:sz w:val="20"/>
          <w:szCs w:val="20"/>
        </w:rPr>
      </w:pPr>
    </w:p>
    <w:p w:rsidR="00241F2E" w:rsidRPr="00560488" w:rsidRDefault="00241F2E" w:rsidP="00F56A53">
      <w:pPr>
        <w:pStyle w:val="ListParagraph"/>
        <w:numPr>
          <w:ilvl w:val="0"/>
          <w:numId w:val="11"/>
        </w:numPr>
        <w:spacing w:after="0" w:line="240" w:lineRule="auto"/>
        <w:rPr>
          <w:rFonts w:asciiTheme="minorHAnsi" w:hAnsiTheme="minorHAnsi" w:cs="Arial"/>
          <w:sz w:val="20"/>
          <w:szCs w:val="20"/>
        </w:rPr>
      </w:pPr>
      <w:r w:rsidRPr="00560488">
        <w:rPr>
          <w:rFonts w:asciiTheme="minorHAnsi" w:hAnsiTheme="minorHAnsi" w:cs="Arial"/>
          <w:sz w:val="20"/>
          <w:szCs w:val="20"/>
        </w:rPr>
        <w:t>the lack of an effective system to manage maintenance, although the HVNL should not require every business to have a scheme as comprehensive as TruckSafe</w:t>
      </w:r>
    </w:p>
    <w:p w:rsidR="00241F2E" w:rsidRPr="00560488" w:rsidRDefault="00241F2E" w:rsidP="00F56A53">
      <w:pPr>
        <w:pStyle w:val="ListParagraph"/>
        <w:numPr>
          <w:ilvl w:val="0"/>
          <w:numId w:val="11"/>
        </w:numPr>
        <w:spacing w:after="0" w:line="240" w:lineRule="auto"/>
        <w:rPr>
          <w:rFonts w:asciiTheme="minorHAnsi" w:hAnsiTheme="minorHAnsi" w:cs="Arial"/>
          <w:sz w:val="20"/>
          <w:szCs w:val="20"/>
        </w:rPr>
      </w:pPr>
      <w:r w:rsidRPr="00560488">
        <w:rPr>
          <w:rFonts w:asciiTheme="minorHAnsi" w:hAnsiTheme="minorHAnsi" w:cs="Arial"/>
          <w:sz w:val="20"/>
          <w:szCs w:val="20"/>
        </w:rPr>
        <w:t xml:space="preserve">the lack of appropriate maintenance or fault repair </w:t>
      </w:r>
    </w:p>
    <w:p w:rsidR="00241F2E" w:rsidRPr="00560488" w:rsidRDefault="00241F2E" w:rsidP="00F56A53">
      <w:pPr>
        <w:pStyle w:val="ListParagraph"/>
        <w:numPr>
          <w:ilvl w:val="0"/>
          <w:numId w:val="11"/>
        </w:numPr>
        <w:spacing w:after="0" w:line="240" w:lineRule="auto"/>
        <w:rPr>
          <w:rFonts w:asciiTheme="minorHAnsi" w:hAnsiTheme="minorHAnsi" w:cs="Arial"/>
          <w:sz w:val="20"/>
          <w:szCs w:val="20"/>
        </w:rPr>
      </w:pPr>
      <w:r w:rsidRPr="00560488">
        <w:rPr>
          <w:rFonts w:asciiTheme="minorHAnsi" w:hAnsiTheme="minorHAnsi" w:cs="Arial"/>
          <w:sz w:val="20"/>
          <w:szCs w:val="20"/>
        </w:rPr>
        <w:t>unauthorised vehicle modifications and</w:t>
      </w:r>
    </w:p>
    <w:p w:rsidR="00241F2E" w:rsidRPr="00560488" w:rsidRDefault="00241F2E" w:rsidP="00F56A53">
      <w:pPr>
        <w:pStyle w:val="ListParagraph"/>
        <w:numPr>
          <w:ilvl w:val="0"/>
          <w:numId w:val="11"/>
        </w:numPr>
        <w:spacing w:after="0" w:line="240" w:lineRule="auto"/>
        <w:rPr>
          <w:rFonts w:asciiTheme="minorHAnsi" w:hAnsiTheme="minorHAnsi" w:cs="Arial"/>
          <w:sz w:val="20"/>
          <w:szCs w:val="20"/>
        </w:rPr>
      </w:pPr>
      <w:r w:rsidRPr="00560488">
        <w:rPr>
          <w:rFonts w:asciiTheme="minorHAnsi" w:hAnsiTheme="minorHAnsi" w:cs="Arial"/>
          <w:sz w:val="20"/>
          <w:szCs w:val="20"/>
        </w:rPr>
        <w:t>not allocating the necessary resources to carry out vehicle maintenance and quality assurance.</w:t>
      </w:r>
    </w:p>
    <w:p w:rsidR="00241F2E" w:rsidRPr="00560488" w:rsidRDefault="00241F2E" w:rsidP="00F56A53">
      <w:pPr>
        <w:rPr>
          <w:rFonts w:asciiTheme="minorHAnsi" w:hAnsiTheme="minorHAnsi" w:cs="Arial"/>
          <w:sz w:val="20"/>
          <w:szCs w:val="20"/>
        </w:rPr>
      </w:pPr>
    </w:p>
    <w:p w:rsidR="008D52D8" w:rsidRPr="00560488" w:rsidRDefault="008D52D8" w:rsidP="00F56A53">
      <w:pPr>
        <w:pStyle w:val="Heading1"/>
        <w:numPr>
          <w:ilvl w:val="0"/>
          <w:numId w:val="0"/>
        </w:numPr>
        <w:jc w:val="both"/>
        <w:rPr>
          <w:rFonts w:asciiTheme="minorHAnsi" w:hAnsiTheme="minorHAnsi"/>
          <w:color w:val="auto"/>
          <w:sz w:val="20"/>
          <w:szCs w:val="20"/>
        </w:rPr>
      </w:pPr>
      <w:r w:rsidRPr="00560488">
        <w:rPr>
          <w:rFonts w:asciiTheme="minorHAnsi" w:hAnsiTheme="minorHAnsi"/>
          <w:color w:val="auto"/>
          <w:sz w:val="20"/>
          <w:szCs w:val="20"/>
        </w:rPr>
        <w:t>Adding a duty provision to chapter 3</w:t>
      </w:r>
    </w:p>
    <w:p w:rsidR="00241F2E" w:rsidRPr="00560488" w:rsidRDefault="008D52D8" w:rsidP="00F56A53">
      <w:pPr>
        <w:rPr>
          <w:rFonts w:asciiTheme="minorHAnsi" w:hAnsiTheme="minorHAnsi" w:cs="Arial"/>
          <w:sz w:val="20"/>
          <w:szCs w:val="20"/>
        </w:rPr>
      </w:pPr>
      <w:r w:rsidRPr="00560488">
        <w:rPr>
          <w:rFonts w:asciiTheme="minorHAnsi" w:hAnsiTheme="minorHAnsi" w:cs="Arial"/>
          <w:sz w:val="20"/>
          <w:szCs w:val="20"/>
        </w:rPr>
        <w:t>As noted elsewhere</w:t>
      </w:r>
      <w:r w:rsidR="00241F2E" w:rsidRPr="00560488">
        <w:rPr>
          <w:rFonts w:asciiTheme="minorHAnsi" w:hAnsiTheme="minorHAnsi" w:cs="Arial"/>
          <w:sz w:val="20"/>
          <w:szCs w:val="20"/>
        </w:rPr>
        <w:t>, chapter 3 of the HVNL does not require operators or anyone else to have even the most basic maintenance management systems.</w:t>
      </w:r>
      <w:r w:rsidR="000F3687" w:rsidRPr="00560488">
        <w:rPr>
          <w:rFonts w:asciiTheme="minorHAnsi" w:hAnsiTheme="minorHAnsi" w:cs="Arial"/>
          <w:sz w:val="20"/>
          <w:szCs w:val="20"/>
        </w:rPr>
        <w:t xml:space="preserve"> </w:t>
      </w:r>
      <w:r w:rsidR="00241F2E" w:rsidRPr="00560488">
        <w:rPr>
          <w:rFonts w:asciiTheme="minorHAnsi" w:hAnsiTheme="minorHAnsi" w:cs="Arial"/>
          <w:sz w:val="20"/>
          <w:szCs w:val="20"/>
        </w:rPr>
        <w:t>The offence provisions in the chapter are generally structured so it is an offence to use, or permit to be used, on the road a heavy vehicle that contravenes an applicable standard or is unsafe.</w:t>
      </w:r>
      <w:r w:rsidR="00241F2E" w:rsidRPr="00560488">
        <w:rPr>
          <w:rStyle w:val="FootnoteReference"/>
          <w:rFonts w:asciiTheme="minorHAnsi" w:hAnsiTheme="minorHAnsi" w:cs="Arial"/>
          <w:sz w:val="20"/>
          <w:szCs w:val="20"/>
        </w:rPr>
        <w:footnoteReference w:id="8"/>
      </w:r>
      <w:r w:rsidR="00241F2E" w:rsidRPr="00560488">
        <w:rPr>
          <w:rFonts w:asciiTheme="minorHAnsi" w:hAnsiTheme="minorHAnsi" w:cs="Arial"/>
          <w:sz w:val="20"/>
          <w:szCs w:val="20"/>
        </w:rPr>
        <w:t xml:space="preserve"> </w:t>
      </w:r>
      <w:r w:rsidRPr="00560488">
        <w:rPr>
          <w:rFonts w:asciiTheme="minorHAnsi" w:hAnsiTheme="minorHAnsi" w:cs="Arial"/>
          <w:sz w:val="20"/>
          <w:szCs w:val="20"/>
        </w:rPr>
        <w:t xml:space="preserve"> </w:t>
      </w:r>
      <w:r w:rsidR="00241F2E" w:rsidRPr="00560488">
        <w:rPr>
          <w:rFonts w:asciiTheme="minorHAnsi" w:hAnsiTheme="minorHAnsi" w:cs="Arial"/>
          <w:sz w:val="20"/>
          <w:szCs w:val="20"/>
        </w:rPr>
        <w:t>The</w:t>
      </w:r>
      <w:r w:rsidRPr="00560488">
        <w:rPr>
          <w:rFonts w:asciiTheme="minorHAnsi" w:hAnsiTheme="minorHAnsi" w:cs="Arial"/>
          <w:sz w:val="20"/>
          <w:szCs w:val="20"/>
        </w:rPr>
        <w:t>se</w:t>
      </w:r>
      <w:r w:rsidR="00241F2E" w:rsidRPr="00560488">
        <w:rPr>
          <w:rFonts w:asciiTheme="minorHAnsi" w:hAnsiTheme="minorHAnsi" w:cs="Arial"/>
          <w:sz w:val="20"/>
          <w:szCs w:val="20"/>
        </w:rPr>
        <w:t xml:space="preserve"> provisions do not require operators or off-road parties to do anything to prevent safety issues from occurring, which is inconsistent with the speed and fatigue chapters of the HVNL and best practice in securing WHS compliance.</w:t>
      </w:r>
    </w:p>
    <w:p w:rsidR="00241F2E" w:rsidRPr="00560488" w:rsidRDefault="00241F2E" w:rsidP="00F56A53">
      <w:pPr>
        <w:rPr>
          <w:rFonts w:asciiTheme="minorHAnsi" w:hAnsiTheme="minorHAnsi" w:cs="Arial"/>
          <w:sz w:val="20"/>
          <w:szCs w:val="20"/>
        </w:rPr>
      </w:pPr>
    </w:p>
    <w:p w:rsidR="00241F2E" w:rsidRPr="00560488" w:rsidRDefault="00241F2E" w:rsidP="00F56A53">
      <w:pPr>
        <w:rPr>
          <w:rFonts w:asciiTheme="minorHAnsi" w:hAnsiTheme="minorHAnsi" w:cs="Arial"/>
          <w:sz w:val="20"/>
          <w:szCs w:val="20"/>
        </w:rPr>
      </w:pPr>
      <w:r w:rsidRPr="00560488">
        <w:rPr>
          <w:rFonts w:asciiTheme="minorHAnsi" w:hAnsiTheme="minorHAnsi" w:cs="Arial"/>
          <w:sz w:val="20"/>
          <w:szCs w:val="20"/>
        </w:rPr>
        <w:t xml:space="preserve">Accordingly, the ATA </w:t>
      </w:r>
      <w:r w:rsidR="00335095">
        <w:rPr>
          <w:rFonts w:asciiTheme="minorHAnsi" w:hAnsiTheme="minorHAnsi" w:cs="Arial"/>
          <w:sz w:val="20"/>
          <w:szCs w:val="20"/>
        </w:rPr>
        <w:t>has proposed</w:t>
      </w:r>
      <w:r w:rsidRPr="00560488">
        <w:rPr>
          <w:rFonts w:asciiTheme="minorHAnsi" w:hAnsiTheme="minorHAnsi" w:cs="Arial"/>
          <w:sz w:val="20"/>
          <w:szCs w:val="20"/>
        </w:rPr>
        <w:t xml:space="preserve"> a new duty provision </w:t>
      </w:r>
      <w:r w:rsidR="000F3687" w:rsidRPr="00560488">
        <w:rPr>
          <w:rFonts w:asciiTheme="minorHAnsi" w:hAnsiTheme="minorHAnsi" w:cs="Arial"/>
          <w:sz w:val="20"/>
          <w:szCs w:val="20"/>
        </w:rPr>
        <w:t>for</w:t>
      </w:r>
      <w:r w:rsidRPr="00560488">
        <w:rPr>
          <w:rFonts w:asciiTheme="minorHAnsi" w:hAnsiTheme="minorHAnsi" w:cs="Arial"/>
          <w:sz w:val="20"/>
          <w:szCs w:val="20"/>
        </w:rPr>
        <w:t xml:space="preserve"> chapter 3, which would require all parties in the chain for a heavy vehicle to take all reasonable steps to ensure the vehicle is free of defects, safe and maintained in a roadworthy condition. The ATA considers the duty should apply to the following chain parties:</w:t>
      </w:r>
    </w:p>
    <w:p w:rsidR="00241F2E" w:rsidRPr="00560488" w:rsidRDefault="00241F2E" w:rsidP="00F56A53">
      <w:pPr>
        <w:rPr>
          <w:rFonts w:asciiTheme="minorHAnsi" w:hAnsiTheme="minorHAnsi" w:cs="Arial"/>
          <w:sz w:val="20"/>
          <w:szCs w:val="20"/>
        </w:rPr>
      </w:pPr>
    </w:p>
    <w:p w:rsidR="00241F2E" w:rsidRPr="00560488" w:rsidRDefault="00241F2E" w:rsidP="00F56A53">
      <w:pPr>
        <w:pStyle w:val="ListParagraph"/>
        <w:numPr>
          <w:ilvl w:val="0"/>
          <w:numId w:val="9"/>
        </w:numPr>
        <w:autoSpaceDE w:val="0"/>
        <w:autoSpaceDN w:val="0"/>
        <w:adjustRightInd w:val="0"/>
        <w:snapToGrid w:val="0"/>
        <w:spacing w:after="0" w:line="240" w:lineRule="auto"/>
        <w:rPr>
          <w:rFonts w:asciiTheme="minorHAnsi" w:eastAsia="Times New Roman" w:hAnsiTheme="minorHAnsi" w:cs="Arial"/>
          <w:sz w:val="20"/>
          <w:szCs w:val="20"/>
        </w:rPr>
      </w:pPr>
      <w:r w:rsidRPr="00560488">
        <w:rPr>
          <w:rFonts w:asciiTheme="minorHAnsi" w:eastAsia="Times New Roman" w:hAnsiTheme="minorHAnsi" w:cs="Arial"/>
          <w:sz w:val="20"/>
          <w:szCs w:val="20"/>
        </w:rPr>
        <w:lastRenderedPageBreak/>
        <w:t>an employer of the vehicle’s driver</w:t>
      </w:r>
    </w:p>
    <w:p w:rsidR="00241F2E" w:rsidRPr="00560488" w:rsidRDefault="00241F2E" w:rsidP="00F56A53">
      <w:pPr>
        <w:pStyle w:val="ListParagraph"/>
        <w:numPr>
          <w:ilvl w:val="0"/>
          <w:numId w:val="9"/>
        </w:numPr>
        <w:autoSpaceDE w:val="0"/>
        <w:autoSpaceDN w:val="0"/>
        <w:adjustRightInd w:val="0"/>
        <w:snapToGrid w:val="0"/>
        <w:spacing w:after="0" w:line="240" w:lineRule="auto"/>
        <w:rPr>
          <w:rFonts w:asciiTheme="minorHAnsi" w:eastAsia="Times New Roman" w:hAnsiTheme="minorHAnsi" w:cs="Arial"/>
          <w:sz w:val="20"/>
          <w:szCs w:val="20"/>
        </w:rPr>
      </w:pPr>
      <w:r w:rsidRPr="00560488">
        <w:rPr>
          <w:rFonts w:asciiTheme="minorHAnsi" w:eastAsia="Times New Roman" w:hAnsiTheme="minorHAnsi" w:cs="Arial"/>
          <w:sz w:val="20"/>
          <w:szCs w:val="20"/>
        </w:rPr>
        <w:t>a prime contractor for the vehicle’s driver</w:t>
      </w:r>
    </w:p>
    <w:p w:rsidR="00241F2E" w:rsidRPr="00560488" w:rsidRDefault="00241F2E" w:rsidP="00F56A53">
      <w:pPr>
        <w:pStyle w:val="ListParagraph"/>
        <w:numPr>
          <w:ilvl w:val="0"/>
          <w:numId w:val="9"/>
        </w:numPr>
        <w:autoSpaceDE w:val="0"/>
        <w:autoSpaceDN w:val="0"/>
        <w:adjustRightInd w:val="0"/>
        <w:snapToGrid w:val="0"/>
        <w:spacing w:after="0" w:line="240" w:lineRule="auto"/>
        <w:rPr>
          <w:rFonts w:asciiTheme="minorHAnsi" w:eastAsia="Times New Roman" w:hAnsiTheme="minorHAnsi" w:cs="Arial"/>
          <w:sz w:val="20"/>
          <w:szCs w:val="20"/>
        </w:rPr>
      </w:pPr>
      <w:r w:rsidRPr="00560488">
        <w:rPr>
          <w:rFonts w:asciiTheme="minorHAnsi" w:eastAsia="Times New Roman" w:hAnsiTheme="minorHAnsi" w:cs="Arial"/>
          <w:sz w:val="20"/>
          <w:szCs w:val="20"/>
        </w:rPr>
        <w:t>an operator of the vehicle</w:t>
      </w:r>
    </w:p>
    <w:p w:rsidR="00241F2E" w:rsidRPr="00560488" w:rsidRDefault="00241F2E" w:rsidP="00F56A53">
      <w:pPr>
        <w:pStyle w:val="ListParagraph"/>
        <w:numPr>
          <w:ilvl w:val="0"/>
          <w:numId w:val="9"/>
        </w:numPr>
        <w:autoSpaceDE w:val="0"/>
        <w:autoSpaceDN w:val="0"/>
        <w:adjustRightInd w:val="0"/>
        <w:snapToGrid w:val="0"/>
        <w:spacing w:after="0" w:line="240" w:lineRule="auto"/>
        <w:rPr>
          <w:rFonts w:asciiTheme="minorHAnsi" w:eastAsia="Times New Roman" w:hAnsiTheme="minorHAnsi" w:cs="Arial"/>
          <w:sz w:val="20"/>
          <w:szCs w:val="20"/>
        </w:rPr>
      </w:pPr>
      <w:r w:rsidRPr="00560488">
        <w:rPr>
          <w:rFonts w:asciiTheme="minorHAnsi" w:eastAsia="Times New Roman" w:hAnsiTheme="minorHAnsi" w:cs="Arial"/>
          <w:sz w:val="20"/>
          <w:szCs w:val="20"/>
        </w:rPr>
        <w:t>a consignor of any goods for transport by the vehicle that are in the vehicle and</w:t>
      </w:r>
    </w:p>
    <w:p w:rsidR="00241F2E" w:rsidRPr="00560488" w:rsidRDefault="00241F2E" w:rsidP="00F56A53">
      <w:pPr>
        <w:pStyle w:val="ListParagraph"/>
        <w:numPr>
          <w:ilvl w:val="0"/>
          <w:numId w:val="9"/>
        </w:numPr>
        <w:autoSpaceDE w:val="0"/>
        <w:autoSpaceDN w:val="0"/>
        <w:adjustRightInd w:val="0"/>
        <w:snapToGrid w:val="0"/>
        <w:spacing w:after="0" w:line="240" w:lineRule="auto"/>
        <w:rPr>
          <w:rFonts w:asciiTheme="minorHAnsi" w:eastAsia="Times New Roman" w:hAnsiTheme="minorHAnsi" w:cs="Arial"/>
          <w:sz w:val="20"/>
          <w:szCs w:val="20"/>
        </w:rPr>
      </w:pPr>
      <w:r w:rsidRPr="00560488">
        <w:rPr>
          <w:rFonts w:asciiTheme="minorHAnsi" w:eastAsia="Times New Roman" w:hAnsiTheme="minorHAnsi" w:cs="Arial"/>
          <w:sz w:val="20"/>
          <w:szCs w:val="20"/>
        </w:rPr>
        <w:t xml:space="preserve">outsourced vehicle maintenance </w:t>
      </w:r>
      <w:r w:rsidR="008D52D8" w:rsidRPr="00560488">
        <w:rPr>
          <w:rFonts w:asciiTheme="minorHAnsi" w:eastAsia="Times New Roman" w:hAnsiTheme="minorHAnsi" w:cs="Arial"/>
          <w:sz w:val="20"/>
          <w:szCs w:val="20"/>
        </w:rPr>
        <w:t xml:space="preserve">service </w:t>
      </w:r>
      <w:r w:rsidRPr="00560488">
        <w:rPr>
          <w:rFonts w:asciiTheme="minorHAnsi" w:eastAsia="Times New Roman" w:hAnsiTheme="minorHAnsi" w:cs="Arial"/>
          <w:sz w:val="20"/>
          <w:szCs w:val="20"/>
        </w:rPr>
        <w:t>providers.</w:t>
      </w:r>
    </w:p>
    <w:p w:rsidR="00241F2E" w:rsidRPr="00560488" w:rsidRDefault="00241F2E" w:rsidP="00F56A53">
      <w:pPr>
        <w:pStyle w:val="NormalWeb"/>
        <w:spacing w:before="0" w:beforeAutospacing="0" w:after="0" w:afterAutospacing="0"/>
        <w:rPr>
          <w:rFonts w:asciiTheme="minorHAnsi" w:hAnsiTheme="minorHAnsi" w:cs="Arial"/>
          <w:sz w:val="20"/>
          <w:szCs w:val="20"/>
        </w:rPr>
      </w:pPr>
    </w:p>
    <w:p w:rsidR="00241F2E" w:rsidRPr="00560488" w:rsidRDefault="00241F2E" w:rsidP="00F56A53">
      <w:pPr>
        <w:pStyle w:val="NormalWeb"/>
        <w:spacing w:before="0" w:beforeAutospacing="0" w:after="0" w:afterAutospacing="0"/>
        <w:rPr>
          <w:rFonts w:asciiTheme="minorHAnsi" w:hAnsiTheme="minorHAnsi" w:cs="Arial"/>
          <w:sz w:val="20"/>
          <w:szCs w:val="20"/>
        </w:rPr>
      </w:pPr>
      <w:r w:rsidRPr="00560488">
        <w:rPr>
          <w:rFonts w:asciiTheme="minorHAnsi" w:hAnsiTheme="minorHAnsi" w:cs="Arial"/>
          <w:sz w:val="20"/>
          <w:szCs w:val="20"/>
        </w:rPr>
        <w:t xml:space="preserve">According to the NTC, there </w:t>
      </w:r>
      <w:r w:rsidR="00335095">
        <w:rPr>
          <w:rFonts w:asciiTheme="minorHAnsi" w:hAnsiTheme="minorHAnsi" w:cs="Arial"/>
          <w:sz w:val="20"/>
          <w:szCs w:val="20"/>
        </w:rPr>
        <w:t>had been</w:t>
      </w:r>
      <w:r w:rsidRPr="00560488">
        <w:rPr>
          <w:rFonts w:asciiTheme="minorHAnsi" w:hAnsiTheme="minorHAnsi" w:cs="Arial"/>
          <w:sz w:val="20"/>
          <w:szCs w:val="20"/>
        </w:rPr>
        <w:t xml:space="preserve"> disagreement in 2004 and 2005 about targeting entities such as maintenance providers, because of the argument that they were potentially covered by other legislation and did not have a role in influencing on-road behaviour.</w:t>
      </w:r>
    </w:p>
    <w:p w:rsidR="00241F2E" w:rsidRPr="00560488" w:rsidRDefault="00241F2E" w:rsidP="00F56A53">
      <w:pPr>
        <w:pStyle w:val="NormalWeb"/>
        <w:spacing w:before="0" w:beforeAutospacing="0" w:after="0" w:afterAutospacing="0"/>
        <w:rPr>
          <w:rFonts w:asciiTheme="minorHAnsi" w:hAnsiTheme="minorHAnsi" w:cs="Arial"/>
          <w:sz w:val="20"/>
          <w:szCs w:val="20"/>
        </w:rPr>
      </w:pPr>
    </w:p>
    <w:p w:rsidR="00241F2E" w:rsidRPr="00560488" w:rsidRDefault="001611A8" w:rsidP="00F56A53">
      <w:pPr>
        <w:pStyle w:val="NormalWeb"/>
        <w:spacing w:before="0" w:beforeAutospacing="0" w:after="0" w:afterAutospacing="0"/>
        <w:rPr>
          <w:rFonts w:asciiTheme="minorHAnsi" w:hAnsiTheme="minorHAnsi" w:cs="Arial"/>
          <w:sz w:val="20"/>
          <w:szCs w:val="20"/>
        </w:rPr>
      </w:pPr>
      <w:r>
        <w:rPr>
          <w:rFonts w:asciiTheme="minorHAnsi" w:hAnsiTheme="minorHAnsi" w:cs="Arial"/>
          <w:sz w:val="20"/>
          <w:szCs w:val="20"/>
        </w:rPr>
        <w:t xml:space="preserve">However, </w:t>
      </w:r>
      <w:r w:rsidR="0065466F">
        <w:rPr>
          <w:rFonts w:asciiTheme="minorHAnsi" w:hAnsiTheme="minorHAnsi" w:cs="Arial"/>
          <w:sz w:val="20"/>
          <w:szCs w:val="20"/>
        </w:rPr>
        <w:t>i</w:t>
      </w:r>
      <w:r w:rsidR="00241F2E" w:rsidRPr="00560488">
        <w:rPr>
          <w:rFonts w:asciiTheme="minorHAnsi" w:hAnsiTheme="minorHAnsi" w:cs="Arial"/>
          <w:sz w:val="20"/>
          <w:szCs w:val="20"/>
        </w:rPr>
        <w:t xml:space="preserve">n the trucking industry there </w:t>
      </w:r>
      <w:r w:rsidR="006C25E3">
        <w:rPr>
          <w:rFonts w:asciiTheme="minorHAnsi" w:hAnsiTheme="minorHAnsi" w:cs="Arial"/>
          <w:sz w:val="20"/>
          <w:szCs w:val="20"/>
        </w:rPr>
        <w:t>is</w:t>
      </w:r>
      <w:r w:rsidR="00241F2E" w:rsidRPr="00560488">
        <w:rPr>
          <w:rFonts w:asciiTheme="minorHAnsi" w:hAnsiTheme="minorHAnsi" w:cs="Arial"/>
          <w:sz w:val="20"/>
          <w:szCs w:val="20"/>
        </w:rPr>
        <w:t xml:space="preserve"> a trend </w:t>
      </w:r>
      <w:r w:rsidR="00142AFB" w:rsidRPr="00560488">
        <w:rPr>
          <w:rFonts w:asciiTheme="minorHAnsi" w:hAnsiTheme="minorHAnsi" w:cs="Arial"/>
          <w:sz w:val="20"/>
          <w:szCs w:val="20"/>
        </w:rPr>
        <w:t>towards</w:t>
      </w:r>
      <w:r w:rsidR="00241F2E" w:rsidRPr="00560488">
        <w:rPr>
          <w:rFonts w:asciiTheme="minorHAnsi" w:hAnsiTheme="minorHAnsi" w:cs="Arial"/>
          <w:sz w:val="20"/>
          <w:szCs w:val="20"/>
        </w:rPr>
        <w:t xml:space="preserve"> outsourc</w:t>
      </w:r>
      <w:r w:rsidR="00142AFB" w:rsidRPr="00560488">
        <w:rPr>
          <w:rFonts w:asciiTheme="minorHAnsi" w:hAnsiTheme="minorHAnsi" w:cs="Arial"/>
          <w:sz w:val="20"/>
          <w:szCs w:val="20"/>
        </w:rPr>
        <w:t>ing</w:t>
      </w:r>
      <w:r w:rsidR="00CF4792">
        <w:rPr>
          <w:rFonts w:asciiTheme="minorHAnsi" w:hAnsiTheme="minorHAnsi" w:cs="Arial"/>
          <w:sz w:val="20"/>
          <w:szCs w:val="20"/>
        </w:rPr>
        <w:t xml:space="preserve"> of</w:t>
      </w:r>
      <w:r w:rsidR="00241F2E" w:rsidRPr="00560488">
        <w:rPr>
          <w:rFonts w:asciiTheme="minorHAnsi" w:hAnsiTheme="minorHAnsi" w:cs="Arial"/>
          <w:sz w:val="20"/>
          <w:szCs w:val="20"/>
        </w:rPr>
        <w:t xml:space="preserve"> vehicle asset management and maintenance to third party providers. </w:t>
      </w:r>
      <w:r w:rsidR="00335095">
        <w:rPr>
          <w:rFonts w:asciiTheme="minorHAnsi" w:hAnsiTheme="minorHAnsi" w:cs="Arial"/>
          <w:sz w:val="20"/>
          <w:szCs w:val="20"/>
        </w:rPr>
        <w:t>As a consequence of outsourcing</w:t>
      </w:r>
      <w:r w:rsidR="00BA48F8">
        <w:rPr>
          <w:rFonts w:asciiTheme="minorHAnsi" w:hAnsiTheme="minorHAnsi" w:cs="Arial"/>
          <w:sz w:val="20"/>
          <w:szCs w:val="20"/>
        </w:rPr>
        <w:t xml:space="preserve"> this activity</w:t>
      </w:r>
      <w:r w:rsidR="00335095">
        <w:rPr>
          <w:rFonts w:asciiTheme="minorHAnsi" w:hAnsiTheme="minorHAnsi" w:cs="Arial"/>
          <w:sz w:val="20"/>
          <w:szCs w:val="20"/>
        </w:rPr>
        <w:t xml:space="preserve">, operators </w:t>
      </w:r>
      <w:r w:rsidR="00610C4C">
        <w:rPr>
          <w:rFonts w:asciiTheme="minorHAnsi" w:hAnsiTheme="minorHAnsi" w:cs="Arial"/>
          <w:sz w:val="20"/>
          <w:szCs w:val="20"/>
        </w:rPr>
        <w:t>lose control over</w:t>
      </w:r>
      <w:r w:rsidR="00BA48F8">
        <w:rPr>
          <w:rFonts w:asciiTheme="minorHAnsi" w:hAnsiTheme="minorHAnsi" w:cs="Arial"/>
          <w:sz w:val="20"/>
          <w:szCs w:val="20"/>
        </w:rPr>
        <w:t xml:space="preserve"> </w:t>
      </w:r>
      <w:r w:rsidR="00335095">
        <w:rPr>
          <w:rFonts w:asciiTheme="minorHAnsi" w:hAnsiTheme="minorHAnsi" w:cs="Arial"/>
          <w:sz w:val="20"/>
          <w:szCs w:val="20"/>
        </w:rPr>
        <w:t xml:space="preserve">workshop outcomes. </w:t>
      </w:r>
      <w:r w:rsidR="00BA48F8">
        <w:rPr>
          <w:rFonts w:asciiTheme="minorHAnsi" w:hAnsiTheme="minorHAnsi" w:cs="Arial"/>
          <w:sz w:val="20"/>
          <w:szCs w:val="20"/>
        </w:rPr>
        <w:t>Th</w:t>
      </w:r>
      <w:r w:rsidR="006C25E3">
        <w:rPr>
          <w:rFonts w:asciiTheme="minorHAnsi" w:hAnsiTheme="minorHAnsi" w:cs="Arial"/>
          <w:sz w:val="20"/>
          <w:szCs w:val="20"/>
        </w:rPr>
        <w:t>ird party</w:t>
      </w:r>
      <w:r w:rsidR="00241F2E" w:rsidRPr="00560488">
        <w:rPr>
          <w:rFonts w:asciiTheme="minorHAnsi" w:hAnsiTheme="minorHAnsi" w:cs="Arial"/>
          <w:sz w:val="20"/>
          <w:szCs w:val="20"/>
        </w:rPr>
        <w:t xml:space="preserve"> providers </w:t>
      </w:r>
      <w:r w:rsidR="00D92371">
        <w:rPr>
          <w:rFonts w:asciiTheme="minorHAnsi" w:hAnsiTheme="minorHAnsi" w:cs="Arial"/>
          <w:sz w:val="20"/>
          <w:szCs w:val="20"/>
        </w:rPr>
        <w:t>play</w:t>
      </w:r>
      <w:r w:rsidR="00241F2E" w:rsidRPr="00560488">
        <w:rPr>
          <w:rFonts w:asciiTheme="minorHAnsi" w:hAnsiTheme="minorHAnsi" w:cs="Arial"/>
          <w:sz w:val="20"/>
          <w:szCs w:val="20"/>
        </w:rPr>
        <w:t xml:space="preserve"> a critical role in managing the business’s maintenance management systems and compliance obligations, and should, as a result, be included as chain parties. </w:t>
      </w:r>
    </w:p>
    <w:p w:rsidR="00241F2E" w:rsidRPr="00560488" w:rsidRDefault="00241F2E" w:rsidP="00F56A53">
      <w:pPr>
        <w:pStyle w:val="NormalWeb"/>
        <w:spacing w:before="0" w:beforeAutospacing="0" w:after="0" w:afterAutospacing="0"/>
        <w:rPr>
          <w:rFonts w:asciiTheme="minorHAnsi" w:hAnsiTheme="minorHAnsi" w:cs="Arial"/>
          <w:sz w:val="20"/>
          <w:szCs w:val="20"/>
        </w:rPr>
      </w:pPr>
    </w:p>
    <w:p w:rsidR="00241F2E" w:rsidRPr="00560488" w:rsidRDefault="00241F2E" w:rsidP="00F56A53">
      <w:pPr>
        <w:pStyle w:val="Heading1"/>
        <w:numPr>
          <w:ilvl w:val="0"/>
          <w:numId w:val="0"/>
        </w:numPr>
        <w:jc w:val="both"/>
        <w:rPr>
          <w:rFonts w:asciiTheme="minorHAnsi" w:hAnsiTheme="minorHAnsi"/>
          <w:color w:val="auto"/>
          <w:sz w:val="20"/>
          <w:szCs w:val="20"/>
        </w:rPr>
      </w:pPr>
      <w:r w:rsidRPr="00560488">
        <w:rPr>
          <w:rFonts w:asciiTheme="minorHAnsi" w:hAnsiTheme="minorHAnsi"/>
          <w:color w:val="auto"/>
          <w:sz w:val="20"/>
          <w:szCs w:val="20"/>
        </w:rPr>
        <w:t>Maximum penalty</w:t>
      </w:r>
    </w:p>
    <w:p w:rsidR="00241F2E" w:rsidRPr="00560488" w:rsidRDefault="00241F2E" w:rsidP="00F56A53">
      <w:pPr>
        <w:keepNext/>
        <w:rPr>
          <w:rFonts w:asciiTheme="minorHAnsi" w:hAnsiTheme="minorHAnsi" w:cs="Arial"/>
          <w:sz w:val="20"/>
          <w:szCs w:val="20"/>
        </w:rPr>
      </w:pPr>
      <w:r w:rsidRPr="00560488">
        <w:rPr>
          <w:rFonts w:asciiTheme="minorHAnsi" w:hAnsiTheme="minorHAnsi" w:cs="Arial"/>
          <w:sz w:val="20"/>
          <w:szCs w:val="20"/>
        </w:rPr>
        <w:t>The maximum penalty for an offence against this duty provision should be $10,000 for an individual and $50,000 for a corporation. As a result, it would be a high range (severe) offence under the HVNL and would be consistent with the penalties for severe duty breaches in chapters 5 and 6 of the law.</w:t>
      </w:r>
    </w:p>
    <w:p w:rsidR="00F62682" w:rsidRPr="00560488" w:rsidRDefault="00F62682" w:rsidP="00F56A53">
      <w:pPr>
        <w:keepNext/>
        <w:rPr>
          <w:rFonts w:asciiTheme="minorHAnsi" w:hAnsiTheme="minorHAnsi" w:cs="Arial"/>
          <w:i/>
          <w:sz w:val="20"/>
          <w:szCs w:val="20"/>
        </w:rPr>
      </w:pPr>
    </w:p>
    <w:p w:rsidR="00F62682" w:rsidRPr="00560488" w:rsidRDefault="00F62682" w:rsidP="00F56A53">
      <w:pPr>
        <w:pStyle w:val="Heading1"/>
        <w:numPr>
          <w:ilvl w:val="0"/>
          <w:numId w:val="0"/>
        </w:numPr>
        <w:jc w:val="both"/>
        <w:rPr>
          <w:rFonts w:asciiTheme="minorHAnsi" w:hAnsiTheme="minorHAnsi"/>
          <w:color w:val="auto"/>
          <w:sz w:val="20"/>
          <w:szCs w:val="20"/>
        </w:rPr>
      </w:pPr>
      <w:r w:rsidRPr="00560488">
        <w:rPr>
          <w:rFonts w:asciiTheme="minorHAnsi" w:hAnsiTheme="minorHAnsi"/>
          <w:color w:val="auto"/>
          <w:sz w:val="20"/>
          <w:szCs w:val="20"/>
        </w:rPr>
        <w:t>Extending liability to executive officers</w:t>
      </w:r>
    </w:p>
    <w:p w:rsidR="00241F2E" w:rsidRPr="00560488" w:rsidRDefault="00F62682" w:rsidP="0008629A">
      <w:pPr>
        <w:keepNext/>
        <w:rPr>
          <w:rFonts w:asciiTheme="minorHAnsi" w:hAnsiTheme="minorHAnsi" w:cs="Arial"/>
          <w:sz w:val="20"/>
          <w:szCs w:val="20"/>
        </w:rPr>
      </w:pPr>
      <w:r w:rsidRPr="00560488">
        <w:rPr>
          <w:rFonts w:asciiTheme="minorHAnsi" w:hAnsiTheme="minorHAnsi" w:cs="Arial"/>
          <w:sz w:val="20"/>
          <w:szCs w:val="20"/>
        </w:rPr>
        <w:t>The proposed offence would meet all the requirements of the COAG principles and guidelines for personal liability for corporate fault. Accordingly, it should be included in schedule 4 of the HVNL as an underlying offence for executive officer liability.</w:t>
      </w:r>
      <w:r w:rsidR="005C55E9" w:rsidRPr="00560488">
        <w:rPr>
          <w:rFonts w:asciiTheme="minorHAnsi" w:hAnsiTheme="minorHAnsi" w:cs="Arial"/>
          <w:sz w:val="20"/>
          <w:szCs w:val="20"/>
        </w:rPr>
        <w:t xml:space="preserve">  </w:t>
      </w:r>
      <w:r w:rsidR="00241F2E" w:rsidRPr="00560488">
        <w:rPr>
          <w:rFonts w:asciiTheme="minorHAnsi" w:hAnsiTheme="minorHAnsi" w:cs="Arial"/>
          <w:sz w:val="20"/>
          <w:szCs w:val="20"/>
        </w:rPr>
        <w:t xml:space="preserve"> A business could take reasonable steps to meet the requirements of this duty by:</w:t>
      </w:r>
    </w:p>
    <w:p w:rsidR="00B050EE" w:rsidRPr="00560488" w:rsidRDefault="00B050EE" w:rsidP="00F56A53">
      <w:pPr>
        <w:pStyle w:val="NormalWeb"/>
        <w:keepNext/>
        <w:spacing w:before="0" w:beforeAutospacing="0" w:after="0" w:afterAutospacing="0"/>
        <w:rPr>
          <w:rFonts w:asciiTheme="minorHAnsi" w:hAnsiTheme="minorHAnsi" w:cs="Arial"/>
          <w:sz w:val="20"/>
          <w:szCs w:val="20"/>
        </w:rPr>
      </w:pPr>
    </w:p>
    <w:p w:rsidR="00241F2E" w:rsidRPr="00560488" w:rsidRDefault="00241F2E" w:rsidP="00F56A53">
      <w:pPr>
        <w:pStyle w:val="NormalWeb"/>
        <w:numPr>
          <w:ilvl w:val="0"/>
          <w:numId w:val="12"/>
        </w:numPr>
        <w:spacing w:before="0" w:beforeAutospacing="0" w:after="0" w:afterAutospacing="0"/>
        <w:rPr>
          <w:rFonts w:asciiTheme="minorHAnsi" w:hAnsiTheme="minorHAnsi" w:cs="Arial"/>
          <w:sz w:val="20"/>
          <w:szCs w:val="20"/>
        </w:rPr>
      </w:pPr>
      <w:r w:rsidRPr="00560488">
        <w:rPr>
          <w:rFonts w:asciiTheme="minorHAnsi" w:hAnsiTheme="minorHAnsi" w:cs="Arial"/>
          <w:sz w:val="20"/>
          <w:szCs w:val="20"/>
        </w:rPr>
        <w:t>having an in-house or third party maintenance management system</w:t>
      </w:r>
    </w:p>
    <w:p w:rsidR="00241F2E" w:rsidRPr="00560488" w:rsidRDefault="00241F2E" w:rsidP="00F56A53">
      <w:pPr>
        <w:pStyle w:val="NormalWeb"/>
        <w:keepNext/>
        <w:numPr>
          <w:ilvl w:val="0"/>
          <w:numId w:val="12"/>
        </w:numPr>
        <w:spacing w:before="0" w:beforeAutospacing="0" w:after="0" w:afterAutospacing="0"/>
        <w:rPr>
          <w:rFonts w:asciiTheme="minorHAnsi" w:hAnsiTheme="minorHAnsi" w:cs="Arial"/>
          <w:sz w:val="20"/>
          <w:szCs w:val="20"/>
        </w:rPr>
      </w:pPr>
      <w:r w:rsidRPr="00560488">
        <w:rPr>
          <w:rFonts w:asciiTheme="minorHAnsi" w:hAnsiTheme="minorHAnsi" w:cs="Arial"/>
          <w:sz w:val="20"/>
          <w:szCs w:val="20"/>
        </w:rPr>
        <w:t>daily checks of the condition of vehicles</w:t>
      </w:r>
    </w:p>
    <w:p w:rsidR="00241F2E" w:rsidRPr="00560488" w:rsidRDefault="00241F2E" w:rsidP="00F56A53">
      <w:pPr>
        <w:pStyle w:val="NormalWeb"/>
        <w:keepNext/>
        <w:numPr>
          <w:ilvl w:val="0"/>
          <w:numId w:val="12"/>
        </w:numPr>
        <w:spacing w:before="0" w:beforeAutospacing="0" w:after="0" w:afterAutospacing="0"/>
        <w:rPr>
          <w:rFonts w:asciiTheme="minorHAnsi" w:hAnsiTheme="minorHAnsi" w:cs="Arial"/>
          <w:sz w:val="20"/>
          <w:szCs w:val="20"/>
        </w:rPr>
      </w:pPr>
      <w:r w:rsidRPr="00560488">
        <w:rPr>
          <w:rFonts w:asciiTheme="minorHAnsi" w:hAnsiTheme="minorHAnsi" w:cs="Arial"/>
          <w:sz w:val="20"/>
          <w:szCs w:val="20"/>
        </w:rPr>
        <w:t>a system for recording and rectifying faults</w:t>
      </w:r>
    </w:p>
    <w:p w:rsidR="00241F2E" w:rsidRPr="00560488" w:rsidRDefault="00241F2E" w:rsidP="00F56A53">
      <w:pPr>
        <w:pStyle w:val="NormalWeb"/>
        <w:keepNext/>
        <w:numPr>
          <w:ilvl w:val="0"/>
          <w:numId w:val="12"/>
        </w:numPr>
        <w:spacing w:before="0" w:beforeAutospacing="0" w:after="0" w:afterAutospacing="0"/>
        <w:rPr>
          <w:rFonts w:asciiTheme="minorHAnsi" w:hAnsiTheme="minorHAnsi" w:cs="Arial"/>
          <w:sz w:val="20"/>
          <w:szCs w:val="20"/>
        </w:rPr>
      </w:pPr>
      <w:r w:rsidRPr="00560488">
        <w:rPr>
          <w:rFonts w:asciiTheme="minorHAnsi" w:hAnsiTheme="minorHAnsi" w:cs="Arial"/>
          <w:sz w:val="20"/>
          <w:szCs w:val="20"/>
        </w:rPr>
        <w:t>carrying out periodic maintenance in accordance with manufacturers’ service manuals or appropriate service schedules</w:t>
      </w:r>
    </w:p>
    <w:p w:rsidR="00241F2E" w:rsidRPr="00560488" w:rsidRDefault="00241F2E" w:rsidP="00F56A53">
      <w:pPr>
        <w:pStyle w:val="NormalWeb"/>
        <w:numPr>
          <w:ilvl w:val="0"/>
          <w:numId w:val="12"/>
        </w:numPr>
        <w:spacing w:before="0" w:beforeAutospacing="0" w:after="0" w:afterAutospacing="0"/>
        <w:rPr>
          <w:rFonts w:asciiTheme="minorHAnsi" w:hAnsiTheme="minorHAnsi" w:cs="Arial"/>
          <w:sz w:val="20"/>
          <w:szCs w:val="20"/>
        </w:rPr>
      </w:pPr>
      <w:r w:rsidRPr="00560488">
        <w:rPr>
          <w:rFonts w:asciiTheme="minorHAnsi" w:hAnsiTheme="minorHAnsi" w:cs="Arial"/>
          <w:sz w:val="20"/>
          <w:szCs w:val="20"/>
        </w:rPr>
        <w:t>considering reasonable maintenance requirements when setting budgets</w:t>
      </w:r>
    </w:p>
    <w:p w:rsidR="00241F2E" w:rsidRPr="00560488" w:rsidRDefault="00241F2E" w:rsidP="00F56A53">
      <w:pPr>
        <w:pStyle w:val="NormalWeb"/>
        <w:numPr>
          <w:ilvl w:val="0"/>
          <w:numId w:val="12"/>
        </w:numPr>
        <w:spacing w:before="0" w:beforeAutospacing="0" w:after="0" w:afterAutospacing="0"/>
        <w:rPr>
          <w:rFonts w:asciiTheme="minorHAnsi" w:hAnsiTheme="minorHAnsi" w:cs="Arial"/>
          <w:sz w:val="20"/>
          <w:szCs w:val="20"/>
        </w:rPr>
      </w:pPr>
      <w:r w:rsidRPr="00560488">
        <w:rPr>
          <w:rFonts w:asciiTheme="minorHAnsi" w:hAnsiTheme="minorHAnsi" w:cs="Arial"/>
          <w:sz w:val="20"/>
          <w:szCs w:val="20"/>
        </w:rPr>
        <w:t>requesting and considering evidence of maintenance processes as part of letting transport contracts.</w:t>
      </w:r>
    </w:p>
    <w:p w:rsidR="00241F2E" w:rsidRPr="00560488" w:rsidRDefault="00241F2E" w:rsidP="00F56A53">
      <w:pPr>
        <w:pStyle w:val="NormalWeb"/>
        <w:spacing w:before="0" w:beforeAutospacing="0" w:after="0" w:afterAutospacing="0"/>
        <w:rPr>
          <w:rFonts w:asciiTheme="minorHAnsi" w:hAnsiTheme="minorHAnsi" w:cs="Arial"/>
          <w:sz w:val="20"/>
          <w:szCs w:val="20"/>
        </w:rPr>
      </w:pPr>
    </w:p>
    <w:p w:rsidR="00241F2E" w:rsidRPr="00560488" w:rsidRDefault="00241F2E" w:rsidP="00F56A53">
      <w:pPr>
        <w:pStyle w:val="NormalWeb"/>
        <w:spacing w:before="0" w:beforeAutospacing="0" w:after="0" w:afterAutospacing="0"/>
        <w:rPr>
          <w:rFonts w:asciiTheme="minorHAnsi" w:hAnsiTheme="minorHAnsi" w:cs="Arial"/>
          <w:sz w:val="20"/>
          <w:szCs w:val="20"/>
        </w:rPr>
      </w:pPr>
      <w:r w:rsidRPr="00560488">
        <w:rPr>
          <w:rFonts w:asciiTheme="minorHAnsi" w:hAnsiTheme="minorHAnsi" w:cs="Arial"/>
          <w:sz w:val="20"/>
          <w:szCs w:val="20"/>
        </w:rPr>
        <w:t xml:space="preserve">Businesses certified under a scheme like </w:t>
      </w:r>
      <w:r w:rsidR="0050452D" w:rsidRPr="00560488">
        <w:rPr>
          <w:rFonts w:asciiTheme="minorHAnsi" w:hAnsiTheme="minorHAnsi" w:cs="Arial"/>
          <w:sz w:val="20"/>
          <w:szCs w:val="20"/>
        </w:rPr>
        <w:t xml:space="preserve">TruckSafe </w:t>
      </w:r>
      <w:r w:rsidR="002901C1">
        <w:rPr>
          <w:rFonts w:asciiTheme="minorHAnsi" w:hAnsiTheme="minorHAnsi" w:cs="Arial"/>
          <w:sz w:val="20"/>
          <w:szCs w:val="20"/>
        </w:rPr>
        <w:t>sh</w:t>
      </w:r>
      <w:r w:rsidRPr="00560488">
        <w:rPr>
          <w:rFonts w:asciiTheme="minorHAnsi" w:hAnsiTheme="minorHAnsi" w:cs="Arial"/>
          <w:sz w:val="20"/>
          <w:szCs w:val="20"/>
        </w:rPr>
        <w:t>ould be considered to fully meet their obligations under this provision.</w:t>
      </w:r>
      <w:r w:rsidR="002F0421" w:rsidRPr="00560488">
        <w:rPr>
          <w:rFonts w:asciiTheme="minorHAnsi" w:hAnsiTheme="minorHAnsi" w:cs="Arial"/>
          <w:sz w:val="20"/>
          <w:szCs w:val="20"/>
        </w:rPr>
        <w:t xml:space="preserve"> </w:t>
      </w:r>
      <w:r w:rsidRPr="00560488">
        <w:rPr>
          <w:rFonts w:asciiTheme="minorHAnsi" w:hAnsiTheme="minorHAnsi" w:cs="Arial"/>
          <w:sz w:val="20"/>
          <w:szCs w:val="20"/>
        </w:rPr>
        <w:t xml:space="preserve">The provision should </w:t>
      </w:r>
      <w:r w:rsidR="002F0421" w:rsidRPr="00560488">
        <w:rPr>
          <w:rFonts w:asciiTheme="minorHAnsi" w:hAnsiTheme="minorHAnsi" w:cs="Arial"/>
          <w:sz w:val="20"/>
          <w:szCs w:val="20"/>
        </w:rPr>
        <w:t xml:space="preserve">also </w:t>
      </w:r>
      <w:r w:rsidRPr="00560488">
        <w:rPr>
          <w:rFonts w:asciiTheme="minorHAnsi" w:hAnsiTheme="minorHAnsi" w:cs="Arial"/>
          <w:sz w:val="20"/>
          <w:szCs w:val="20"/>
        </w:rPr>
        <w:t>not include detailed, process</w:t>
      </w:r>
      <w:r w:rsidR="002F0421" w:rsidRPr="00560488">
        <w:rPr>
          <w:rFonts w:asciiTheme="minorHAnsi" w:hAnsiTheme="minorHAnsi" w:cs="Arial"/>
          <w:sz w:val="20"/>
          <w:szCs w:val="20"/>
        </w:rPr>
        <w:t>-</w:t>
      </w:r>
      <w:r w:rsidRPr="00560488">
        <w:rPr>
          <w:rFonts w:asciiTheme="minorHAnsi" w:hAnsiTheme="minorHAnsi" w:cs="Arial"/>
          <w:sz w:val="20"/>
          <w:szCs w:val="20"/>
        </w:rPr>
        <w:t>based standards. It should focus on what needs to be achieved – taking reasonable steps to ensure that vehicles are safe and roadworthy – rather than prescribing the steps needed to get there, which will vary from business to business.</w:t>
      </w:r>
    </w:p>
    <w:p w:rsidR="000C795C" w:rsidRPr="00560488" w:rsidRDefault="000C795C" w:rsidP="00F56A53">
      <w:pPr>
        <w:pStyle w:val="Heading1"/>
        <w:numPr>
          <w:ilvl w:val="0"/>
          <w:numId w:val="0"/>
        </w:numPr>
        <w:jc w:val="both"/>
        <w:rPr>
          <w:rFonts w:asciiTheme="minorHAnsi" w:hAnsiTheme="minorHAnsi"/>
          <w:color w:val="auto"/>
          <w:sz w:val="20"/>
          <w:szCs w:val="20"/>
        </w:rPr>
      </w:pPr>
    </w:p>
    <w:p w:rsidR="00241F2E" w:rsidRPr="00560488" w:rsidRDefault="00241F2E" w:rsidP="00F56A53">
      <w:pPr>
        <w:pStyle w:val="Heading1"/>
        <w:numPr>
          <w:ilvl w:val="0"/>
          <w:numId w:val="0"/>
        </w:numPr>
        <w:jc w:val="both"/>
        <w:rPr>
          <w:rFonts w:asciiTheme="minorHAnsi" w:hAnsiTheme="minorHAnsi"/>
          <w:color w:val="auto"/>
          <w:sz w:val="20"/>
          <w:szCs w:val="20"/>
        </w:rPr>
      </w:pPr>
      <w:r w:rsidRPr="00560488">
        <w:rPr>
          <w:rFonts w:asciiTheme="minorHAnsi" w:hAnsiTheme="minorHAnsi"/>
          <w:color w:val="auto"/>
          <w:sz w:val="20"/>
          <w:szCs w:val="20"/>
        </w:rPr>
        <w:t>Streamlining CoR provisions in the HVNL</w:t>
      </w:r>
    </w:p>
    <w:p w:rsidR="005C55E9" w:rsidRPr="00560488" w:rsidRDefault="00241F2E" w:rsidP="00F56A53">
      <w:pPr>
        <w:rPr>
          <w:rFonts w:asciiTheme="minorHAnsi" w:hAnsiTheme="minorHAnsi" w:cs="Arial"/>
          <w:sz w:val="20"/>
          <w:szCs w:val="20"/>
        </w:rPr>
      </w:pPr>
      <w:r w:rsidRPr="00560488">
        <w:rPr>
          <w:rFonts w:asciiTheme="minorHAnsi" w:hAnsiTheme="minorHAnsi" w:cs="Arial"/>
          <w:sz w:val="20"/>
          <w:szCs w:val="20"/>
        </w:rPr>
        <w:t>The</w:t>
      </w:r>
      <w:r w:rsidR="002901C1">
        <w:rPr>
          <w:rFonts w:asciiTheme="minorHAnsi" w:hAnsiTheme="minorHAnsi" w:cs="Arial"/>
          <w:sz w:val="20"/>
          <w:szCs w:val="20"/>
        </w:rPr>
        <w:t xml:space="preserve"> Austr</w:t>
      </w:r>
      <w:r w:rsidR="00EC0E6A">
        <w:rPr>
          <w:rFonts w:asciiTheme="minorHAnsi" w:hAnsiTheme="minorHAnsi" w:cs="Arial"/>
          <w:sz w:val="20"/>
          <w:szCs w:val="20"/>
        </w:rPr>
        <w:t>a</w:t>
      </w:r>
      <w:r w:rsidR="002901C1">
        <w:rPr>
          <w:rFonts w:asciiTheme="minorHAnsi" w:hAnsiTheme="minorHAnsi" w:cs="Arial"/>
          <w:sz w:val="20"/>
          <w:szCs w:val="20"/>
        </w:rPr>
        <w:t>lian</w:t>
      </w:r>
      <w:r w:rsidRPr="00560488">
        <w:rPr>
          <w:rFonts w:asciiTheme="minorHAnsi" w:hAnsiTheme="minorHAnsi" w:cs="Arial"/>
          <w:sz w:val="20"/>
          <w:szCs w:val="20"/>
        </w:rPr>
        <w:t xml:space="preserve"> Government requires that the cost burden of new regulations be fully offset by reductions in the existing regulatory burden.</w:t>
      </w:r>
      <w:r w:rsidRPr="00560488">
        <w:rPr>
          <w:rStyle w:val="FootnoteReference"/>
          <w:rFonts w:asciiTheme="minorHAnsi" w:hAnsiTheme="minorHAnsi" w:cs="Arial"/>
          <w:sz w:val="20"/>
          <w:szCs w:val="20"/>
        </w:rPr>
        <w:footnoteReference w:id="9"/>
      </w:r>
      <w:r w:rsidRPr="00560488">
        <w:rPr>
          <w:rFonts w:asciiTheme="minorHAnsi" w:hAnsiTheme="minorHAnsi" w:cs="Arial"/>
          <w:sz w:val="20"/>
          <w:szCs w:val="20"/>
        </w:rPr>
        <w:t xml:space="preserve"> This requirement should be applied to </w:t>
      </w:r>
      <w:r w:rsidR="00CE109D" w:rsidRPr="00560488">
        <w:rPr>
          <w:rFonts w:asciiTheme="minorHAnsi" w:hAnsiTheme="minorHAnsi" w:cs="Arial"/>
          <w:sz w:val="20"/>
          <w:szCs w:val="20"/>
        </w:rPr>
        <w:t xml:space="preserve">the </w:t>
      </w:r>
      <w:r w:rsidRPr="00560488">
        <w:rPr>
          <w:rFonts w:asciiTheme="minorHAnsi" w:hAnsiTheme="minorHAnsi" w:cs="Arial"/>
          <w:sz w:val="20"/>
          <w:szCs w:val="20"/>
        </w:rPr>
        <w:t xml:space="preserve">extension of CoR to vehicle standards. </w:t>
      </w:r>
      <w:r w:rsidR="005C55E9" w:rsidRPr="00560488">
        <w:rPr>
          <w:rFonts w:asciiTheme="minorHAnsi" w:hAnsiTheme="minorHAnsi" w:cs="Arial"/>
          <w:sz w:val="20"/>
          <w:szCs w:val="20"/>
        </w:rPr>
        <w:t xml:space="preserve">The </w:t>
      </w:r>
      <w:r w:rsidRPr="00560488">
        <w:rPr>
          <w:rFonts w:asciiTheme="minorHAnsi" w:hAnsiTheme="minorHAnsi" w:cs="Arial"/>
          <w:sz w:val="20"/>
          <w:szCs w:val="20"/>
        </w:rPr>
        <w:t>Government has a role in approving amendments to the HVNL</w:t>
      </w:r>
      <w:r w:rsidRPr="00560488">
        <w:rPr>
          <w:rStyle w:val="FootnoteReference"/>
          <w:rFonts w:asciiTheme="minorHAnsi" w:hAnsiTheme="minorHAnsi" w:cs="Arial"/>
          <w:sz w:val="20"/>
          <w:szCs w:val="20"/>
        </w:rPr>
        <w:footnoteReference w:id="10"/>
      </w:r>
      <w:r w:rsidRPr="00560488">
        <w:rPr>
          <w:rFonts w:asciiTheme="minorHAnsi" w:hAnsiTheme="minorHAnsi" w:cs="Arial"/>
          <w:sz w:val="20"/>
          <w:szCs w:val="20"/>
        </w:rPr>
        <w:t xml:space="preserve"> and th</w:t>
      </w:r>
      <w:r w:rsidR="005C55E9" w:rsidRPr="00560488">
        <w:rPr>
          <w:rFonts w:asciiTheme="minorHAnsi" w:hAnsiTheme="minorHAnsi" w:cs="Arial"/>
          <w:sz w:val="20"/>
          <w:szCs w:val="20"/>
        </w:rPr>
        <w:t>e</w:t>
      </w:r>
      <w:r w:rsidR="00CE109D" w:rsidRPr="00560488">
        <w:rPr>
          <w:rFonts w:asciiTheme="minorHAnsi" w:hAnsiTheme="minorHAnsi" w:cs="Arial"/>
          <w:sz w:val="20"/>
          <w:szCs w:val="20"/>
        </w:rPr>
        <w:t xml:space="preserve"> </w:t>
      </w:r>
      <w:r w:rsidRPr="00560488">
        <w:rPr>
          <w:rFonts w:asciiTheme="minorHAnsi" w:hAnsiTheme="minorHAnsi" w:cs="Arial"/>
          <w:sz w:val="20"/>
          <w:szCs w:val="20"/>
        </w:rPr>
        <w:t>requirement is in any case good regulatory practice.</w:t>
      </w:r>
      <w:r w:rsidR="005C55E9" w:rsidRPr="00560488">
        <w:rPr>
          <w:rFonts w:asciiTheme="minorHAnsi" w:hAnsiTheme="minorHAnsi" w:cs="Arial"/>
          <w:sz w:val="20"/>
          <w:szCs w:val="20"/>
        </w:rPr>
        <w:t xml:space="preserve"> </w:t>
      </w:r>
    </w:p>
    <w:p w:rsidR="005C55E9" w:rsidRPr="00560488" w:rsidRDefault="005C55E9" w:rsidP="00F56A53">
      <w:pPr>
        <w:rPr>
          <w:rFonts w:asciiTheme="minorHAnsi" w:hAnsiTheme="minorHAnsi" w:cs="Arial"/>
          <w:sz w:val="20"/>
          <w:szCs w:val="20"/>
        </w:rPr>
      </w:pPr>
    </w:p>
    <w:p w:rsidR="006F29DB" w:rsidRDefault="005C55E9" w:rsidP="006F29DB">
      <w:pPr>
        <w:keepNext/>
        <w:rPr>
          <w:rFonts w:asciiTheme="minorHAnsi" w:hAnsiTheme="minorHAnsi" w:cs="Arial"/>
          <w:b/>
          <w:sz w:val="20"/>
          <w:szCs w:val="20"/>
        </w:rPr>
      </w:pPr>
      <w:r w:rsidRPr="00560488">
        <w:rPr>
          <w:rFonts w:asciiTheme="minorHAnsi" w:hAnsiTheme="minorHAnsi" w:cs="Arial"/>
          <w:sz w:val="20"/>
          <w:szCs w:val="20"/>
        </w:rPr>
        <w:t xml:space="preserve">In the ATA’s view, extension of CoR to vehicle standards should be accompanied by a review of other CoR provisions, with the aim of streamlining provisions and investigating the recommendations of the CoR Review Taskforce. This should be submitted as a package of reforms to ministers. A detailed case study analysis should be made to investigate the overall impact of the proposed changes. </w:t>
      </w:r>
      <w:r w:rsidR="006F29DB">
        <w:rPr>
          <w:rFonts w:asciiTheme="minorHAnsi" w:hAnsiTheme="minorHAnsi" w:cs="Arial"/>
          <w:sz w:val="20"/>
          <w:szCs w:val="20"/>
        </w:rPr>
        <w:br/>
      </w:r>
      <w:r w:rsidR="006F29DB">
        <w:rPr>
          <w:rFonts w:asciiTheme="minorHAnsi" w:hAnsiTheme="minorHAnsi" w:cs="Arial"/>
          <w:sz w:val="20"/>
          <w:szCs w:val="20"/>
        </w:rPr>
        <w:br/>
      </w:r>
      <w:r w:rsidR="000C795C" w:rsidRPr="00560488">
        <w:rPr>
          <w:rFonts w:asciiTheme="minorHAnsi" w:hAnsiTheme="minorHAnsi" w:cs="Arial"/>
          <w:b/>
          <w:sz w:val="20"/>
          <w:szCs w:val="20"/>
        </w:rPr>
        <w:t>ATA recommendation 6  (</w:t>
      </w:r>
      <w:r w:rsidR="000C795C" w:rsidRPr="00560488">
        <w:rPr>
          <w:rFonts w:asciiTheme="minorHAnsi" w:hAnsiTheme="minorHAnsi" w:cs="Arial"/>
          <w:b/>
          <w:i/>
          <w:sz w:val="20"/>
          <w:szCs w:val="20"/>
        </w:rPr>
        <w:t>Opportunity 24)</w:t>
      </w:r>
      <w:r w:rsidR="00056D01" w:rsidRPr="00056D01">
        <w:rPr>
          <w:rFonts w:asciiTheme="minorHAnsi" w:hAnsiTheme="minorHAnsi" w:cs="Arial"/>
          <w:b/>
          <w:sz w:val="20"/>
          <w:szCs w:val="20"/>
        </w:rPr>
        <w:t xml:space="preserve"> </w:t>
      </w:r>
      <w:r w:rsidR="006F29DB">
        <w:rPr>
          <w:rFonts w:asciiTheme="minorHAnsi" w:hAnsiTheme="minorHAnsi" w:cs="Arial"/>
          <w:b/>
          <w:sz w:val="20"/>
          <w:szCs w:val="20"/>
        </w:rPr>
        <w:br/>
      </w:r>
      <w:r w:rsidR="006F29DB" w:rsidRPr="00560488">
        <w:rPr>
          <w:rFonts w:asciiTheme="minorHAnsi" w:hAnsiTheme="minorHAnsi" w:cs="Arial"/>
          <w:b/>
          <w:sz w:val="20"/>
          <w:szCs w:val="20"/>
        </w:rPr>
        <w:t xml:space="preserve">The NTC should recommend to transport ministers that a new duty should be included in chapter 3 of the HVNL, to require chain parties to take reasonable steps to ensure that vehicles are free of defects, safe and maintained in a roadworthy condition. Vehicle maintenance service providers should be included as chain parties. </w:t>
      </w:r>
    </w:p>
    <w:p w:rsidR="00056D01" w:rsidRDefault="00056D01" w:rsidP="006F29DB">
      <w:pPr>
        <w:rPr>
          <w:rFonts w:asciiTheme="minorHAnsi" w:hAnsiTheme="minorHAnsi" w:cs="Arial"/>
          <w:b/>
          <w:sz w:val="20"/>
          <w:szCs w:val="20"/>
        </w:rPr>
      </w:pPr>
    </w:p>
    <w:p w:rsidR="00056D01" w:rsidRPr="00560488" w:rsidRDefault="00056D01" w:rsidP="00056D01">
      <w:pPr>
        <w:keepNext/>
        <w:rPr>
          <w:rFonts w:asciiTheme="minorHAnsi" w:hAnsiTheme="minorHAnsi" w:cs="Arial"/>
          <w:b/>
          <w:sz w:val="20"/>
          <w:szCs w:val="20"/>
        </w:rPr>
      </w:pPr>
      <w:r w:rsidRPr="00560488">
        <w:rPr>
          <w:rFonts w:asciiTheme="minorHAnsi" w:hAnsiTheme="minorHAnsi" w:cs="Arial"/>
          <w:b/>
          <w:sz w:val="20"/>
          <w:szCs w:val="20"/>
        </w:rPr>
        <w:lastRenderedPageBreak/>
        <w:t>ATA recommendation 7</w:t>
      </w:r>
      <w:r w:rsidRPr="00560488">
        <w:rPr>
          <w:rFonts w:asciiTheme="minorHAnsi" w:hAnsiTheme="minorHAnsi"/>
          <w:b/>
          <w:sz w:val="20"/>
          <w:szCs w:val="20"/>
        </w:rPr>
        <w:t xml:space="preserve">  (</w:t>
      </w:r>
      <w:r w:rsidRPr="00560488">
        <w:rPr>
          <w:rFonts w:asciiTheme="minorHAnsi" w:hAnsiTheme="minorHAnsi"/>
          <w:b/>
          <w:i/>
          <w:sz w:val="20"/>
          <w:szCs w:val="20"/>
        </w:rPr>
        <w:t xml:space="preserve">Opportunity 8) </w:t>
      </w:r>
      <w:r w:rsidRPr="00560488">
        <w:rPr>
          <w:rFonts w:asciiTheme="minorHAnsi" w:hAnsiTheme="minorHAnsi" w:cs="Arial"/>
          <w:b/>
          <w:sz w:val="20"/>
          <w:szCs w:val="20"/>
        </w:rPr>
        <w:t xml:space="preserve"> </w:t>
      </w:r>
    </w:p>
    <w:p w:rsidR="00056D01" w:rsidRDefault="00056D01" w:rsidP="00056D01">
      <w:pPr>
        <w:keepNext/>
        <w:rPr>
          <w:rFonts w:asciiTheme="minorHAnsi" w:hAnsiTheme="minorHAnsi" w:cs="Arial"/>
          <w:b/>
          <w:sz w:val="20"/>
          <w:szCs w:val="20"/>
        </w:rPr>
      </w:pPr>
      <w:r w:rsidRPr="00560488">
        <w:rPr>
          <w:rFonts w:asciiTheme="minorHAnsi" w:hAnsiTheme="minorHAnsi" w:cs="Arial"/>
          <w:b/>
          <w:sz w:val="20"/>
          <w:szCs w:val="20"/>
        </w:rPr>
        <w:t>To comply with the Australian Government’s regulatory requirements – and good regulatory practice – the extension of CoR to vehicle standards should be considered as part of a package that includes streamlining other CoR provisions.</w:t>
      </w:r>
    </w:p>
    <w:p w:rsidR="000C795C" w:rsidRPr="00560488" w:rsidRDefault="000C795C" w:rsidP="00F56A53">
      <w:pPr>
        <w:rPr>
          <w:rFonts w:asciiTheme="minorHAnsi" w:hAnsiTheme="minorHAnsi" w:cs="Arial"/>
          <w:b/>
          <w:i/>
          <w:sz w:val="20"/>
          <w:szCs w:val="20"/>
        </w:rPr>
      </w:pPr>
    </w:p>
    <w:p w:rsidR="00E82D86" w:rsidRPr="00560488" w:rsidRDefault="00E82D86" w:rsidP="00E82D86">
      <w:pPr>
        <w:keepNext/>
        <w:rPr>
          <w:rFonts w:asciiTheme="minorHAnsi" w:hAnsiTheme="minorHAnsi" w:cs="Arial"/>
          <w:b/>
          <w:sz w:val="20"/>
          <w:szCs w:val="20"/>
        </w:rPr>
      </w:pPr>
      <w:r w:rsidRPr="00560488">
        <w:rPr>
          <w:rFonts w:asciiTheme="minorHAnsi" w:hAnsiTheme="minorHAnsi" w:cs="Arial"/>
          <w:b/>
          <w:sz w:val="20"/>
          <w:szCs w:val="20"/>
        </w:rPr>
        <w:t>ATA recommendation 8</w:t>
      </w:r>
    </w:p>
    <w:p w:rsidR="00E82D86" w:rsidRPr="00560488" w:rsidRDefault="00E82D86" w:rsidP="00E82D86">
      <w:pPr>
        <w:keepNext/>
        <w:rPr>
          <w:rFonts w:asciiTheme="minorHAnsi" w:hAnsiTheme="minorHAnsi" w:cs="Arial"/>
          <w:b/>
          <w:sz w:val="20"/>
          <w:szCs w:val="20"/>
        </w:rPr>
      </w:pPr>
      <w:r w:rsidRPr="00560488">
        <w:rPr>
          <w:rFonts w:asciiTheme="minorHAnsi" w:hAnsiTheme="minorHAnsi"/>
          <w:b/>
          <w:sz w:val="20"/>
          <w:szCs w:val="20"/>
        </w:rPr>
        <w:t xml:space="preserve">The </w:t>
      </w:r>
      <w:r w:rsidRPr="00560488">
        <w:rPr>
          <w:rFonts w:asciiTheme="minorHAnsi" w:hAnsiTheme="minorHAnsi" w:cs="Arial"/>
          <w:b/>
          <w:sz w:val="20"/>
          <w:szCs w:val="20"/>
        </w:rPr>
        <w:t xml:space="preserve">COR package submitted to ministers include </w:t>
      </w:r>
      <w:r>
        <w:rPr>
          <w:rFonts w:asciiTheme="minorHAnsi" w:hAnsiTheme="minorHAnsi" w:cs="Arial"/>
          <w:b/>
          <w:sz w:val="20"/>
          <w:szCs w:val="20"/>
        </w:rPr>
        <w:t xml:space="preserve">the </w:t>
      </w:r>
      <w:r w:rsidRPr="00560488">
        <w:rPr>
          <w:rFonts w:asciiTheme="minorHAnsi" w:hAnsiTheme="minorHAnsi" w:cs="Arial"/>
          <w:b/>
          <w:sz w:val="20"/>
          <w:szCs w:val="20"/>
        </w:rPr>
        <w:t xml:space="preserve">results of the reviews recommended by the CoR Taskforce. The package should be accompanied by a detailed case study analysis that investigates net impact. In particular, it is essential that: </w:t>
      </w:r>
    </w:p>
    <w:p w:rsidR="00E82D86" w:rsidRPr="00560488" w:rsidRDefault="00E82D86" w:rsidP="00E82D86">
      <w:pPr>
        <w:rPr>
          <w:rFonts w:asciiTheme="minorHAnsi" w:hAnsiTheme="minorHAnsi" w:cs="Arial"/>
          <w:b/>
          <w:sz w:val="20"/>
          <w:szCs w:val="20"/>
        </w:rPr>
      </w:pPr>
    </w:p>
    <w:p w:rsidR="00E82D86" w:rsidRPr="00560488" w:rsidRDefault="00E82D86" w:rsidP="00E82D86">
      <w:pPr>
        <w:pStyle w:val="ListParagraph"/>
        <w:keepNext/>
        <w:numPr>
          <w:ilvl w:val="0"/>
          <w:numId w:val="8"/>
        </w:numPr>
        <w:spacing w:after="0" w:line="240" w:lineRule="auto"/>
        <w:ind w:left="360"/>
        <w:rPr>
          <w:rFonts w:asciiTheme="minorHAnsi" w:hAnsiTheme="minorHAnsi" w:cs="Arial"/>
          <w:b/>
          <w:sz w:val="20"/>
          <w:szCs w:val="20"/>
        </w:rPr>
      </w:pPr>
      <w:r w:rsidRPr="00560488">
        <w:rPr>
          <w:rFonts w:asciiTheme="minorHAnsi" w:hAnsiTheme="minorHAnsi" w:cs="Arial"/>
          <w:b/>
          <w:sz w:val="20"/>
          <w:szCs w:val="20"/>
        </w:rPr>
        <w:t>the regulatory burden of the law is not increased and, if possible,</w:t>
      </w:r>
      <w:r>
        <w:rPr>
          <w:rFonts w:asciiTheme="minorHAnsi" w:hAnsiTheme="minorHAnsi" w:cs="Arial"/>
          <w:b/>
          <w:sz w:val="20"/>
          <w:szCs w:val="20"/>
        </w:rPr>
        <w:t xml:space="preserve"> decreased</w:t>
      </w:r>
    </w:p>
    <w:p w:rsidR="00E82D86" w:rsidRPr="00560488" w:rsidRDefault="00E82D86" w:rsidP="00E82D86">
      <w:pPr>
        <w:pStyle w:val="ListParagraph"/>
        <w:keepNext/>
        <w:numPr>
          <w:ilvl w:val="0"/>
          <w:numId w:val="8"/>
        </w:numPr>
        <w:spacing w:after="0" w:line="240" w:lineRule="auto"/>
        <w:ind w:left="360"/>
        <w:rPr>
          <w:rFonts w:asciiTheme="minorHAnsi" w:hAnsiTheme="minorHAnsi" w:cs="Arial"/>
          <w:b/>
          <w:sz w:val="20"/>
          <w:szCs w:val="20"/>
        </w:rPr>
      </w:pPr>
      <w:r w:rsidRPr="00560488">
        <w:rPr>
          <w:rFonts w:asciiTheme="minorHAnsi" w:hAnsiTheme="minorHAnsi" w:cs="Arial"/>
          <w:b/>
          <w:sz w:val="20"/>
          <w:szCs w:val="20"/>
        </w:rPr>
        <w:t xml:space="preserve">the law complies with </w:t>
      </w:r>
      <w:r>
        <w:rPr>
          <w:rFonts w:asciiTheme="minorHAnsi" w:hAnsiTheme="minorHAnsi" w:cs="Arial"/>
          <w:b/>
          <w:sz w:val="20"/>
          <w:szCs w:val="20"/>
        </w:rPr>
        <w:t xml:space="preserve">the </w:t>
      </w:r>
      <w:r w:rsidRPr="00560488">
        <w:rPr>
          <w:rFonts w:asciiTheme="minorHAnsi" w:hAnsiTheme="minorHAnsi" w:cs="Arial"/>
          <w:b/>
          <w:sz w:val="20"/>
          <w:szCs w:val="20"/>
        </w:rPr>
        <w:t>COAG principles and guidelines</w:t>
      </w:r>
    </w:p>
    <w:p w:rsidR="00E82D86" w:rsidRPr="00560488" w:rsidRDefault="00E82D86" w:rsidP="00E82D86">
      <w:pPr>
        <w:pStyle w:val="ListParagraph"/>
        <w:keepNext/>
        <w:numPr>
          <w:ilvl w:val="0"/>
          <w:numId w:val="7"/>
        </w:numPr>
        <w:spacing w:after="0" w:line="240" w:lineRule="auto"/>
        <w:ind w:left="360"/>
        <w:rPr>
          <w:rFonts w:asciiTheme="minorHAnsi" w:hAnsiTheme="minorHAnsi" w:cs="Arial"/>
          <w:b/>
          <w:sz w:val="20"/>
          <w:szCs w:val="20"/>
        </w:rPr>
      </w:pPr>
      <w:r w:rsidRPr="00560488">
        <w:rPr>
          <w:rFonts w:asciiTheme="minorHAnsi" w:hAnsiTheme="minorHAnsi" w:cs="Arial"/>
          <w:b/>
          <w:sz w:val="20"/>
          <w:szCs w:val="20"/>
        </w:rPr>
        <w:t>Executive officer liability offences in the law may and are likely to be investigated and prosecuted effectively</w:t>
      </w:r>
    </w:p>
    <w:p w:rsidR="00E82D86" w:rsidRPr="00560488" w:rsidRDefault="00E82D86" w:rsidP="00E82D86">
      <w:pPr>
        <w:pStyle w:val="ListParagraph"/>
        <w:keepNext/>
        <w:numPr>
          <w:ilvl w:val="0"/>
          <w:numId w:val="7"/>
        </w:numPr>
        <w:spacing w:after="0" w:line="240" w:lineRule="auto"/>
        <w:ind w:left="360"/>
        <w:rPr>
          <w:rFonts w:asciiTheme="minorHAnsi" w:hAnsiTheme="minorHAnsi" w:cs="Arial"/>
          <w:b/>
          <w:sz w:val="20"/>
          <w:szCs w:val="20"/>
        </w:rPr>
      </w:pPr>
      <w:r w:rsidRPr="00560488">
        <w:rPr>
          <w:rFonts w:asciiTheme="minorHAnsi" w:hAnsiTheme="minorHAnsi" w:cs="Arial"/>
          <w:b/>
          <w:sz w:val="20"/>
          <w:szCs w:val="20"/>
        </w:rPr>
        <w:t xml:space="preserve">offences provide adequate tools to discourage and, if necessary, deal effectively with systemic corporate failures such as failure to prevent speed limiter tampering that can result in or enable specific offences </w:t>
      </w:r>
    </w:p>
    <w:p w:rsidR="00E82D86" w:rsidRPr="00560488" w:rsidRDefault="00E82D86" w:rsidP="00E82D86">
      <w:pPr>
        <w:pStyle w:val="ListParagraph"/>
        <w:keepNext/>
        <w:numPr>
          <w:ilvl w:val="0"/>
          <w:numId w:val="7"/>
        </w:numPr>
        <w:spacing w:after="0" w:line="240" w:lineRule="auto"/>
        <w:ind w:left="360"/>
        <w:rPr>
          <w:rFonts w:asciiTheme="minorHAnsi" w:hAnsiTheme="minorHAnsi" w:cs="Arial"/>
          <w:b/>
          <w:sz w:val="20"/>
          <w:szCs w:val="20"/>
        </w:rPr>
      </w:pPr>
      <w:r w:rsidRPr="00560488">
        <w:rPr>
          <w:rFonts w:asciiTheme="minorHAnsi" w:hAnsiTheme="minorHAnsi" w:cs="Arial"/>
          <w:b/>
          <w:sz w:val="20"/>
          <w:szCs w:val="20"/>
        </w:rPr>
        <w:t>the total of penalties, including for multiple breaches, that can be imposed is not smaller than the penalties that can currently be imposed under the HVNL and, before it, the model law; and</w:t>
      </w:r>
    </w:p>
    <w:p w:rsidR="00E82D86" w:rsidRPr="00560488" w:rsidRDefault="00E82D86" w:rsidP="00E82D86">
      <w:pPr>
        <w:pStyle w:val="ListParagraph"/>
        <w:keepNext/>
        <w:numPr>
          <w:ilvl w:val="0"/>
          <w:numId w:val="7"/>
        </w:numPr>
        <w:spacing w:after="0" w:line="240" w:lineRule="auto"/>
        <w:ind w:left="360"/>
        <w:rPr>
          <w:rFonts w:asciiTheme="minorHAnsi" w:hAnsiTheme="minorHAnsi" w:cs="Arial"/>
          <w:b/>
          <w:sz w:val="20"/>
          <w:szCs w:val="20"/>
        </w:rPr>
      </w:pPr>
      <w:r w:rsidRPr="00560488">
        <w:rPr>
          <w:rFonts w:asciiTheme="minorHAnsi" w:hAnsiTheme="minorHAnsi" w:cs="Arial"/>
          <w:b/>
          <w:sz w:val="20"/>
          <w:szCs w:val="20"/>
        </w:rPr>
        <w:t>the HVNL can stand alone and not rely upon state legislation to fill gaps when pursuing CoR parties due to inadequacies or gaps in the HVNL.</w:t>
      </w:r>
    </w:p>
    <w:p w:rsidR="005C55E9" w:rsidRPr="00560488" w:rsidRDefault="005C55E9" w:rsidP="00F56A53">
      <w:pPr>
        <w:rPr>
          <w:sz w:val="20"/>
          <w:szCs w:val="20"/>
        </w:rPr>
      </w:pPr>
    </w:p>
    <w:p w:rsidR="002D23D4" w:rsidRPr="00560488" w:rsidRDefault="002D23D4" w:rsidP="00F56A53">
      <w:pPr>
        <w:rPr>
          <w:sz w:val="20"/>
          <w:szCs w:val="20"/>
        </w:rPr>
      </w:pPr>
    </w:p>
    <w:p w:rsidR="000D11F5" w:rsidRPr="00560488" w:rsidRDefault="000D11F5" w:rsidP="00F56A53">
      <w:pPr>
        <w:pStyle w:val="Heading1"/>
        <w:rPr>
          <w:color w:val="auto"/>
        </w:rPr>
      </w:pPr>
      <w:bookmarkStart w:id="5" w:name="_Toc398126242"/>
      <w:r w:rsidRPr="00560488">
        <w:rPr>
          <w:color w:val="auto"/>
        </w:rPr>
        <w:t xml:space="preserve">The NHVAS Review </w:t>
      </w:r>
      <w:bookmarkEnd w:id="5"/>
    </w:p>
    <w:p w:rsidR="000D11F5" w:rsidRDefault="000D11F5" w:rsidP="00F56A53"/>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0E514E" w:rsidTr="00A14603">
        <w:tc>
          <w:tcPr>
            <w:tcW w:w="8647" w:type="dxa"/>
          </w:tcPr>
          <w:p w:rsidR="00A14603" w:rsidRPr="00560488" w:rsidRDefault="00A14603" w:rsidP="00A14603">
            <w:pPr>
              <w:rPr>
                <w:sz w:val="20"/>
                <w:szCs w:val="20"/>
              </w:rPr>
            </w:pPr>
            <w:r w:rsidRPr="00560488">
              <w:rPr>
                <w:i/>
                <w:sz w:val="20"/>
                <w:szCs w:val="20"/>
              </w:rPr>
              <w:t>Other than having NHVR as the certification supervisor I would support these recommendations. I do not support the concept of NHVR as certification supervisor because I strongly believe the role of the auditor must be that of an independent 3rd party.</w:t>
            </w:r>
            <w:r w:rsidRPr="00560488">
              <w:rPr>
                <w:sz w:val="20"/>
                <w:szCs w:val="20"/>
              </w:rPr>
              <w:t xml:space="preserve">                   </w:t>
            </w:r>
            <w:r w:rsidRPr="00560488">
              <w:rPr>
                <w:sz w:val="20"/>
                <w:szCs w:val="20"/>
              </w:rPr>
              <w:tab/>
            </w:r>
          </w:p>
          <w:p w:rsidR="00A14603" w:rsidRPr="00560488" w:rsidRDefault="00A14603" w:rsidP="00A14603">
            <w:pPr>
              <w:jc w:val="right"/>
              <w:rPr>
                <w:i/>
              </w:rPr>
            </w:pPr>
            <w:r w:rsidRPr="00560488">
              <w:rPr>
                <w:i/>
                <w:sz w:val="20"/>
                <w:szCs w:val="20"/>
              </w:rPr>
              <w:t>(ATA survey of TruckSafe auditors, September 2014)</w:t>
            </w:r>
          </w:p>
          <w:p w:rsidR="00A14603" w:rsidRDefault="00A14603" w:rsidP="00F56A53">
            <w:pPr>
              <w:rPr>
                <w:i/>
                <w:sz w:val="20"/>
                <w:szCs w:val="20"/>
              </w:rPr>
            </w:pPr>
          </w:p>
        </w:tc>
      </w:tr>
    </w:tbl>
    <w:p w:rsidR="008C6958" w:rsidRPr="00560488" w:rsidRDefault="008C6958" w:rsidP="00F56A53">
      <w:pPr>
        <w:pStyle w:val="Heading1"/>
        <w:numPr>
          <w:ilvl w:val="0"/>
          <w:numId w:val="0"/>
        </w:numPr>
        <w:jc w:val="both"/>
        <w:rPr>
          <w:rFonts w:asciiTheme="minorHAnsi" w:hAnsiTheme="minorHAnsi"/>
          <w:color w:val="auto"/>
          <w:sz w:val="20"/>
          <w:szCs w:val="20"/>
        </w:rPr>
      </w:pPr>
      <w:r w:rsidRPr="00560488">
        <w:rPr>
          <w:rFonts w:asciiTheme="minorHAnsi" w:hAnsiTheme="minorHAnsi"/>
          <w:color w:val="auto"/>
          <w:sz w:val="20"/>
          <w:szCs w:val="20"/>
        </w:rPr>
        <w:t>Regulation of accreditation</w:t>
      </w:r>
      <w:r w:rsidR="00C06FD9" w:rsidRPr="00560488">
        <w:rPr>
          <w:rFonts w:asciiTheme="minorHAnsi" w:hAnsiTheme="minorHAnsi"/>
          <w:color w:val="auto"/>
          <w:sz w:val="20"/>
          <w:szCs w:val="20"/>
        </w:rPr>
        <w:t xml:space="preserve"> and the </w:t>
      </w:r>
      <w:r w:rsidRPr="00560488">
        <w:rPr>
          <w:rFonts w:asciiTheme="minorHAnsi" w:hAnsiTheme="minorHAnsi"/>
          <w:color w:val="auto"/>
          <w:sz w:val="20"/>
          <w:szCs w:val="20"/>
        </w:rPr>
        <w:t>NHVAS approach</w:t>
      </w:r>
    </w:p>
    <w:p w:rsidR="008C6958" w:rsidRPr="00560488" w:rsidRDefault="006F29DB" w:rsidP="00F56A53">
      <w:pPr>
        <w:rPr>
          <w:sz w:val="20"/>
          <w:szCs w:val="20"/>
        </w:rPr>
      </w:pPr>
      <w:r>
        <w:rPr>
          <w:sz w:val="20"/>
          <w:szCs w:val="20"/>
        </w:rPr>
        <w:t>T</w:t>
      </w:r>
      <w:r w:rsidR="008C6958" w:rsidRPr="00560488">
        <w:rPr>
          <w:sz w:val="20"/>
          <w:szCs w:val="20"/>
        </w:rPr>
        <w:t xml:space="preserve">he NHVR has not published guidelines for </w:t>
      </w:r>
      <w:r w:rsidR="008F2C19" w:rsidRPr="00560488">
        <w:rPr>
          <w:sz w:val="20"/>
          <w:szCs w:val="20"/>
        </w:rPr>
        <w:t xml:space="preserve">the </w:t>
      </w:r>
      <w:r w:rsidR="008C6958" w:rsidRPr="00560488">
        <w:rPr>
          <w:sz w:val="20"/>
          <w:szCs w:val="20"/>
        </w:rPr>
        <w:t>registration of industry codes</w:t>
      </w:r>
      <w:r w:rsidR="002E441F">
        <w:rPr>
          <w:sz w:val="20"/>
          <w:szCs w:val="20"/>
        </w:rPr>
        <w:t xml:space="preserve"> of practice</w:t>
      </w:r>
      <w:r w:rsidR="008C6958" w:rsidRPr="00560488">
        <w:rPr>
          <w:sz w:val="20"/>
          <w:szCs w:val="20"/>
        </w:rPr>
        <w:t>.</w:t>
      </w:r>
      <w:r w:rsidR="002E441F">
        <w:rPr>
          <w:sz w:val="20"/>
          <w:szCs w:val="20"/>
        </w:rPr>
        <w:t xml:space="preserve"> This is just as well.</w:t>
      </w:r>
    </w:p>
    <w:p w:rsidR="00962670" w:rsidRPr="00560488" w:rsidRDefault="00962670" w:rsidP="00F56A53">
      <w:pPr>
        <w:rPr>
          <w:sz w:val="20"/>
          <w:szCs w:val="20"/>
        </w:rPr>
      </w:pPr>
    </w:p>
    <w:p w:rsidR="00042244" w:rsidRDefault="00042244" w:rsidP="00F56A53">
      <w:pPr>
        <w:rPr>
          <w:sz w:val="20"/>
          <w:szCs w:val="20"/>
        </w:rPr>
      </w:pPr>
      <w:r>
        <w:rPr>
          <w:sz w:val="20"/>
          <w:szCs w:val="20"/>
        </w:rPr>
        <w:t>T</w:t>
      </w:r>
      <w:r w:rsidR="008F2C19" w:rsidRPr="00560488">
        <w:rPr>
          <w:sz w:val="20"/>
          <w:szCs w:val="20"/>
        </w:rPr>
        <w:t xml:space="preserve">he NHVAS </w:t>
      </w:r>
      <w:r>
        <w:rPr>
          <w:sz w:val="20"/>
          <w:szCs w:val="20"/>
        </w:rPr>
        <w:t xml:space="preserve">would fail to meet any credible set of standards. If it was not a </w:t>
      </w:r>
      <w:r w:rsidR="008F2C19" w:rsidRPr="00560488">
        <w:rPr>
          <w:sz w:val="20"/>
          <w:szCs w:val="20"/>
        </w:rPr>
        <w:t>government scheme</w:t>
      </w:r>
      <w:r>
        <w:rPr>
          <w:sz w:val="20"/>
          <w:szCs w:val="20"/>
        </w:rPr>
        <w:t xml:space="preserve"> run by the NHVR, it would be shut down. </w:t>
      </w:r>
    </w:p>
    <w:p w:rsidR="00D8317F" w:rsidRDefault="00D8317F" w:rsidP="00F56A53">
      <w:pPr>
        <w:rPr>
          <w:sz w:val="20"/>
          <w:szCs w:val="20"/>
        </w:rPr>
      </w:pPr>
    </w:p>
    <w:p w:rsidR="00D8317F" w:rsidRDefault="00D8317F" w:rsidP="00D8317F">
      <w:pPr>
        <w:rPr>
          <w:sz w:val="20"/>
          <w:szCs w:val="20"/>
        </w:rPr>
      </w:pPr>
      <w:r>
        <w:rPr>
          <w:sz w:val="20"/>
          <w:szCs w:val="20"/>
        </w:rPr>
        <w:t>As the figure below shows, operators in NHVAS Maintenance in NSW recorded a worse level of major defects in 2009 than operators in no scheme.</w:t>
      </w:r>
    </w:p>
    <w:p w:rsidR="000E6262" w:rsidRDefault="000E6262" w:rsidP="00F56A53">
      <w:pPr>
        <w:rPr>
          <w:sz w:val="20"/>
          <w:szCs w:val="20"/>
        </w:rPr>
      </w:pPr>
    </w:p>
    <w:p w:rsidR="000E6262" w:rsidRPr="00560488" w:rsidRDefault="000E6262" w:rsidP="000E6262">
      <w:pPr>
        <w:jc w:val="center"/>
        <w:rPr>
          <w:b/>
          <w:sz w:val="20"/>
          <w:szCs w:val="20"/>
        </w:rPr>
      </w:pPr>
      <w:r w:rsidRPr="00761372">
        <w:rPr>
          <w:noProof/>
          <w:sz w:val="20"/>
          <w:szCs w:val="20"/>
          <w:lang w:eastAsia="en-AU"/>
        </w:rPr>
        <w:drawing>
          <wp:inline distT="0" distB="0" distL="0" distR="0" wp14:anchorId="1567D7A4" wp14:editId="4BC86859">
            <wp:extent cx="4423198" cy="2583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9837" cy="2640129"/>
                    </a:xfrm>
                    <a:prstGeom prst="rect">
                      <a:avLst/>
                    </a:prstGeom>
                    <a:noFill/>
                    <a:ln>
                      <a:noFill/>
                    </a:ln>
                  </pic:spPr>
                </pic:pic>
              </a:graphicData>
            </a:graphic>
          </wp:inline>
        </w:drawing>
      </w:r>
    </w:p>
    <w:p w:rsidR="000E6262" w:rsidRDefault="000E6262" w:rsidP="000E6262">
      <w:pPr>
        <w:jc w:val="right"/>
        <w:rPr>
          <w:i/>
          <w:sz w:val="16"/>
          <w:szCs w:val="16"/>
        </w:rPr>
      </w:pPr>
    </w:p>
    <w:p w:rsidR="000E6262" w:rsidRPr="00202563" w:rsidRDefault="000E6262" w:rsidP="000E6262">
      <w:pPr>
        <w:jc w:val="right"/>
        <w:rPr>
          <w:i/>
          <w:sz w:val="16"/>
          <w:szCs w:val="16"/>
        </w:rPr>
      </w:pPr>
      <w:r w:rsidRPr="00202563">
        <w:rPr>
          <w:i/>
          <w:sz w:val="16"/>
          <w:szCs w:val="16"/>
        </w:rPr>
        <w:t>(Chart taken from “Review of Australian Alternative Compliance Schemes” by Mooren and Grzebieta</w:t>
      </w:r>
      <w:r>
        <w:rPr>
          <w:i/>
          <w:sz w:val="16"/>
          <w:szCs w:val="16"/>
        </w:rPr>
        <w:t xml:space="preserve">. UNSW, </w:t>
      </w:r>
      <w:r w:rsidRPr="00202563">
        <w:rPr>
          <w:i/>
          <w:sz w:val="16"/>
          <w:szCs w:val="16"/>
        </w:rPr>
        <w:t>2009.)</w:t>
      </w:r>
    </w:p>
    <w:p w:rsidR="00042244" w:rsidRDefault="00042244" w:rsidP="00F56A53">
      <w:pPr>
        <w:rPr>
          <w:sz w:val="20"/>
          <w:szCs w:val="20"/>
        </w:rPr>
      </w:pPr>
    </w:p>
    <w:p w:rsidR="00042244" w:rsidRDefault="00042244" w:rsidP="00F56A53">
      <w:pPr>
        <w:rPr>
          <w:sz w:val="20"/>
          <w:szCs w:val="20"/>
        </w:rPr>
      </w:pPr>
      <w:r>
        <w:rPr>
          <w:sz w:val="20"/>
          <w:szCs w:val="20"/>
        </w:rPr>
        <w:t>It is simply inappropriate for a regulator</w:t>
      </w:r>
      <w:r w:rsidR="000462A3">
        <w:rPr>
          <w:sz w:val="20"/>
          <w:szCs w:val="20"/>
        </w:rPr>
        <w:t>y authority</w:t>
      </w:r>
      <w:r>
        <w:rPr>
          <w:sz w:val="20"/>
          <w:szCs w:val="20"/>
        </w:rPr>
        <w:t xml:space="preserve"> to run</w:t>
      </w:r>
      <w:r w:rsidR="000462A3">
        <w:rPr>
          <w:sz w:val="20"/>
          <w:szCs w:val="20"/>
        </w:rPr>
        <w:t xml:space="preserve"> </w:t>
      </w:r>
      <w:r>
        <w:rPr>
          <w:sz w:val="20"/>
          <w:szCs w:val="20"/>
        </w:rPr>
        <w:t xml:space="preserve">a system it </w:t>
      </w:r>
      <w:r w:rsidR="000462A3">
        <w:rPr>
          <w:sz w:val="20"/>
          <w:szCs w:val="20"/>
        </w:rPr>
        <w:t>should be</w:t>
      </w:r>
      <w:r>
        <w:rPr>
          <w:sz w:val="20"/>
          <w:szCs w:val="20"/>
        </w:rPr>
        <w:t xml:space="preserve"> regulating.</w:t>
      </w:r>
    </w:p>
    <w:p w:rsidR="00042244" w:rsidRDefault="00042244" w:rsidP="00F56A53">
      <w:pPr>
        <w:rPr>
          <w:sz w:val="20"/>
          <w:szCs w:val="20"/>
        </w:rPr>
      </w:pPr>
    </w:p>
    <w:p w:rsidR="00C62DB6" w:rsidRPr="00560488" w:rsidRDefault="00C62DB6" w:rsidP="00DA557E">
      <w:pPr>
        <w:keepNext/>
        <w:rPr>
          <w:b/>
          <w:bCs/>
          <w:i/>
          <w:sz w:val="20"/>
          <w:szCs w:val="20"/>
        </w:rPr>
      </w:pPr>
      <w:r w:rsidRPr="00560488">
        <w:rPr>
          <w:rFonts w:asciiTheme="minorHAnsi" w:hAnsiTheme="minorHAnsi" w:cs="Arial"/>
          <w:b/>
          <w:sz w:val="20"/>
          <w:szCs w:val="20"/>
        </w:rPr>
        <w:lastRenderedPageBreak/>
        <w:t xml:space="preserve">ATA recommendation 9   </w:t>
      </w:r>
      <w:r w:rsidRPr="00560488">
        <w:rPr>
          <w:b/>
          <w:bCs/>
          <w:i/>
          <w:sz w:val="20"/>
          <w:szCs w:val="20"/>
        </w:rPr>
        <w:t>(Opportunities 32, 35)</w:t>
      </w:r>
    </w:p>
    <w:p w:rsidR="00C62DB6" w:rsidRDefault="00C62DB6" w:rsidP="00DA557E">
      <w:pPr>
        <w:keepNext/>
        <w:rPr>
          <w:b/>
          <w:sz w:val="20"/>
          <w:szCs w:val="20"/>
        </w:rPr>
      </w:pPr>
      <w:r w:rsidRPr="00560488">
        <w:rPr>
          <w:b/>
          <w:bCs/>
          <w:sz w:val="20"/>
          <w:szCs w:val="20"/>
        </w:rPr>
        <w:t>T</w:t>
      </w:r>
      <w:r w:rsidRPr="00560488">
        <w:rPr>
          <w:b/>
          <w:sz w:val="20"/>
          <w:szCs w:val="20"/>
        </w:rPr>
        <w:t>he NHVAS in its current form should be wound down</w:t>
      </w:r>
      <w:r>
        <w:rPr>
          <w:b/>
          <w:sz w:val="20"/>
          <w:szCs w:val="20"/>
        </w:rPr>
        <w:t>. T</w:t>
      </w:r>
      <w:r w:rsidRPr="00560488">
        <w:rPr>
          <w:b/>
          <w:sz w:val="20"/>
          <w:szCs w:val="20"/>
        </w:rPr>
        <w:t>he regulator should not continue seek</w:t>
      </w:r>
      <w:r>
        <w:rPr>
          <w:b/>
          <w:sz w:val="20"/>
          <w:szCs w:val="20"/>
        </w:rPr>
        <w:t>ing</w:t>
      </w:r>
      <w:r w:rsidRPr="00560488">
        <w:rPr>
          <w:b/>
          <w:sz w:val="20"/>
          <w:szCs w:val="20"/>
        </w:rPr>
        <w:t xml:space="preserve"> to crowd out market offerings such as the ATA’s TruckSafe safety management system by delivering an accreditation scheme in competition with them. </w:t>
      </w:r>
      <w:bookmarkStart w:id="6" w:name="_GoBack"/>
      <w:bookmarkEnd w:id="6"/>
    </w:p>
    <w:p w:rsidR="00417BFF" w:rsidRPr="00560488" w:rsidRDefault="00417BFF" w:rsidP="00C62DB6">
      <w:pPr>
        <w:rPr>
          <w:b/>
          <w:sz w:val="20"/>
          <w:szCs w:val="20"/>
        </w:rPr>
      </w:pPr>
    </w:p>
    <w:p w:rsidR="00C65D70" w:rsidRDefault="00C65D70" w:rsidP="00F56A53">
      <w:pPr>
        <w:rPr>
          <w:b/>
          <w:bCs/>
          <w:i/>
          <w:sz w:val="20"/>
          <w:szCs w:val="20"/>
        </w:rPr>
      </w:pPr>
      <w:r w:rsidRPr="00560488">
        <w:rPr>
          <w:b/>
          <w:sz w:val="20"/>
          <w:szCs w:val="20"/>
        </w:rPr>
        <w:t>Mandatory accreditation</w:t>
      </w:r>
      <w:r w:rsidR="00761372" w:rsidRPr="00560488">
        <w:rPr>
          <w:rFonts w:asciiTheme="minorHAnsi" w:hAnsiTheme="minorHAnsi" w:cs="Arial"/>
          <w:b/>
          <w:sz w:val="20"/>
          <w:szCs w:val="20"/>
        </w:rPr>
        <w:t xml:space="preserve"> (</w:t>
      </w:r>
      <w:r w:rsidR="00761372" w:rsidRPr="00560488">
        <w:rPr>
          <w:b/>
          <w:bCs/>
          <w:i/>
          <w:sz w:val="20"/>
          <w:szCs w:val="20"/>
        </w:rPr>
        <w:t>Opportunity 31)</w:t>
      </w:r>
    </w:p>
    <w:p w:rsidR="00D96172" w:rsidRPr="00560488" w:rsidRDefault="00D96172" w:rsidP="00D96172">
      <w:pPr>
        <w:rPr>
          <w:sz w:val="20"/>
          <w:szCs w:val="20"/>
        </w:rPr>
      </w:pPr>
      <w:r w:rsidRPr="00560488">
        <w:rPr>
          <w:rFonts w:asciiTheme="minorHAnsi" w:hAnsiTheme="minorHAnsi" w:cs="Arial"/>
          <w:sz w:val="20"/>
          <w:szCs w:val="20"/>
        </w:rPr>
        <w:t xml:space="preserve">Mandatory accreditation for certain vehicles is acceptable to industry if </w:t>
      </w:r>
      <w:r w:rsidR="00147146" w:rsidRPr="00560488">
        <w:rPr>
          <w:rFonts w:asciiTheme="minorHAnsi" w:hAnsiTheme="minorHAnsi" w:cs="Arial"/>
          <w:sz w:val="20"/>
          <w:szCs w:val="20"/>
        </w:rPr>
        <w:t xml:space="preserve">it is </w:t>
      </w:r>
      <w:r w:rsidRPr="00560488">
        <w:rPr>
          <w:rFonts w:asciiTheme="minorHAnsi" w:hAnsiTheme="minorHAnsi" w:cs="Arial"/>
          <w:sz w:val="20"/>
          <w:szCs w:val="20"/>
        </w:rPr>
        <w:t xml:space="preserve">based on robust evidence of risk to road safety and/or property. </w:t>
      </w:r>
      <w:r w:rsidR="00ED2122">
        <w:rPr>
          <w:rFonts w:asciiTheme="minorHAnsi" w:hAnsiTheme="minorHAnsi" w:cs="Arial"/>
          <w:sz w:val="20"/>
          <w:szCs w:val="20"/>
        </w:rPr>
        <w:t>O</w:t>
      </w:r>
      <w:r w:rsidRPr="00560488">
        <w:rPr>
          <w:sz w:val="20"/>
          <w:szCs w:val="20"/>
        </w:rPr>
        <w:t xml:space="preserve">perators </w:t>
      </w:r>
      <w:r w:rsidR="00ED2122">
        <w:rPr>
          <w:sz w:val="20"/>
          <w:szCs w:val="20"/>
        </w:rPr>
        <w:t>should be able to join the</w:t>
      </w:r>
      <w:r w:rsidRPr="00560488">
        <w:rPr>
          <w:sz w:val="20"/>
          <w:szCs w:val="20"/>
        </w:rPr>
        <w:t xml:space="preserve"> maintenance management scheme best suited to their needs. </w:t>
      </w:r>
    </w:p>
    <w:p w:rsidR="00D96172" w:rsidRPr="00560488" w:rsidRDefault="00D96172" w:rsidP="00D96172">
      <w:pPr>
        <w:rPr>
          <w:sz w:val="20"/>
          <w:szCs w:val="20"/>
        </w:rPr>
      </w:pPr>
    </w:p>
    <w:p w:rsidR="0031478A" w:rsidRPr="00560488" w:rsidRDefault="0031478A" w:rsidP="00F56A53">
      <w:pPr>
        <w:rPr>
          <w:sz w:val="20"/>
          <w:szCs w:val="20"/>
        </w:rPr>
      </w:pPr>
      <w:r w:rsidRPr="00560488">
        <w:rPr>
          <w:sz w:val="20"/>
          <w:szCs w:val="20"/>
        </w:rPr>
        <w:t xml:space="preserve">Many operators are </w:t>
      </w:r>
      <w:r w:rsidR="00AA7084" w:rsidRPr="00560488">
        <w:rPr>
          <w:sz w:val="20"/>
          <w:szCs w:val="20"/>
        </w:rPr>
        <w:t xml:space="preserve">also </w:t>
      </w:r>
      <w:r w:rsidR="00EE3457" w:rsidRPr="00560488">
        <w:rPr>
          <w:sz w:val="20"/>
          <w:szCs w:val="20"/>
        </w:rPr>
        <w:t xml:space="preserve">already </w:t>
      </w:r>
      <w:r w:rsidRPr="00560488">
        <w:rPr>
          <w:sz w:val="20"/>
          <w:szCs w:val="20"/>
        </w:rPr>
        <w:t xml:space="preserve">enrolled in TruckSafe® or ISO-certified systems and these arrangements provide higher levels of maintenance assurance </w:t>
      </w:r>
      <w:r w:rsidR="00EE3457" w:rsidRPr="00560488">
        <w:rPr>
          <w:sz w:val="20"/>
          <w:szCs w:val="20"/>
        </w:rPr>
        <w:t xml:space="preserve">(i.e. better on-road safety outcomes) </w:t>
      </w:r>
      <w:r w:rsidRPr="00560488">
        <w:rPr>
          <w:sz w:val="20"/>
          <w:szCs w:val="20"/>
        </w:rPr>
        <w:t xml:space="preserve">currently than the NHVAS. On this basis alone, there is no sound reason for forcing industry to join the government’s scheme. </w:t>
      </w:r>
    </w:p>
    <w:p w:rsidR="0031478A" w:rsidRDefault="0031478A" w:rsidP="00F56A53">
      <w:pPr>
        <w:rPr>
          <w:rFonts w:asciiTheme="minorHAnsi" w:hAnsiTheme="minorHAnsi" w:cs="Arial"/>
          <w:b/>
          <w:sz w:val="20"/>
          <w:szCs w:val="20"/>
        </w:rPr>
      </w:pPr>
    </w:p>
    <w:p w:rsidR="00761372" w:rsidRPr="00560488" w:rsidRDefault="00761372" w:rsidP="00761372">
      <w:pPr>
        <w:rPr>
          <w:b/>
          <w:bCs/>
          <w:i/>
          <w:sz w:val="20"/>
          <w:szCs w:val="20"/>
        </w:rPr>
      </w:pPr>
      <w:r w:rsidRPr="00560488">
        <w:rPr>
          <w:rFonts w:asciiTheme="minorHAnsi" w:hAnsiTheme="minorHAnsi" w:cs="Arial"/>
          <w:b/>
          <w:sz w:val="20"/>
          <w:szCs w:val="20"/>
        </w:rPr>
        <w:t>ATA recommendation 10  (</w:t>
      </w:r>
      <w:r w:rsidRPr="00560488">
        <w:rPr>
          <w:b/>
          <w:bCs/>
          <w:i/>
          <w:sz w:val="20"/>
          <w:szCs w:val="20"/>
        </w:rPr>
        <w:t>Opportunity 31)</w:t>
      </w:r>
    </w:p>
    <w:p w:rsidR="00761372" w:rsidRDefault="00761372" w:rsidP="00761372">
      <w:pPr>
        <w:rPr>
          <w:b/>
          <w:sz w:val="20"/>
          <w:szCs w:val="20"/>
        </w:rPr>
      </w:pPr>
      <w:r w:rsidRPr="00560488">
        <w:rPr>
          <w:b/>
          <w:sz w:val="20"/>
          <w:szCs w:val="20"/>
        </w:rPr>
        <w:t>Operators in high risk areas should be required to be in a maintenance management scheme</w:t>
      </w:r>
      <w:r>
        <w:rPr>
          <w:b/>
          <w:sz w:val="20"/>
          <w:szCs w:val="20"/>
        </w:rPr>
        <w:t xml:space="preserve"> (but not necessarily the NHVAS)</w:t>
      </w:r>
      <w:r w:rsidRPr="00560488">
        <w:rPr>
          <w:b/>
          <w:sz w:val="20"/>
          <w:szCs w:val="20"/>
        </w:rPr>
        <w:t>, which would enable them to choose the scheme best suited to their needs.</w:t>
      </w:r>
    </w:p>
    <w:p w:rsidR="00761372" w:rsidRDefault="00761372" w:rsidP="00F56A53">
      <w:pPr>
        <w:pStyle w:val="Heading1"/>
        <w:numPr>
          <w:ilvl w:val="0"/>
          <w:numId w:val="0"/>
        </w:numPr>
        <w:jc w:val="both"/>
        <w:rPr>
          <w:rFonts w:asciiTheme="minorHAnsi" w:hAnsiTheme="minorHAnsi"/>
          <w:color w:val="auto"/>
          <w:sz w:val="20"/>
          <w:szCs w:val="20"/>
        </w:rPr>
      </w:pPr>
    </w:p>
    <w:p w:rsidR="001F3F75" w:rsidRPr="00560488" w:rsidRDefault="00C90077" w:rsidP="00F56A53">
      <w:pPr>
        <w:pStyle w:val="Heading1"/>
        <w:numPr>
          <w:ilvl w:val="0"/>
          <w:numId w:val="0"/>
        </w:numPr>
        <w:jc w:val="both"/>
        <w:rPr>
          <w:rFonts w:asciiTheme="minorHAnsi" w:hAnsiTheme="minorHAnsi"/>
          <w:color w:val="auto"/>
          <w:sz w:val="20"/>
          <w:szCs w:val="20"/>
        </w:rPr>
      </w:pPr>
      <w:r w:rsidRPr="00560488">
        <w:rPr>
          <w:rFonts w:asciiTheme="minorHAnsi" w:hAnsiTheme="minorHAnsi"/>
          <w:color w:val="auto"/>
          <w:sz w:val="20"/>
          <w:szCs w:val="20"/>
        </w:rPr>
        <w:t xml:space="preserve">Management of </w:t>
      </w:r>
      <w:r w:rsidR="00972E60" w:rsidRPr="00560488">
        <w:rPr>
          <w:rFonts w:asciiTheme="minorHAnsi" w:hAnsiTheme="minorHAnsi"/>
          <w:color w:val="auto"/>
          <w:sz w:val="20"/>
          <w:szCs w:val="20"/>
        </w:rPr>
        <w:t>n</w:t>
      </w:r>
      <w:r w:rsidRPr="00560488">
        <w:rPr>
          <w:rFonts w:asciiTheme="minorHAnsi" w:hAnsiTheme="minorHAnsi"/>
          <w:color w:val="auto"/>
          <w:sz w:val="20"/>
          <w:szCs w:val="20"/>
        </w:rPr>
        <w:t>on-conformance</w:t>
      </w:r>
      <w:r w:rsidR="00463175">
        <w:rPr>
          <w:rFonts w:asciiTheme="minorHAnsi" w:hAnsiTheme="minorHAnsi"/>
          <w:color w:val="auto"/>
          <w:sz w:val="20"/>
          <w:szCs w:val="20"/>
        </w:rPr>
        <w:t>s</w:t>
      </w:r>
      <w:r w:rsidRPr="00560488">
        <w:rPr>
          <w:rFonts w:asciiTheme="minorHAnsi" w:hAnsiTheme="minorHAnsi"/>
          <w:color w:val="auto"/>
          <w:sz w:val="20"/>
          <w:szCs w:val="20"/>
        </w:rPr>
        <w:t xml:space="preserve"> </w:t>
      </w:r>
    </w:p>
    <w:p w:rsidR="001F3F75" w:rsidRPr="00560488" w:rsidRDefault="001F3F75" w:rsidP="00F56A53">
      <w:pPr>
        <w:pStyle w:val="ListParagraph"/>
        <w:spacing w:after="0" w:line="240" w:lineRule="auto"/>
        <w:ind w:left="0"/>
        <w:rPr>
          <w:sz w:val="20"/>
          <w:szCs w:val="20"/>
        </w:rPr>
      </w:pPr>
      <w:r w:rsidRPr="00560488">
        <w:rPr>
          <w:sz w:val="20"/>
          <w:szCs w:val="20"/>
        </w:rPr>
        <w:t xml:space="preserve">It comes as a surprise to the ATA that </w:t>
      </w:r>
      <w:r w:rsidR="006E75D6" w:rsidRPr="00560488">
        <w:rPr>
          <w:sz w:val="20"/>
          <w:szCs w:val="20"/>
        </w:rPr>
        <w:t xml:space="preserve">the </w:t>
      </w:r>
      <w:r w:rsidRPr="00560488">
        <w:rPr>
          <w:sz w:val="20"/>
          <w:szCs w:val="20"/>
        </w:rPr>
        <w:t xml:space="preserve">failure to resolve non-compliance </w:t>
      </w:r>
      <w:r w:rsidR="006E75D6" w:rsidRPr="00560488">
        <w:rPr>
          <w:sz w:val="20"/>
          <w:szCs w:val="20"/>
        </w:rPr>
        <w:t>under the NHVAS</w:t>
      </w:r>
      <w:r w:rsidRPr="00560488">
        <w:rPr>
          <w:sz w:val="20"/>
          <w:szCs w:val="20"/>
        </w:rPr>
        <w:t xml:space="preserve"> scheme does not result in suspension of NHVAS accreditation.</w:t>
      </w:r>
    </w:p>
    <w:p w:rsidR="00DA3607" w:rsidRPr="00560488" w:rsidRDefault="00DA3607" w:rsidP="00F56A53">
      <w:pPr>
        <w:rPr>
          <w:sz w:val="20"/>
          <w:szCs w:val="20"/>
        </w:rPr>
      </w:pPr>
    </w:p>
    <w:p w:rsidR="006E75D6" w:rsidRPr="00560488" w:rsidRDefault="00B77235" w:rsidP="00F56A53">
      <w:pPr>
        <w:rPr>
          <w:sz w:val="20"/>
          <w:szCs w:val="20"/>
        </w:rPr>
      </w:pPr>
      <w:r w:rsidRPr="00560488">
        <w:rPr>
          <w:sz w:val="20"/>
          <w:szCs w:val="20"/>
        </w:rPr>
        <w:t xml:space="preserve">The </w:t>
      </w:r>
      <w:r w:rsidR="006E75D6" w:rsidRPr="00560488">
        <w:rPr>
          <w:sz w:val="20"/>
          <w:szCs w:val="20"/>
        </w:rPr>
        <w:t xml:space="preserve">NHVAS review </w:t>
      </w:r>
      <w:r w:rsidRPr="00560488">
        <w:rPr>
          <w:sz w:val="20"/>
          <w:szCs w:val="20"/>
        </w:rPr>
        <w:t>should look into</w:t>
      </w:r>
      <w:r w:rsidR="006E75D6" w:rsidRPr="00560488">
        <w:rPr>
          <w:sz w:val="20"/>
          <w:szCs w:val="20"/>
        </w:rPr>
        <w:t xml:space="preserve"> the ability of an auditor to lodge NCR</w:t>
      </w:r>
      <w:r w:rsidRPr="00560488">
        <w:rPr>
          <w:sz w:val="20"/>
          <w:szCs w:val="20"/>
        </w:rPr>
        <w:t>s</w:t>
      </w:r>
      <w:r w:rsidR="006E75D6" w:rsidRPr="00560488">
        <w:rPr>
          <w:sz w:val="20"/>
          <w:szCs w:val="20"/>
        </w:rPr>
        <w:t xml:space="preserve"> </w:t>
      </w:r>
      <w:r w:rsidRPr="00560488">
        <w:rPr>
          <w:sz w:val="20"/>
          <w:szCs w:val="20"/>
        </w:rPr>
        <w:t xml:space="preserve">and </w:t>
      </w:r>
      <w:r w:rsidR="006E75D6" w:rsidRPr="00560488">
        <w:rPr>
          <w:sz w:val="20"/>
          <w:szCs w:val="20"/>
        </w:rPr>
        <w:t>prevent</w:t>
      </w:r>
      <w:r w:rsidR="001217F7" w:rsidRPr="00560488">
        <w:rPr>
          <w:sz w:val="20"/>
          <w:szCs w:val="20"/>
        </w:rPr>
        <w:t>ing</w:t>
      </w:r>
      <w:r w:rsidR="006E75D6" w:rsidRPr="00560488">
        <w:rPr>
          <w:sz w:val="20"/>
          <w:szCs w:val="20"/>
        </w:rPr>
        <w:t xml:space="preserve"> customers</w:t>
      </w:r>
      <w:r w:rsidR="00D96172" w:rsidRPr="00560488">
        <w:rPr>
          <w:sz w:val="20"/>
          <w:szCs w:val="20"/>
        </w:rPr>
        <w:t xml:space="preserve"> from</w:t>
      </w:r>
      <w:r w:rsidR="006E75D6" w:rsidRPr="00560488">
        <w:rPr>
          <w:sz w:val="20"/>
          <w:szCs w:val="20"/>
        </w:rPr>
        <w:t xml:space="preserve"> choos</w:t>
      </w:r>
      <w:r w:rsidR="00097E4A" w:rsidRPr="00560488">
        <w:rPr>
          <w:sz w:val="20"/>
          <w:szCs w:val="20"/>
        </w:rPr>
        <w:t>ing</w:t>
      </w:r>
      <w:r w:rsidR="006E75D6" w:rsidRPr="00560488">
        <w:rPr>
          <w:sz w:val="20"/>
          <w:szCs w:val="20"/>
        </w:rPr>
        <w:t xml:space="preserve"> a different auditor if </w:t>
      </w:r>
      <w:r w:rsidR="00D96172" w:rsidRPr="00560488">
        <w:rPr>
          <w:sz w:val="20"/>
          <w:szCs w:val="20"/>
        </w:rPr>
        <w:t xml:space="preserve">they are </w:t>
      </w:r>
      <w:r w:rsidR="006E75D6" w:rsidRPr="00560488">
        <w:rPr>
          <w:sz w:val="20"/>
          <w:szCs w:val="20"/>
        </w:rPr>
        <w:t>unhappy with the audit results.</w:t>
      </w:r>
      <w:r w:rsidRPr="00560488">
        <w:rPr>
          <w:sz w:val="20"/>
          <w:szCs w:val="20"/>
        </w:rPr>
        <w:t xml:space="preserve"> Managing </w:t>
      </w:r>
      <w:r w:rsidR="006E75D6" w:rsidRPr="00560488">
        <w:rPr>
          <w:sz w:val="20"/>
          <w:szCs w:val="20"/>
        </w:rPr>
        <w:t xml:space="preserve">reporting of data </w:t>
      </w:r>
      <w:r w:rsidR="00D96172" w:rsidRPr="00560488">
        <w:rPr>
          <w:sz w:val="20"/>
          <w:szCs w:val="20"/>
        </w:rPr>
        <w:t xml:space="preserve">will be </w:t>
      </w:r>
      <w:r w:rsidRPr="00560488">
        <w:rPr>
          <w:sz w:val="20"/>
          <w:szCs w:val="20"/>
        </w:rPr>
        <w:t xml:space="preserve">important </w:t>
      </w:r>
      <w:r w:rsidR="001217F7" w:rsidRPr="00560488">
        <w:rPr>
          <w:sz w:val="20"/>
          <w:szCs w:val="20"/>
        </w:rPr>
        <w:t xml:space="preserve">if used to </w:t>
      </w:r>
      <w:r w:rsidRPr="00560488">
        <w:rPr>
          <w:sz w:val="20"/>
          <w:szCs w:val="20"/>
        </w:rPr>
        <w:t xml:space="preserve"> manage client</w:t>
      </w:r>
      <w:r w:rsidR="00D96172" w:rsidRPr="00560488">
        <w:rPr>
          <w:sz w:val="20"/>
          <w:szCs w:val="20"/>
        </w:rPr>
        <w:t>s</w:t>
      </w:r>
      <w:r w:rsidRPr="00560488">
        <w:rPr>
          <w:sz w:val="20"/>
          <w:szCs w:val="20"/>
        </w:rPr>
        <w:t xml:space="preserve"> and designed to avoid </w:t>
      </w:r>
      <w:r w:rsidR="006E75D6" w:rsidRPr="00560488">
        <w:rPr>
          <w:sz w:val="20"/>
          <w:szCs w:val="20"/>
        </w:rPr>
        <w:t xml:space="preserve">paperwork </w:t>
      </w:r>
      <w:r w:rsidR="00E502B7" w:rsidRPr="00560488">
        <w:rPr>
          <w:sz w:val="20"/>
          <w:szCs w:val="20"/>
        </w:rPr>
        <w:t>exercise</w:t>
      </w:r>
      <w:r w:rsidR="00D96172" w:rsidRPr="00560488">
        <w:rPr>
          <w:sz w:val="20"/>
          <w:szCs w:val="20"/>
        </w:rPr>
        <w:t>s</w:t>
      </w:r>
      <w:r w:rsidR="006E75D6" w:rsidRPr="00560488">
        <w:rPr>
          <w:sz w:val="20"/>
          <w:szCs w:val="20"/>
        </w:rPr>
        <w:t xml:space="preserve"> </w:t>
      </w:r>
      <w:r w:rsidRPr="00560488">
        <w:rPr>
          <w:sz w:val="20"/>
          <w:szCs w:val="20"/>
        </w:rPr>
        <w:t xml:space="preserve">such as that </w:t>
      </w:r>
      <w:r w:rsidR="001217F7" w:rsidRPr="00560488">
        <w:rPr>
          <w:sz w:val="20"/>
          <w:szCs w:val="20"/>
        </w:rPr>
        <w:t xml:space="preserve">for </w:t>
      </w:r>
      <w:r w:rsidR="006E75D6" w:rsidRPr="00560488">
        <w:rPr>
          <w:sz w:val="20"/>
          <w:szCs w:val="20"/>
        </w:rPr>
        <w:t>data currently recorded</w:t>
      </w:r>
      <w:r w:rsidRPr="00560488">
        <w:rPr>
          <w:sz w:val="20"/>
          <w:szCs w:val="20"/>
        </w:rPr>
        <w:t xml:space="preserve"> in the system</w:t>
      </w:r>
      <w:r w:rsidR="006E75D6" w:rsidRPr="00560488">
        <w:rPr>
          <w:sz w:val="20"/>
          <w:szCs w:val="20"/>
        </w:rPr>
        <w:t xml:space="preserve">. </w:t>
      </w:r>
    </w:p>
    <w:p w:rsidR="00962670" w:rsidRPr="00560488" w:rsidRDefault="00962670" w:rsidP="00F56A53">
      <w:pPr>
        <w:rPr>
          <w:sz w:val="20"/>
          <w:szCs w:val="20"/>
        </w:rPr>
      </w:pPr>
    </w:p>
    <w:p w:rsidR="00962670" w:rsidRPr="00560488" w:rsidRDefault="00962670" w:rsidP="00962670">
      <w:pPr>
        <w:rPr>
          <w:sz w:val="20"/>
          <w:szCs w:val="20"/>
        </w:rPr>
      </w:pPr>
      <w:r w:rsidRPr="00560488">
        <w:rPr>
          <w:sz w:val="20"/>
          <w:szCs w:val="20"/>
        </w:rPr>
        <w:t xml:space="preserve">The national audit matrix, used to assess and confirm maintenance compliance with accreditation standards and criteria, should </w:t>
      </w:r>
      <w:r w:rsidR="003D4709" w:rsidRPr="00560488">
        <w:rPr>
          <w:sz w:val="20"/>
          <w:szCs w:val="20"/>
        </w:rPr>
        <w:t xml:space="preserve">also </w:t>
      </w:r>
      <w:r w:rsidRPr="00560488">
        <w:rPr>
          <w:sz w:val="20"/>
          <w:szCs w:val="20"/>
        </w:rPr>
        <w:t xml:space="preserve">be updated. </w:t>
      </w:r>
      <w:r w:rsidR="003D4709" w:rsidRPr="00560488">
        <w:rPr>
          <w:sz w:val="20"/>
          <w:szCs w:val="20"/>
        </w:rPr>
        <w:t>It</w:t>
      </w:r>
      <w:r w:rsidRPr="00560488">
        <w:rPr>
          <w:sz w:val="20"/>
          <w:szCs w:val="20"/>
        </w:rPr>
        <w:t xml:space="preserve"> has been in use for some time and </w:t>
      </w:r>
      <w:r w:rsidR="003D4709" w:rsidRPr="00560488">
        <w:rPr>
          <w:sz w:val="20"/>
          <w:szCs w:val="20"/>
        </w:rPr>
        <w:t>should</w:t>
      </w:r>
      <w:r w:rsidRPr="00560488">
        <w:rPr>
          <w:sz w:val="20"/>
          <w:szCs w:val="20"/>
        </w:rPr>
        <w:t xml:space="preserve"> reflect any </w:t>
      </w:r>
      <w:r w:rsidR="003D4709" w:rsidRPr="00560488">
        <w:rPr>
          <w:sz w:val="20"/>
          <w:szCs w:val="20"/>
        </w:rPr>
        <w:t xml:space="preserve">further </w:t>
      </w:r>
      <w:r w:rsidRPr="00560488">
        <w:rPr>
          <w:sz w:val="20"/>
          <w:szCs w:val="20"/>
        </w:rPr>
        <w:t>developments.</w:t>
      </w:r>
    </w:p>
    <w:p w:rsidR="00326D65" w:rsidRPr="00560488" w:rsidRDefault="00326D65" w:rsidP="00F56A53">
      <w:pPr>
        <w:pStyle w:val="Heading1"/>
        <w:numPr>
          <w:ilvl w:val="0"/>
          <w:numId w:val="0"/>
        </w:numPr>
        <w:jc w:val="both"/>
        <w:rPr>
          <w:rFonts w:asciiTheme="minorHAnsi" w:hAnsiTheme="minorHAnsi"/>
          <w:color w:val="auto"/>
          <w:sz w:val="20"/>
          <w:szCs w:val="20"/>
        </w:rPr>
      </w:pPr>
    </w:p>
    <w:p w:rsidR="008E530C" w:rsidRPr="00560488" w:rsidRDefault="008E530C" w:rsidP="00F56A53">
      <w:pPr>
        <w:pStyle w:val="Heading1"/>
        <w:numPr>
          <w:ilvl w:val="0"/>
          <w:numId w:val="0"/>
        </w:numPr>
        <w:jc w:val="both"/>
        <w:rPr>
          <w:rFonts w:asciiTheme="minorHAnsi" w:hAnsiTheme="minorHAnsi"/>
          <w:color w:val="auto"/>
          <w:sz w:val="20"/>
          <w:szCs w:val="20"/>
        </w:rPr>
      </w:pPr>
      <w:r w:rsidRPr="00560488">
        <w:rPr>
          <w:rFonts w:asciiTheme="minorHAnsi" w:hAnsiTheme="minorHAnsi"/>
          <w:color w:val="auto"/>
          <w:sz w:val="20"/>
          <w:szCs w:val="20"/>
        </w:rPr>
        <w:t xml:space="preserve">Auditor </w:t>
      </w:r>
      <w:r w:rsidR="00C90077" w:rsidRPr="00560488">
        <w:rPr>
          <w:rFonts w:asciiTheme="minorHAnsi" w:hAnsiTheme="minorHAnsi"/>
          <w:color w:val="auto"/>
          <w:sz w:val="20"/>
          <w:szCs w:val="20"/>
        </w:rPr>
        <w:t>l</w:t>
      </w:r>
      <w:r w:rsidRPr="00560488">
        <w:rPr>
          <w:rFonts w:asciiTheme="minorHAnsi" w:hAnsiTheme="minorHAnsi"/>
          <w:color w:val="auto"/>
          <w:sz w:val="20"/>
          <w:szCs w:val="20"/>
        </w:rPr>
        <w:t xml:space="preserve">iability and </w:t>
      </w:r>
      <w:r w:rsidR="00625A8B" w:rsidRPr="00560488">
        <w:rPr>
          <w:rFonts w:asciiTheme="minorHAnsi" w:hAnsiTheme="minorHAnsi"/>
          <w:color w:val="auto"/>
          <w:sz w:val="20"/>
          <w:szCs w:val="20"/>
        </w:rPr>
        <w:t>i</w:t>
      </w:r>
      <w:r w:rsidRPr="00560488">
        <w:rPr>
          <w:rFonts w:asciiTheme="minorHAnsi" w:hAnsiTheme="minorHAnsi"/>
          <w:color w:val="auto"/>
          <w:sz w:val="20"/>
          <w:szCs w:val="20"/>
        </w:rPr>
        <w:t xml:space="preserve">nsurance </w:t>
      </w:r>
    </w:p>
    <w:p w:rsidR="008E530C" w:rsidRPr="00560488" w:rsidRDefault="00723650" w:rsidP="00F56A53">
      <w:pPr>
        <w:rPr>
          <w:sz w:val="20"/>
          <w:szCs w:val="20"/>
        </w:rPr>
      </w:pPr>
      <w:r w:rsidRPr="00560488">
        <w:rPr>
          <w:sz w:val="20"/>
          <w:szCs w:val="20"/>
        </w:rPr>
        <w:t xml:space="preserve">It is imperative </w:t>
      </w:r>
      <w:r w:rsidR="00625A8B" w:rsidRPr="00560488">
        <w:rPr>
          <w:sz w:val="20"/>
          <w:szCs w:val="20"/>
        </w:rPr>
        <w:t xml:space="preserve">that </w:t>
      </w:r>
      <w:r w:rsidRPr="00560488">
        <w:rPr>
          <w:sz w:val="20"/>
          <w:szCs w:val="20"/>
        </w:rPr>
        <w:t xml:space="preserve">scheme auditors are </w:t>
      </w:r>
      <w:r w:rsidR="00625A8B" w:rsidRPr="00560488">
        <w:rPr>
          <w:sz w:val="20"/>
          <w:szCs w:val="20"/>
        </w:rPr>
        <w:t>covered</w:t>
      </w:r>
      <w:r w:rsidRPr="00560488">
        <w:rPr>
          <w:sz w:val="20"/>
          <w:szCs w:val="20"/>
        </w:rPr>
        <w:t xml:space="preserve"> with suitable </w:t>
      </w:r>
      <w:r w:rsidR="008E530C" w:rsidRPr="00560488">
        <w:rPr>
          <w:sz w:val="20"/>
          <w:szCs w:val="20"/>
        </w:rPr>
        <w:t xml:space="preserve">professional indemnity / public liability </w:t>
      </w:r>
      <w:r w:rsidR="00625A8B" w:rsidRPr="00560488">
        <w:rPr>
          <w:sz w:val="20"/>
          <w:szCs w:val="20"/>
        </w:rPr>
        <w:t>insurance</w:t>
      </w:r>
      <w:r w:rsidR="008E530C" w:rsidRPr="00560488">
        <w:rPr>
          <w:sz w:val="20"/>
          <w:szCs w:val="20"/>
        </w:rPr>
        <w:t>.</w:t>
      </w:r>
    </w:p>
    <w:p w:rsidR="00EE44F7" w:rsidRDefault="00EE44F7" w:rsidP="00F46F10">
      <w:pPr>
        <w:rPr>
          <w:rFonts w:asciiTheme="minorHAnsi" w:hAnsiTheme="minorHAnsi"/>
          <w:b/>
          <w:sz w:val="20"/>
          <w:szCs w:val="20"/>
        </w:rPr>
      </w:pPr>
    </w:p>
    <w:p w:rsidR="00F46F10" w:rsidRPr="00560488" w:rsidRDefault="002D23D4" w:rsidP="00F46F10">
      <w:pPr>
        <w:rPr>
          <w:sz w:val="20"/>
          <w:szCs w:val="20"/>
        </w:rPr>
      </w:pPr>
      <w:r w:rsidRPr="00560488">
        <w:rPr>
          <w:rFonts w:asciiTheme="minorHAnsi" w:hAnsiTheme="minorHAnsi"/>
          <w:b/>
          <w:sz w:val="20"/>
          <w:szCs w:val="20"/>
        </w:rPr>
        <w:t>Auditor</w:t>
      </w:r>
      <w:r w:rsidR="006B473B" w:rsidRPr="00560488">
        <w:rPr>
          <w:rFonts w:asciiTheme="minorHAnsi" w:hAnsiTheme="minorHAnsi"/>
          <w:b/>
          <w:sz w:val="20"/>
          <w:szCs w:val="20"/>
        </w:rPr>
        <w:t xml:space="preserve"> s</w:t>
      </w:r>
      <w:r w:rsidR="00625A8B" w:rsidRPr="00560488">
        <w:rPr>
          <w:rFonts w:asciiTheme="minorHAnsi" w:hAnsiTheme="minorHAnsi"/>
          <w:b/>
          <w:sz w:val="20"/>
          <w:szCs w:val="20"/>
        </w:rPr>
        <w:t>election</w:t>
      </w:r>
      <w:r w:rsidR="006B473B" w:rsidRPr="00560488">
        <w:rPr>
          <w:rFonts w:asciiTheme="minorHAnsi" w:hAnsiTheme="minorHAnsi"/>
          <w:sz w:val="20"/>
          <w:szCs w:val="20"/>
        </w:rPr>
        <w:br/>
      </w:r>
      <w:r w:rsidR="00720054" w:rsidRPr="00560488">
        <w:rPr>
          <w:sz w:val="20"/>
          <w:szCs w:val="20"/>
        </w:rPr>
        <w:t>The</w:t>
      </w:r>
      <w:r w:rsidR="00E13954" w:rsidRPr="00560488">
        <w:rPr>
          <w:sz w:val="20"/>
          <w:szCs w:val="20"/>
        </w:rPr>
        <w:t xml:space="preserve"> </w:t>
      </w:r>
      <w:r w:rsidR="00E502B7" w:rsidRPr="00560488">
        <w:rPr>
          <w:sz w:val="20"/>
          <w:szCs w:val="20"/>
        </w:rPr>
        <w:t xml:space="preserve">NHVR </w:t>
      </w:r>
      <w:r w:rsidR="006A6A6A" w:rsidRPr="00560488">
        <w:rPr>
          <w:sz w:val="20"/>
          <w:szCs w:val="20"/>
        </w:rPr>
        <w:t>does not undertake</w:t>
      </w:r>
      <w:r w:rsidR="00E502B7" w:rsidRPr="00560488">
        <w:rPr>
          <w:sz w:val="20"/>
          <w:szCs w:val="20"/>
        </w:rPr>
        <w:t xml:space="preserve"> </w:t>
      </w:r>
      <w:r w:rsidR="00720054" w:rsidRPr="00560488">
        <w:rPr>
          <w:sz w:val="20"/>
          <w:szCs w:val="20"/>
        </w:rPr>
        <w:t xml:space="preserve">auditor </w:t>
      </w:r>
      <w:r w:rsidR="00E502B7" w:rsidRPr="00560488">
        <w:rPr>
          <w:sz w:val="20"/>
          <w:szCs w:val="20"/>
        </w:rPr>
        <w:t>certification</w:t>
      </w:r>
      <w:r w:rsidR="00720054" w:rsidRPr="00560488">
        <w:rPr>
          <w:sz w:val="20"/>
          <w:szCs w:val="20"/>
        </w:rPr>
        <w:t xml:space="preserve"> and</w:t>
      </w:r>
      <w:r w:rsidR="00E502B7" w:rsidRPr="00560488">
        <w:rPr>
          <w:sz w:val="20"/>
          <w:szCs w:val="20"/>
        </w:rPr>
        <w:t xml:space="preserve"> </w:t>
      </w:r>
      <w:r w:rsidR="00F46F10" w:rsidRPr="00560488">
        <w:rPr>
          <w:sz w:val="20"/>
          <w:szCs w:val="20"/>
        </w:rPr>
        <w:t xml:space="preserve">the national system for registering auditors </w:t>
      </w:r>
      <w:r w:rsidR="00720054" w:rsidRPr="00560488">
        <w:rPr>
          <w:sz w:val="20"/>
          <w:szCs w:val="20"/>
        </w:rPr>
        <w:t>(</w:t>
      </w:r>
      <w:r w:rsidR="00F46F10" w:rsidRPr="00560488">
        <w:rPr>
          <w:sz w:val="20"/>
          <w:szCs w:val="20"/>
        </w:rPr>
        <w:t>NHVAA</w:t>
      </w:r>
      <w:r w:rsidR="00720054" w:rsidRPr="00560488">
        <w:rPr>
          <w:sz w:val="20"/>
          <w:szCs w:val="20"/>
        </w:rPr>
        <w:t>)</w:t>
      </w:r>
      <w:r w:rsidR="00F46F10" w:rsidRPr="00560488">
        <w:rPr>
          <w:sz w:val="20"/>
          <w:szCs w:val="20"/>
        </w:rPr>
        <w:t xml:space="preserve"> is </w:t>
      </w:r>
      <w:r w:rsidR="00E502B7" w:rsidRPr="00560488">
        <w:rPr>
          <w:sz w:val="20"/>
          <w:szCs w:val="20"/>
        </w:rPr>
        <w:t xml:space="preserve">handled </w:t>
      </w:r>
      <w:r w:rsidR="00E13954" w:rsidRPr="00560488">
        <w:rPr>
          <w:sz w:val="20"/>
          <w:szCs w:val="20"/>
        </w:rPr>
        <w:t xml:space="preserve">currently </w:t>
      </w:r>
      <w:r w:rsidR="00E502B7" w:rsidRPr="00560488">
        <w:rPr>
          <w:sz w:val="20"/>
          <w:szCs w:val="20"/>
        </w:rPr>
        <w:t xml:space="preserve">by </w:t>
      </w:r>
      <w:r w:rsidR="007E3B51" w:rsidRPr="00560488">
        <w:rPr>
          <w:sz w:val="20"/>
          <w:szCs w:val="20"/>
        </w:rPr>
        <w:t xml:space="preserve">third party </w:t>
      </w:r>
      <w:r w:rsidR="00E502B7" w:rsidRPr="00560488">
        <w:rPr>
          <w:sz w:val="20"/>
          <w:szCs w:val="20"/>
        </w:rPr>
        <w:t xml:space="preserve">Exemplar Global. </w:t>
      </w:r>
      <w:r w:rsidR="00F46F10" w:rsidRPr="00560488">
        <w:rPr>
          <w:sz w:val="20"/>
          <w:szCs w:val="20"/>
        </w:rPr>
        <w:t>There are avenues for auditor performance to be monitored. If auditor performance is in question</w:t>
      </w:r>
      <w:r w:rsidR="00720054" w:rsidRPr="00560488">
        <w:rPr>
          <w:sz w:val="20"/>
          <w:szCs w:val="20"/>
        </w:rPr>
        <w:t>,</w:t>
      </w:r>
      <w:r w:rsidR="00F46F10" w:rsidRPr="00560488">
        <w:rPr>
          <w:sz w:val="20"/>
          <w:szCs w:val="20"/>
        </w:rPr>
        <w:t xml:space="preserve"> the NHVR</w:t>
      </w:r>
      <w:r w:rsidR="00720054" w:rsidRPr="00560488">
        <w:rPr>
          <w:sz w:val="20"/>
          <w:szCs w:val="20"/>
        </w:rPr>
        <w:t>,</w:t>
      </w:r>
      <w:r w:rsidR="00F46F10" w:rsidRPr="00560488">
        <w:rPr>
          <w:sz w:val="20"/>
          <w:szCs w:val="20"/>
        </w:rPr>
        <w:t xml:space="preserve"> as the accrediting agency</w:t>
      </w:r>
      <w:r w:rsidR="00720054" w:rsidRPr="00560488">
        <w:rPr>
          <w:sz w:val="20"/>
          <w:szCs w:val="20"/>
        </w:rPr>
        <w:t>,</w:t>
      </w:r>
      <w:r w:rsidR="00F46F10" w:rsidRPr="00560488">
        <w:rPr>
          <w:sz w:val="20"/>
          <w:szCs w:val="20"/>
        </w:rPr>
        <w:t xml:space="preserve"> can apply through  Exemplar Global to review and ask an auditor to show cause.</w:t>
      </w:r>
    </w:p>
    <w:p w:rsidR="001D124B" w:rsidRPr="00560488" w:rsidRDefault="001D124B" w:rsidP="00F56A53">
      <w:pPr>
        <w:pStyle w:val="Heading1"/>
        <w:numPr>
          <w:ilvl w:val="0"/>
          <w:numId w:val="0"/>
        </w:numPr>
        <w:rPr>
          <w:rFonts w:ascii="Calibri" w:hAnsi="Calibri" w:cs="Times New Roman"/>
          <w:b w:val="0"/>
          <w:color w:val="auto"/>
          <w:sz w:val="20"/>
          <w:szCs w:val="20"/>
        </w:rPr>
      </w:pPr>
    </w:p>
    <w:p w:rsidR="00625A8B" w:rsidRPr="00560488" w:rsidRDefault="00625A8B" w:rsidP="00F56A53">
      <w:pPr>
        <w:rPr>
          <w:sz w:val="20"/>
          <w:szCs w:val="20"/>
        </w:rPr>
      </w:pPr>
      <w:r w:rsidRPr="00560488">
        <w:rPr>
          <w:sz w:val="20"/>
          <w:szCs w:val="20"/>
        </w:rPr>
        <w:t>The ATA agrees</w:t>
      </w:r>
      <w:r w:rsidR="00463175">
        <w:rPr>
          <w:sz w:val="20"/>
          <w:szCs w:val="20"/>
        </w:rPr>
        <w:t xml:space="preserve"> that </w:t>
      </w:r>
      <w:r w:rsidRPr="00560488">
        <w:rPr>
          <w:sz w:val="20"/>
          <w:szCs w:val="20"/>
        </w:rPr>
        <w:t xml:space="preserve">‘selection bias’ and/or the development of a working relationship between auditor and auditee engaged by the company and returning year on year has </w:t>
      </w:r>
      <w:r w:rsidR="00463175">
        <w:rPr>
          <w:sz w:val="20"/>
          <w:szCs w:val="20"/>
        </w:rPr>
        <w:t xml:space="preserve">the </w:t>
      </w:r>
      <w:r w:rsidRPr="00560488">
        <w:rPr>
          <w:sz w:val="20"/>
          <w:szCs w:val="20"/>
        </w:rPr>
        <w:t>potential to compromise the impartiality of the auditor process – opening the way for criticism of the system that may/may not be warranted. Th</w:t>
      </w:r>
      <w:r w:rsidR="006B473B" w:rsidRPr="00560488">
        <w:rPr>
          <w:sz w:val="20"/>
          <w:szCs w:val="20"/>
        </w:rPr>
        <w:t>e</w:t>
      </w:r>
      <w:r w:rsidRPr="00560488">
        <w:rPr>
          <w:sz w:val="20"/>
          <w:szCs w:val="20"/>
        </w:rPr>
        <w:t xml:space="preserve"> issue is magnified in smaller jurisdictions where degrees of separation between approved heavy vehicle auditors and trucking companies are small and relationships m pre-existing. The ATA supports implementation of third party appointment</w:t>
      </w:r>
      <w:r w:rsidR="00051A46" w:rsidRPr="00560488">
        <w:rPr>
          <w:sz w:val="20"/>
          <w:szCs w:val="20"/>
        </w:rPr>
        <w:t>s</w:t>
      </w:r>
      <w:r w:rsidRPr="00560488">
        <w:rPr>
          <w:sz w:val="20"/>
          <w:szCs w:val="20"/>
        </w:rPr>
        <w:t xml:space="preserve"> triggered by notification from the NHVR or jurisdiction and believes WA has taken some steps to implement this.</w:t>
      </w:r>
    </w:p>
    <w:p w:rsidR="00E502B7" w:rsidRPr="00560488" w:rsidRDefault="00E502B7" w:rsidP="00F56A53">
      <w:pPr>
        <w:rPr>
          <w:sz w:val="20"/>
          <w:szCs w:val="20"/>
        </w:rPr>
      </w:pPr>
    </w:p>
    <w:p w:rsidR="008E530C" w:rsidRPr="00560488" w:rsidRDefault="008E530C" w:rsidP="00F56A53">
      <w:pPr>
        <w:rPr>
          <w:sz w:val="20"/>
          <w:szCs w:val="20"/>
        </w:rPr>
      </w:pPr>
      <w:r w:rsidRPr="00560488">
        <w:rPr>
          <w:sz w:val="20"/>
          <w:szCs w:val="20"/>
        </w:rPr>
        <w:t xml:space="preserve">Provisions for removing auditors from </w:t>
      </w:r>
      <w:r w:rsidR="002475BC" w:rsidRPr="00560488">
        <w:rPr>
          <w:sz w:val="20"/>
          <w:szCs w:val="20"/>
        </w:rPr>
        <w:t>a</w:t>
      </w:r>
      <w:r w:rsidRPr="00560488">
        <w:rPr>
          <w:sz w:val="20"/>
          <w:szCs w:val="20"/>
        </w:rPr>
        <w:t xml:space="preserve"> scheme under certain conditions and formal procedures for lodging complaints are essential components of any formal system and provide rigour. Tightening the framework </w:t>
      </w:r>
      <w:r w:rsidR="00B02E59" w:rsidRPr="00560488">
        <w:rPr>
          <w:sz w:val="20"/>
          <w:szCs w:val="20"/>
        </w:rPr>
        <w:t xml:space="preserve">and </w:t>
      </w:r>
      <w:r w:rsidRPr="00560488">
        <w:rPr>
          <w:sz w:val="20"/>
          <w:szCs w:val="20"/>
        </w:rPr>
        <w:t>corporate governance requirements appear</w:t>
      </w:r>
      <w:r w:rsidR="00B02E59" w:rsidRPr="00560488">
        <w:rPr>
          <w:sz w:val="20"/>
          <w:szCs w:val="20"/>
        </w:rPr>
        <w:t>s</w:t>
      </w:r>
      <w:r w:rsidRPr="00560488">
        <w:rPr>
          <w:sz w:val="20"/>
          <w:szCs w:val="20"/>
        </w:rPr>
        <w:t xml:space="preserve"> to overdue and </w:t>
      </w:r>
      <w:r w:rsidR="00B02E59" w:rsidRPr="00560488">
        <w:rPr>
          <w:sz w:val="20"/>
          <w:szCs w:val="20"/>
        </w:rPr>
        <w:t>will</w:t>
      </w:r>
      <w:r w:rsidRPr="00560488">
        <w:rPr>
          <w:sz w:val="20"/>
          <w:szCs w:val="20"/>
        </w:rPr>
        <w:t xml:space="preserve"> complement other changes.</w:t>
      </w:r>
    </w:p>
    <w:p w:rsidR="00F46F10" w:rsidRPr="00560488" w:rsidRDefault="00F46F10" w:rsidP="00F56A53">
      <w:pPr>
        <w:rPr>
          <w:sz w:val="20"/>
          <w:szCs w:val="20"/>
        </w:rPr>
      </w:pPr>
    </w:p>
    <w:p w:rsidR="002475BC" w:rsidRPr="00560488" w:rsidRDefault="002475BC" w:rsidP="00F56A53">
      <w:pPr>
        <w:pStyle w:val="Heading1"/>
        <w:numPr>
          <w:ilvl w:val="0"/>
          <w:numId w:val="0"/>
        </w:numPr>
        <w:jc w:val="both"/>
        <w:rPr>
          <w:rFonts w:asciiTheme="minorHAnsi" w:hAnsiTheme="minorHAnsi"/>
          <w:color w:val="auto"/>
          <w:sz w:val="20"/>
          <w:szCs w:val="20"/>
        </w:rPr>
      </w:pPr>
      <w:r w:rsidRPr="00560488">
        <w:rPr>
          <w:rFonts w:asciiTheme="minorHAnsi" w:hAnsiTheme="minorHAnsi"/>
          <w:color w:val="auto"/>
          <w:sz w:val="20"/>
          <w:szCs w:val="20"/>
        </w:rPr>
        <w:t>Consultancy</w:t>
      </w:r>
    </w:p>
    <w:p w:rsidR="002475BC" w:rsidRPr="00560488" w:rsidRDefault="00874C74" w:rsidP="00F56A53">
      <w:pPr>
        <w:rPr>
          <w:sz w:val="20"/>
          <w:szCs w:val="20"/>
        </w:rPr>
      </w:pPr>
      <w:r w:rsidRPr="00560488">
        <w:rPr>
          <w:sz w:val="20"/>
          <w:szCs w:val="20"/>
        </w:rPr>
        <w:t>Elsewhere</w:t>
      </w:r>
      <w:r w:rsidR="002475BC" w:rsidRPr="00560488">
        <w:rPr>
          <w:sz w:val="20"/>
          <w:szCs w:val="20"/>
        </w:rPr>
        <w:t xml:space="preserve"> there is a delineation between services that can be supplied by a  1</w:t>
      </w:r>
      <w:r w:rsidR="002475BC" w:rsidRPr="00560488">
        <w:rPr>
          <w:sz w:val="20"/>
          <w:szCs w:val="20"/>
          <w:vertAlign w:val="superscript"/>
        </w:rPr>
        <w:t>st</w:t>
      </w:r>
      <w:r w:rsidR="002475BC" w:rsidRPr="00560488">
        <w:rPr>
          <w:sz w:val="20"/>
          <w:szCs w:val="20"/>
        </w:rPr>
        <w:t xml:space="preserve"> tier, 2</w:t>
      </w:r>
      <w:r w:rsidR="002475BC" w:rsidRPr="00560488">
        <w:rPr>
          <w:sz w:val="20"/>
          <w:szCs w:val="20"/>
          <w:vertAlign w:val="superscript"/>
        </w:rPr>
        <w:t>nd</w:t>
      </w:r>
      <w:r w:rsidR="002475BC" w:rsidRPr="00560488">
        <w:rPr>
          <w:sz w:val="20"/>
          <w:szCs w:val="20"/>
        </w:rPr>
        <w:t xml:space="preserve"> tier or 3</w:t>
      </w:r>
      <w:r w:rsidR="002475BC" w:rsidRPr="00560488">
        <w:rPr>
          <w:sz w:val="20"/>
          <w:szCs w:val="20"/>
          <w:vertAlign w:val="superscript"/>
        </w:rPr>
        <w:t>rd</w:t>
      </w:r>
      <w:r w:rsidR="002475BC" w:rsidRPr="00560488">
        <w:rPr>
          <w:sz w:val="20"/>
          <w:szCs w:val="20"/>
        </w:rPr>
        <w:t xml:space="preserve"> tier auditor.  Such auditors fit the category of third tier (approved by Exemplar Global</w:t>
      </w:r>
      <w:r w:rsidRPr="00560488">
        <w:rPr>
          <w:rStyle w:val="FootnoteReference"/>
          <w:sz w:val="20"/>
          <w:szCs w:val="20"/>
        </w:rPr>
        <w:footnoteReference w:id="11"/>
      </w:r>
      <w:r w:rsidRPr="00560488">
        <w:rPr>
          <w:sz w:val="20"/>
          <w:szCs w:val="20"/>
        </w:rPr>
        <w:t>)</w:t>
      </w:r>
      <w:r w:rsidR="002475BC" w:rsidRPr="00560488">
        <w:rPr>
          <w:sz w:val="20"/>
          <w:szCs w:val="20"/>
        </w:rPr>
        <w:t>. If they supply services to assist compliance either before or after the audit then it is expected this should preclude them from either conducting the audit or performing future audits of the company.  If there is not currently an effective method for ensuring the transparency of the auditor then perhaps there is an enhanced training role for SAI Global or the like.</w:t>
      </w:r>
    </w:p>
    <w:p w:rsidR="004D7694" w:rsidRPr="00560488" w:rsidRDefault="004D7694" w:rsidP="00F56A53">
      <w:pPr>
        <w:rPr>
          <w:sz w:val="20"/>
          <w:szCs w:val="20"/>
        </w:rPr>
      </w:pPr>
    </w:p>
    <w:p w:rsidR="004D7694" w:rsidRPr="00560488" w:rsidRDefault="004D7694" w:rsidP="004D7694">
      <w:pPr>
        <w:pStyle w:val="Heading1"/>
        <w:numPr>
          <w:ilvl w:val="0"/>
          <w:numId w:val="0"/>
        </w:numPr>
        <w:jc w:val="both"/>
        <w:rPr>
          <w:rFonts w:asciiTheme="minorHAnsi" w:hAnsiTheme="minorHAnsi"/>
          <w:color w:val="auto"/>
          <w:sz w:val="20"/>
          <w:szCs w:val="20"/>
        </w:rPr>
      </w:pPr>
      <w:r w:rsidRPr="00560488">
        <w:rPr>
          <w:rFonts w:asciiTheme="minorHAnsi" w:hAnsiTheme="minorHAnsi"/>
          <w:color w:val="auto"/>
          <w:sz w:val="20"/>
          <w:szCs w:val="20"/>
        </w:rPr>
        <w:t>Remote Regions</w:t>
      </w:r>
    </w:p>
    <w:p w:rsidR="004D7694" w:rsidRPr="00560488" w:rsidRDefault="004D7694" w:rsidP="004D7694">
      <w:pPr>
        <w:rPr>
          <w:sz w:val="20"/>
          <w:szCs w:val="20"/>
        </w:rPr>
      </w:pPr>
      <w:r w:rsidRPr="00560488">
        <w:rPr>
          <w:sz w:val="20"/>
          <w:szCs w:val="20"/>
        </w:rPr>
        <w:t xml:space="preserve">In other environments auditors cannot do more than three annual audit inspections of the same company in succession (perhaps it should be written into the Auditor’s Manual).  To meet compliance obligations without </w:t>
      </w:r>
      <w:r w:rsidRPr="00560488">
        <w:rPr>
          <w:sz w:val="20"/>
          <w:szCs w:val="20"/>
        </w:rPr>
        <w:lastRenderedPageBreak/>
        <w:t xml:space="preserve">additional financial penalty a different fee structure may need to be applied to operators in remote areas already picking up the cost of airfares and accommodation on top of auditors’ fees. The ATA does not want to see any changes to the system that will impose unnecessary additional costs on operators in remote areas.  </w:t>
      </w:r>
    </w:p>
    <w:p w:rsidR="00722790" w:rsidRPr="00560488" w:rsidRDefault="00722790" w:rsidP="00F56A53">
      <w:pPr>
        <w:rPr>
          <w:sz w:val="20"/>
          <w:szCs w:val="20"/>
        </w:rPr>
      </w:pPr>
    </w:p>
    <w:p w:rsidR="00573A1E" w:rsidRPr="00560488" w:rsidRDefault="0050797F" w:rsidP="00F56A53">
      <w:pPr>
        <w:rPr>
          <w:b/>
          <w:sz w:val="20"/>
          <w:szCs w:val="20"/>
        </w:rPr>
      </w:pPr>
      <w:r w:rsidRPr="00560488">
        <w:rPr>
          <w:b/>
          <w:sz w:val="20"/>
          <w:szCs w:val="20"/>
        </w:rPr>
        <w:t>Should</w:t>
      </w:r>
      <w:r w:rsidR="00C11F63" w:rsidRPr="00560488">
        <w:rPr>
          <w:b/>
          <w:sz w:val="20"/>
          <w:szCs w:val="20"/>
        </w:rPr>
        <w:t xml:space="preserve"> t</w:t>
      </w:r>
      <w:r w:rsidR="00573A1E" w:rsidRPr="00560488">
        <w:rPr>
          <w:b/>
          <w:sz w:val="20"/>
          <w:szCs w:val="20"/>
        </w:rPr>
        <w:t xml:space="preserve">echnical </w:t>
      </w:r>
      <w:r w:rsidR="00D51867" w:rsidRPr="00560488">
        <w:rPr>
          <w:b/>
          <w:sz w:val="20"/>
          <w:szCs w:val="20"/>
        </w:rPr>
        <w:t>qualifications</w:t>
      </w:r>
      <w:r w:rsidR="00087CFB" w:rsidRPr="00560488">
        <w:rPr>
          <w:b/>
          <w:sz w:val="20"/>
          <w:szCs w:val="20"/>
        </w:rPr>
        <w:t xml:space="preserve"> </w:t>
      </w:r>
      <w:r w:rsidRPr="00560488">
        <w:rPr>
          <w:b/>
          <w:sz w:val="20"/>
          <w:szCs w:val="20"/>
        </w:rPr>
        <w:t>be required</w:t>
      </w:r>
      <w:r w:rsidR="00C11F63" w:rsidRPr="00560488">
        <w:rPr>
          <w:b/>
          <w:sz w:val="20"/>
          <w:szCs w:val="20"/>
        </w:rPr>
        <w:t xml:space="preserve"> for</w:t>
      </w:r>
      <w:r w:rsidR="00D64B20" w:rsidRPr="00560488">
        <w:rPr>
          <w:b/>
          <w:sz w:val="20"/>
          <w:szCs w:val="20"/>
        </w:rPr>
        <w:t xml:space="preserve"> </w:t>
      </w:r>
      <w:r w:rsidR="00C11F63" w:rsidRPr="00560488">
        <w:rPr>
          <w:b/>
          <w:sz w:val="20"/>
          <w:szCs w:val="20"/>
        </w:rPr>
        <w:t xml:space="preserve">NHVAS </w:t>
      </w:r>
      <w:r w:rsidR="00D64B20" w:rsidRPr="00560488">
        <w:rPr>
          <w:b/>
          <w:sz w:val="20"/>
          <w:szCs w:val="20"/>
        </w:rPr>
        <w:t>audits</w:t>
      </w:r>
      <w:r w:rsidR="0037074E" w:rsidRPr="00560488">
        <w:rPr>
          <w:b/>
          <w:sz w:val="20"/>
          <w:szCs w:val="20"/>
        </w:rPr>
        <w:t>?</w:t>
      </w:r>
    </w:p>
    <w:p w:rsidR="00702433" w:rsidRPr="00560488" w:rsidRDefault="00702433" w:rsidP="00702433">
      <w:pPr>
        <w:rPr>
          <w:rFonts w:asciiTheme="minorHAnsi" w:hAnsiTheme="minorHAnsi"/>
          <w:sz w:val="20"/>
          <w:szCs w:val="20"/>
        </w:rPr>
      </w:pPr>
      <w:r>
        <w:rPr>
          <w:rFonts w:asciiTheme="minorHAnsi" w:hAnsiTheme="minorHAnsi"/>
          <w:sz w:val="20"/>
          <w:szCs w:val="20"/>
        </w:rPr>
        <w:t>T</w:t>
      </w:r>
      <w:r w:rsidRPr="00560488">
        <w:rPr>
          <w:rFonts w:asciiTheme="minorHAnsi" w:hAnsiTheme="minorHAnsi"/>
          <w:sz w:val="20"/>
          <w:szCs w:val="20"/>
        </w:rPr>
        <w:t xml:space="preserve">he </w:t>
      </w:r>
      <w:r w:rsidR="006E5D29">
        <w:rPr>
          <w:rFonts w:asciiTheme="minorHAnsi" w:hAnsiTheme="minorHAnsi"/>
          <w:sz w:val="20"/>
          <w:szCs w:val="20"/>
        </w:rPr>
        <w:t xml:space="preserve">ATA  conducted a </w:t>
      </w:r>
      <w:r w:rsidRPr="00560488">
        <w:rPr>
          <w:rFonts w:asciiTheme="minorHAnsi" w:hAnsiTheme="minorHAnsi"/>
          <w:sz w:val="20"/>
          <w:szCs w:val="20"/>
        </w:rPr>
        <w:t xml:space="preserve">survey of TruckSafe auditors </w:t>
      </w:r>
      <w:r w:rsidR="006E5D29">
        <w:rPr>
          <w:rFonts w:asciiTheme="minorHAnsi" w:hAnsiTheme="minorHAnsi"/>
          <w:sz w:val="20"/>
          <w:szCs w:val="20"/>
        </w:rPr>
        <w:t xml:space="preserve">to </w:t>
      </w:r>
      <w:r w:rsidRPr="00560488">
        <w:rPr>
          <w:rFonts w:asciiTheme="minorHAnsi" w:hAnsiTheme="minorHAnsi"/>
          <w:sz w:val="20"/>
          <w:szCs w:val="20"/>
        </w:rPr>
        <w:t>gauge their reaction</w:t>
      </w:r>
      <w:r w:rsidR="00087761">
        <w:rPr>
          <w:rFonts w:asciiTheme="minorHAnsi" w:hAnsiTheme="minorHAnsi"/>
          <w:sz w:val="20"/>
          <w:szCs w:val="20"/>
        </w:rPr>
        <w:t>s</w:t>
      </w:r>
      <w:r w:rsidRPr="00560488">
        <w:rPr>
          <w:rFonts w:asciiTheme="minorHAnsi" w:hAnsiTheme="minorHAnsi"/>
          <w:sz w:val="20"/>
          <w:szCs w:val="20"/>
        </w:rPr>
        <w:t xml:space="preserve"> to </w:t>
      </w:r>
      <w:r w:rsidR="000E6262">
        <w:rPr>
          <w:rFonts w:asciiTheme="minorHAnsi" w:hAnsiTheme="minorHAnsi"/>
          <w:sz w:val="20"/>
          <w:szCs w:val="20"/>
        </w:rPr>
        <w:t xml:space="preserve">the </w:t>
      </w:r>
      <w:r w:rsidRPr="00560488">
        <w:rPr>
          <w:rFonts w:asciiTheme="minorHAnsi" w:hAnsiTheme="minorHAnsi"/>
          <w:sz w:val="20"/>
          <w:szCs w:val="20"/>
        </w:rPr>
        <w:t xml:space="preserve">opportunities in the Phase 2 report. </w:t>
      </w:r>
      <w:r w:rsidRPr="00560488">
        <w:rPr>
          <w:sz w:val="20"/>
          <w:szCs w:val="20"/>
        </w:rPr>
        <w:t xml:space="preserve">The results showed that a majority (57%) do not currently have technical qualifications but most either have ‘some experience’ or ‘significant experience’ with the technical aspects of roadworthiness. </w:t>
      </w:r>
    </w:p>
    <w:p w:rsidR="00702433" w:rsidRPr="00560488" w:rsidRDefault="00702433" w:rsidP="00702433">
      <w:pPr>
        <w:rPr>
          <w:sz w:val="20"/>
          <w:szCs w:val="20"/>
        </w:rPr>
      </w:pPr>
    </w:p>
    <w:tbl>
      <w:tblPr>
        <w:tblStyle w:val="TableGrid"/>
        <w:tblpPr w:leftFromText="180" w:rightFromText="180" w:vertAnchor="text" w:horzAnchor="margin" w:tblpXSpec="center" w:tblpY="60"/>
        <w:tblW w:w="0" w:type="auto"/>
        <w:tblLook w:val="04A0" w:firstRow="1" w:lastRow="0" w:firstColumn="1" w:lastColumn="0" w:noHBand="0" w:noVBand="1"/>
      </w:tblPr>
      <w:tblGrid>
        <w:gridCol w:w="4219"/>
        <w:gridCol w:w="4332"/>
      </w:tblGrid>
      <w:tr w:rsidR="00503CE3" w:rsidRPr="00560488" w:rsidTr="00042244">
        <w:trPr>
          <w:trHeight w:val="2599"/>
        </w:trPr>
        <w:tc>
          <w:tcPr>
            <w:tcW w:w="4219" w:type="dxa"/>
          </w:tcPr>
          <w:p w:rsidR="00087761" w:rsidRPr="00560488" w:rsidRDefault="00087761" w:rsidP="00087761">
            <w:r w:rsidRPr="00560488">
              <w:rPr>
                <w:noProof/>
                <w:lang w:eastAsia="en-AU"/>
              </w:rPr>
              <w:drawing>
                <wp:inline distT="0" distB="0" distL="0" distR="0" wp14:anchorId="3BBD4389" wp14:editId="66D4ABCB">
                  <wp:extent cx="2542309" cy="1607409"/>
                  <wp:effectExtent l="0" t="0" r="0" b="0"/>
                  <wp:docPr id="6" name="Picture 6" descr="C:\Users\rowena.mueller\Downloads\Chart_Q3_1409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wena.mueller\Downloads\Chart_Q3_14091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7880" cy="1724739"/>
                          </a:xfrm>
                          <a:prstGeom prst="rect">
                            <a:avLst/>
                          </a:prstGeom>
                          <a:noFill/>
                          <a:ln>
                            <a:noFill/>
                          </a:ln>
                        </pic:spPr>
                      </pic:pic>
                    </a:graphicData>
                  </a:graphic>
                </wp:inline>
              </w:drawing>
            </w:r>
          </w:p>
        </w:tc>
        <w:tc>
          <w:tcPr>
            <w:tcW w:w="4332" w:type="dxa"/>
          </w:tcPr>
          <w:p w:rsidR="00087761" w:rsidRPr="00560488" w:rsidRDefault="00087761" w:rsidP="00087761">
            <w:r w:rsidRPr="00560488">
              <w:rPr>
                <w:noProof/>
                <w:lang w:eastAsia="en-AU"/>
              </w:rPr>
              <w:drawing>
                <wp:inline distT="0" distB="0" distL="0" distR="0" wp14:anchorId="07CF8076" wp14:editId="3E7FF00E">
                  <wp:extent cx="2369128" cy="1645062"/>
                  <wp:effectExtent l="0" t="0" r="0" b="0"/>
                  <wp:docPr id="7" name="Picture 7" descr="C:\Users\rowena.mueller\Downloads\Chart_Q4_1409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wena.mueller\Downloads\Chart_Q4_14091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5970" cy="1649813"/>
                          </a:xfrm>
                          <a:prstGeom prst="rect">
                            <a:avLst/>
                          </a:prstGeom>
                          <a:noFill/>
                          <a:ln>
                            <a:noFill/>
                          </a:ln>
                        </pic:spPr>
                      </pic:pic>
                    </a:graphicData>
                  </a:graphic>
                </wp:inline>
              </w:drawing>
            </w:r>
          </w:p>
        </w:tc>
      </w:tr>
    </w:tbl>
    <w:p w:rsidR="00702433" w:rsidRDefault="00702433" w:rsidP="00702433">
      <w:pPr>
        <w:rPr>
          <w:sz w:val="20"/>
          <w:szCs w:val="20"/>
        </w:rPr>
      </w:pPr>
    </w:p>
    <w:p w:rsidR="00702433" w:rsidRPr="00560488" w:rsidRDefault="00702433" w:rsidP="00702433">
      <w:pPr>
        <w:rPr>
          <w:sz w:val="20"/>
          <w:szCs w:val="20"/>
        </w:rPr>
      </w:pPr>
      <w:r w:rsidRPr="00560488">
        <w:rPr>
          <w:sz w:val="20"/>
          <w:szCs w:val="20"/>
        </w:rPr>
        <w:t>The qualifications and experience cited by the 14 auditors responding to the ATA survey included:</w:t>
      </w:r>
    </w:p>
    <w:p w:rsidR="00702433" w:rsidRPr="00560488" w:rsidRDefault="00702433" w:rsidP="00702433">
      <w:pPr>
        <w:rPr>
          <w:sz w:val="20"/>
          <w:szCs w:val="20"/>
        </w:rPr>
      </w:pPr>
    </w:p>
    <w:tbl>
      <w:tblPr>
        <w:tblStyle w:val="TableGrid"/>
        <w:tblW w:w="0" w:type="auto"/>
        <w:tblInd w:w="990" w:type="dxa"/>
        <w:tblLook w:val="04A0" w:firstRow="1" w:lastRow="0" w:firstColumn="1" w:lastColumn="0" w:noHBand="0" w:noVBand="1"/>
      </w:tblPr>
      <w:tblGrid>
        <w:gridCol w:w="3969"/>
        <w:gridCol w:w="3686"/>
      </w:tblGrid>
      <w:tr w:rsidR="00702433" w:rsidRPr="00560488" w:rsidTr="00042244">
        <w:tc>
          <w:tcPr>
            <w:tcW w:w="3969" w:type="dxa"/>
          </w:tcPr>
          <w:p w:rsidR="00702433" w:rsidRPr="00560488" w:rsidRDefault="00702433" w:rsidP="00C0288A">
            <w:pPr>
              <w:rPr>
                <w:rFonts w:asciiTheme="minorHAnsi" w:hAnsiTheme="minorHAnsi"/>
                <w:b/>
                <w:sz w:val="18"/>
                <w:szCs w:val="18"/>
              </w:rPr>
            </w:pPr>
            <w:r w:rsidRPr="00560488">
              <w:rPr>
                <w:rFonts w:asciiTheme="minorHAnsi" w:hAnsiTheme="minorHAnsi"/>
                <w:b/>
                <w:sz w:val="18"/>
                <w:szCs w:val="18"/>
              </w:rPr>
              <w:t>Qualifications/Skills</w:t>
            </w:r>
          </w:p>
        </w:tc>
        <w:tc>
          <w:tcPr>
            <w:tcW w:w="3686" w:type="dxa"/>
          </w:tcPr>
          <w:p w:rsidR="00702433" w:rsidRPr="00560488" w:rsidRDefault="00702433" w:rsidP="00C0288A">
            <w:pPr>
              <w:rPr>
                <w:rFonts w:asciiTheme="minorHAnsi" w:hAnsiTheme="minorHAnsi"/>
                <w:b/>
                <w:sz w:val="18"/>
                <w:szCs w:val="18"/>
              </w:rPr>
            </w:pPr>
            <w:r w:rsidRPr="00560488">
              <w:rPr>
                <w:rFonts w:asciiTheme="minorHAnsi" w:hAnsiTheme="minorHAnsi"/>
                <w:b/>
                <w:sz w:val="18"/>
                <w:szCs w:val="18"/>
              </w:rPr>
              <w:t>Experience</w:t>
            </w:r>
          </w:p>
        </w:tc>
      </w:tr>
      <w:tr w:rsidR="00A57296" w:rsidRPr="00560488" w:rsidTr="00042244">
        <w:trPr>
          <w:trHeight w:val="2813"/>
        </w:trPr>
        <w:tc>
          <w:tcPr>
            <w:tcW w:w="3969" w:type="dxa"/>
          </w:tcPr>
          <w:p w:rsidR="00A57296" w:rsidRPr="00560488" w:rsidRDefault="00A57296" w:rsidP="00C0288A">
            <w:pPr>
              <w:rPr>
                <w:rFonts w:asciiTheme="minorHAnsi" w:hAnsiTheme="minorHAnsi"/>
                <w:sz w:val="18"/>
                <w:szCs w:val="18"/>
              </w:rPr>
            </w:pPr>
            <w:r w:rsidRPr="00560488">
              <w:rPr>
                <w:rFonts w:asciiTheme="minorHAnsi" w:hAnsiTheme="minorHAnsi"/>
                <w:sz w:val="18"/>
                <w:szCs w:val="18"/>
              </w:rPr>
              <w:t>Auditor</w:t>
            </w:r>
          </w:p>
          <w:p w:rsidR="00A57296" w:rsidRDefault="00A57296" w:rsidP="00C0288A">
            <w:pPr>
              <w:rPr>
                <w:rFonts w:asciiTheme="minorHAnsi" w:hAnsiTheme="minorHAnsi"/>
                <w:sz w:val="18"/>
                <w:szCs w:val="18"/>
              </w:rPr>
            </w:pPr>
            <w:r w:rsidRPr="00560488">
              <w:rPr>
                <w:rFonts w:asciiTheme="minorHAnsi" w:hAnsiTheme="minorHAnsi"/>
                <w:sz w:val="18"/>
                <w:szCs w:val="18"/>
              </w:rPr>
              <w:t>Degree/Diploma of Business</w:t>
            </w:r>
          </w:p>
          <w:p w:rsidR="00A57296" w:rsidRPr="00E41102" w:rsidRDefault="00A57296" w:rsidP="00E41102">
            <w:pPr>
              <w:shd w:val="clear" w:color="auto" w:fill="FFFFFF"/>
              <w:rPr>
                <w:rFonts w:asciiTheme="minorHAnsi" w:hAnsiTheme="minorHAnsi" w:cs="Arial"/>
                <w:sz w:val="18"/>
                <w:szCs w:val="18"/>
              </w:rPr>
            </w:pPr>
            <w:r w:rsidRPr="00E41102">
              <w:rPr>
                <w:rFonts w:asciiTheme="minorHAnsi" w:hAnsiTheme="minorHAnsi" w:cs="Arial"/>
                <w:sz w:val="18"/>
                <w:szCs w:val="18"/>
              </w:rPr>
              <w:t>Trade certificates:</w:t>
            </w:r>
          </w:p>
          <w:p w:rsidR="00A57296" w:rsidRPr="00560488" w:rsidRDefault="00A57296" w:rsidP="00C0288A">
            <w:pPr>
              <w:pStyle w:val="ListParagraph"/>
              <w:numPr>
                <w:ilvl w:val="0"/>
                <w:numId w:val="20"/>
              </w:numPr>
              <w:shd w:val="clear" w:color="auto" w:fill="FFFFFF"/>
              <w:rPr>
                <w:rFonts w:asciiTheme="minorHAnsi" w:hAnsiTheme="minorHAnsi" w:cs="Arial"/>
                <w:sz w:val="18"/>
                <w:szCs w:val="18"/>
              </w:rPr>
            </w:pPr>
            <w:r w:rsidRPr="00560488">
              <w:rPr>
                <w:rFonts w:asciiTheme="minorHAnsi" w:hAnsiTheme="minorHAnsi" w:cs="Arial"/>
                <w:sz w:val="18"/>
                <w:szCs w:val="18"/>
              </w:rPr>
              <w:t xml:space="preserve">Diesel </w:t>
            </w:r>
            <w:r>
              <w:rPr>
                <w:rFonts w:asciiTheme="minorHAnsi" w:hAnsiTheme="minorHAnsi" w:cs="Arial"/>
                <w:sz w:val="18"/>
                <w:szCs w:val="18"/>
              </w:rPr>
              <w:t>m</w:t>
            </w:r>
            <w:r w:rsidRPr="00560488">
              <w:rPr>
                <w:rFonts w:asciiTheme="minorHAnsi" w:hAnsiTheme="minorHAnsi" w:cs="Arial"/>
                <w:sz w:val="18"/>
                <w:szCs w:val="18"/>
              </w:rPr>
              <w:t>echanic</w:t>
            </w:r>
          </w:p>
          <w:p w:rsidR="00A57296" w:rsidRPr="00560488" w:rsidRDefault="00A57296" w:rsidP="00C0288A">
            <w:pPr>
              <w:pStyle w:val="ListParagraph"/>
              <w:numPr>
                <w:ilvl w:val="0"/>
                <w:numId w:val="20"/>
              </w:numPr>
              <w:shd w:val="clear" w:color="auto" w:fill="FFFFFF"/>
              <w:rPr>
                <w:rFonts w:asciiTheme="minorHAnsi" w:hAnsiTheme="minorHAnsi" w:cs="Arial"/>
                <w:sz w:val="18"/>
                <w:szCs w:val="18"/>
              </w:rPr>
            </w:pPr>
            <w:r w:rsidRPr="00560488">
              <w:rPr>
                <w:rFonts w:asciiTheme="minorHAnsi" w:hAnsiTheme="minorHAnsi" w:cs="Arial"/>
                <w:sz w:val="18"/>
                <w:szCs w:val="18"/>
              </w:rPr>
              <w:t xml:space="preserve">Automotive engineer </w:t>
            </w:r>
          </w:p>
          <w:p w:rsidR="00A57296" w:rsidRPr="00560488" w:rsidRDefault="00A57296" w:rsidP="00C0288A">
            <w:pPr>
              <w:pStyle w:val="ListParagraph"/>
              <w:numPr>
                <w:ilvl w:val="0"/>
                <w:numId w:val="20"/>
              </w:numPr>
              <w:shd w:val="clear" w:color="auto" w:fill="FFFFFF"/>
              <w:rPr>
                <w:rFonts w:asciiTheme="minorHAnsi" w:hAnsiTheme="minorHAnsi" w:cs="Arial"/>
                <w:sz w:val="18"/>
                <w:szCs w:val="18"/>
              </w:rPr>
            </w:pPr>
            <w:r w:rsidRPr="00560488">
              <w:rPr>
                <w:rFonts w:asciiTheme="minorHAnsi" w:hAnsiTheme="minorHAnsi" w:cs="Arial"/>
                <w:sz w:val="18"/>
                <w:szCs w:val="18"/>
              </w:rPr>
              <w:t xml:space="preserve">Engineering technicians </w:t>
            </w:r>
          </w:p>
          <w:p w:rsidR="00A57296" w:rsidRPr="00560488" w:rsidRDefault="00A57296" w:rsidP="00C0288A">
            <w:pPr>
              <w:pStyle w:val="ListParagraph"/>
              <w:numPr>
                <w:ilvl w:val="0"/>
                <w:numId w:val="20"/>
              </w:numPr>
              <w:shd w:val="clear" w:color="auto" w:fill="FFFFFF"/>
              <w:rPr>
                <w:rFonts w:asciiTheme="minorHAnsi" w:hAnsiTheme="minorHAnsi" w:cs="Arial"/>
                <w:sz w:val="18"/>
                <w:szCs w:val="18"/>
              </w:rPr>
            </w:pPr>
            <w:r w:rsidRPr="00560488">
              <w:rPr>
                <w:rFonts w:asciiTheme="minorHAnsi" w:hAnsiTheme="minorHAnsi" w:cs="Arial"/>
                <w:sz w:val="18"/>
                <w:szCs w:val="18"/>
              </w:rPr>
              <w:t xml:space="preserve">Fitter and machinist </w:t>
            </w:r>
          </w:p>
          <w:p w:rsidR="00A57296" w:rsidRPr="00560488" w:rsidRDefault="00A57296" w:rsidP="00C0288A">
            <w:pPr>
              <w:pStyle w:val="ListParagraph"/>
              <w:numPr>
                <w:ilvl w:val="0"/>
                <w:numId w:val="20"/>
              </w:numPr>
              <w:shd w:val="clear" w:color="auto" w:fill="FFFFFF"/>
              <w:rPr>
                <w:rFonts w:asciiTheme="minorHAnsi" w:hAnsiTheme="minorHAnsi" w:cs="Arial"/>
                <w:sz w:val="18"/>
                <w:szCs w:val="18"/>
              </w:rPr>
            </w:pPr>
            <w:r w:rsidRPr="00560488">
              <w:rPr>
                <w:rFonts w:asciiTheme="minorHAnsi" w:hAnsiTheme="minorHAnsi" w:cs="Arial"/>
                <w:sz w:val="18"/>
                <w:szCs w:val="18"/>
              </w:rPr>
              <w:t xml:space="preserve">Plumbing and draining </w:t>
            </w:r>
          </w:p>
          <w:p w:rsidR="00A57296" w:rsidRPr="00560488" w:rsidRDefault="00A57296" w:rsidP="00C0288A">
            <w:pPr>
              <w:pStyle w:val="ListParagraph"/>
              <w:numPr>
                <w:ilvl w:val="0"/>
                <w:numId w:val="20"/>
              </w:numPr>
              <w:shd w:val="clear" w:color="auto" w:fill="FFFFFF"/>
              <w:rPr>
                <w:rFonts w:asciiTheme="minorHAnsi" w:hAnsiTheme="minorHAnsi"/>
                <w:sz w:val="18"/>
                <w:szCs w:val="18"/>
              </w:rPr>
            </w:pPr>
            <w:r w:rsidRPr="00560488">
              <w:rPr>
                <w:rFonts w:asciiTheme="minorHAnsi" w:hAnsiTheme="minorHAnsi" w:cs="Arial"/>
                <w:sz w:val="18"/>
                <w:szCs w:val="18"/>
              </w:rPr>
              <w:t xml:space="preserve">Trainer – Gasfitting </w:t>
            </w:r>
          </w:p>
        </w:tc>
        <w:tc>
          <w:tcPr>
            <w:tcW w:w="3686" w:type="dxa"/>
          </w:tcPr>
          <w:p w:rsidR="00A57296" w:rsidRPr="00560488" w:rsidRDefault="00A57296" w:rsidP="00C0288A">
            <w:pPr>
              <w:pStyle w:val="ListParagraph"/>
              <w:numPr>
                <w:ilvl w:val="0"/>
                <w:numId w:val="20"/>
              </w:numPr>
              <w:shd w:val="clear" w:color="auto" w:fill="FFFFFF"/>
              <w:rPr>
                <w:rFonts w:asciiTheme="minorHAnsi" w:hAnsiTheme="minorHAnsi" w:cs="Arial"/>
                <w:sz w:val="18"/>
                <w:szCs w:val="18"/>
              </w:rPr>
            </w:pPr>
            <w:r w:rsidRPr="00560488">
              <w:rPr>
                <w:rFonts w:asciiTheme="minorHAnsi" w:hAnsiTheme="minorHAnsi" w:cs="Arial"/>
                <w:sz w:val="18"/>
                <w:szCs w:val="18"/>
              </w:rPr>
              <w:t>17 years in auditing</w:t>
            </w:r>
          </w:p>
          <w:p w:rsidR="00A57296" w:rsidRPr="00560488" w:rsidRDefault="00A57296" w:rsidP="00C0288A">
            <w:pPr>
              <w:pStyle w:val="ListParagraph"/>
              <w:numPr>
                <w:ilvl w:val="0"/>
                <w:numId w:val="20"/>
              </w:numPr>
              <w:shd w:val="clear" w:color="auto" w:fill="FFFFFF"/>
              <w:rPr>
                <w:rFonts w:asciiTheme="minorHAnsi" w:hAnsiTheme="minorHAnsi" w:cs="Arial"/>
                <w:sz w:val="18"/>
                <w:szCs w:val="18"/>
              </w:rPr>
            </w:pPr>
            <w:r w:rsidRPr="00560488">
              <w:rPr>
                <w:rFonts w:asciiTheme="minorHAnsi" w:hAnsiTheme="minorHAnsi" w:cs="Arial"/>
                <w:sz w:val="18"/>
                <w:szCs w:val="18"/>
              </w:rPr>
              <w:t>Truck driver, road train operator</w:t>
            </w:r>
          </w:p>
          <w:p w:rsidR="00A57296" w:rsidRPr="00560488" w:rsidRDefault="00A57296" w:rsidP="00C0288A">
            <w:pPr>
              <w:pStyle w:val="ListParagraph"/>
              <w:numPr>
                <w:ilvl w:val="0"/>
                <w:numId w:val="20"/>
              </w:numPr>
              <w:shd w:val="clear" w:color="auto" w:fill="FFFFFF"/>
              <w:rPr>
                <w:rFonts w:asciiTheme="minorHAnsi" w:hAnsiTheme="minorHAnsi" w:cs="Arial"/>
                <w:sz w:val="18"/>
                <w:szCs w:val="18"/>
              </w:rPr>
            </w:pPr>
            <w:r w:rsidRPr="00560488">
              <w:rPr>
                <w:rFonts w:asciiTheme="minorHAnsi" w:hAnsiTheme="minorHAnsi" w:cs="Arial"/>
                <w:sz w:val="18"/>
                <w:szCs w:val="18"/>
              </w:rPr>
              <w:t xml:space="preserve">35 years as driver, maintenance provider </w:t>
            </w:r>
          </w:p>
          <w:p w:rsidR="00A57296" w:rsidRPr="00560488" w:rsidRDefault="00A57296" w:rsidP="00C0288A">
            <w:pPr>
              <w:pStyle w:val="ListParagraph"/>
              <w:numPr>
                <w:ilvl w:val="0"/>
                <w:numId w:val="20"/>
              </w:numPr>
              <w:shd w:val="clear" w:color="auto" w:fill="FFFFFF"/>
              <w:rPr>
                <w:rFonts w:asciiTheme="minorHAnsi" w:hAnsiTheme="minorHAnsi" w:cs="Arial"/>
                <w:sz w:val="18"/>
                <w:szCs w:val="18"/>
              </w:rPr>
            </w:pPr>
            <w:r w:rsidRPr="00560488">
              <w:rPr>
                <w:rFonts w:asciiTheme="minorHAnsi" w:hAnsiTheme="minorHAnsi" w:cs="Arial"/>
                <w:sz w:val="18"/>
                <w:szCs w:val="18"/>
              </w:rPr>
              <w:t xml:space="preserve">30 years in maintenance </w:t>
            </w:r>
          </w:p>
          <w:p w:rsidR="00A57296" w:rsidRPr="00560488" w:rsidRDefault="00A57296" w:rsidP="00C0288A">
            <w:pPr>
              <w:pStyle w:val="ListParagraph"/>
              <w:numPr>
                <w:ilvl w:val="0"/>
                <w:numId w:val="20"/>
              </w:numPr>
              <w:shd w:val="clear" w:color="auto" w:fill="FFFFFF"/>
              <w:rPr>
                <w:rFonts w:asciiTheme="minorHAnsi" w:hAnsiTheme="minorHAnsi" w:cs="Arial"/>
                <w:sz w:val="18"/>
                <w:szCs w:val="18"/>
              </w:rPr>
            </w:pPr>
            <w:r w:rsidRPr="00560488">
              <w:rPr>
                <w:rFonts w:asciiTheme="minorHAnsi" w:hAnsiTheme="minorHAnsi" w:cs="Arial"/>
                <w:sz w:val="18"/>
                <w:szCs w:val="18"/>
              </w:rPr>
              <w:t>Former civil construction manager</w:t>
            </w:r>
          </w:p>
          <w:p w:rsidR="00A57296" w:rsidRPr="00560488" w:rsidRDefault="00A57296" w:rsidP="00C0288A">
            <w:pPr>
              <w:pStyle w:val="ListParagraph"/>
              <w:numPr>
                <w:ilvl w:val="0"/>
                <w:numId w:val="20"/>
              </w:numPr>
              <w:shd w:val="clear" w:color="auto" w:fill="FFFFFF"/>
              <w:rPr>
                <w:rFonts w:asciiTheme="minorHAnsi" w:hAnsiTheme="minorHAnsi" w:cs="Arial"/>
                <w:sz w:val="18"/>
                <w:szCs w:val="18"/>
              </w:rPr>
            </w:pPr>
            <w:r w:rsidRPr="00560488">
              <w:rPr>
                <w:rFonts w:asciiTheme="minorHAnsi" w:hAnsiTheme="minorHAnsi" w:cs="Arial"/>
                <w:sz w:val="18"/>
                <w:szCs w:val="18"/>
              </w:rPr>
              <w:t>30 years in policing</w:t>
            </w:r>
          </w:p>
          <w:p w:rsidR="00A57296" w:rsidRPr="00560488" w:rsidRDefault="00A57296" w:rsidP="00C0288A">
            <w:pPr>
              <w:pStyle w:val="ListParagraph"/>
              <w:numPr>
                <w:ilvl w:val="0"/>
                <w:numId w:val="20"/>
              </w:numPr>
              <w:shd w:val="clear" w:color="auto" w:fill="FFFFFF"/>
              <w:rPr>
                <w:rFonts w:asciiTheme="minorHAnsi" w:hAnsiTheme="minorHAnsi" w:cs="Arial"/>
                <w:sz w:val="18"/>
                <w:szCs w:val="18"/>
              </w:rPr>
            </w:pPr>
            <w:r w:rsidRPr="00560488">
              <w:rPr>
                <w:rFonts w:asciiTheme="minorHAnsi" w:hAnsiTheme="minorHAnsi" w:cs="Arial"/>
                <w:sz w:val="18"/>
                <w:szCs w:val="18"/>
              </w:rPr>
              <w:t>25 years in fleet management</w:t>
            </w:r>
          </w:p>
          <w:p w:rsidR="00A57296" w:rsidRPr="00560488" w:rsidRDefault="00A57296" w:rsidP="00C0288A">
            <w:pPr>
              <w:pStyle w:val="ListParagraph"/>
              <w:numPr>
                <w:ilvl w:val="0"/>
                <w:numId w:val="20"/>
              </w:numPr>
              <w:shd w:val="clear" w:color="auto" w:fill="FFFFFF"/>
              <w:rPr>
                <w:rFonts w:asciiTheme="minorHAnsi" w:hAnsiTheme="minorHAnsi" w:cs="Arial"/>
                <w:sz w:val="18"/>
                <w:szCs w:val="18"/>
              </w:rPr>
            </w:pPr>
            <w:r w:rsidRPr="00560488">
              <w:rPr>
                <w:rFonts w:asciiTheme="minorHAnsi" w:hAnsiTheme="minorHAnsi" w:cs="Arial"/>
                <w:sz w:val="18"/>
                <w:szCs w:val="18"/>
              </w:rPr>
              <w:t>&gt;30 years servicing and managing service regimes</w:t>
            </w:r>
          </w:p>
          <w:p w:rsidR="00A57296" w:rsidRPr="00560488" w:rsidRDefault="00A57296" w:rsidP="00C0288A">
            <w:pPr>
              <w:pStyle w:val="ListParagraph"/>
              <w:numPr>
                <w:ilvl w:val="0"/>
                <w:numId w:val="20"/>
              </w:numPr>
              <w:shd w:val="clear" w:color="auto" w:fill="FFFFFF"/>
              <w:rPr>
                <w:rFonts w:asciiTheme="minorHAnsi" w:hAnsiTheme="minorHAnsi"/>
                <w:sz w:val="18"/>
                <w:szCs w:val="18"/>
              </w:rPr>
            </w:pPr>
            <w:r w:rsidRPr="00560488">
              <w:rPr>
                <w:rFonts w:asciiTheme="minorHAnsi" w:hAnsiTheme="minorHAnsi" w:cs="Arial"/>
                <w:sz w:val="18"/>
                <w:szCs w:val="18"/>
              </w:rPr>
              <w:t>Management</w:t>
            </w:r>
          </w:p>
        </w:tc>
      </w:tr>
    </w:tbl>
    <w:p w:rsidR="00702433" w:rsidRDefault="00702433" w:rsidP="00702433">
      <w:pPr>
        <w:rPr>
          <w:sz w:val="20"/>
          <w:szCs w:val="20"/>
        </w:rPr>
      </w:pPr>
    </w:p>
    <w:p w:rsidR="00E23645" w:rsidRPr="00560488" w:rsidRDefault="00E23645" w:rsidP="00E23645">
      <w:pPr>
        <w:rPr>
          <w:sz w:val="20"/>
          <w:szCs w:val="20"/>
        </w:rPr>
      </w:pPr>
      <w:r>
        <w:rPr>
          <w:sz w:val="20"/>
          <w:szCs w:val="20"/>
        </w:rPr>
        <w:t>One auditor said:</w:t>
      </w:r>
    </w:p>
    <w:p w:rsidR="00E23645" w:rsidRDefault="00E23645" w:rsidP="00702433">
      <w:pPr>
        <w:rPr>
          <w:sz w:val="20"/>
          <w:szCs w:val="20"/>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702433" w:rsidTr="007929AA">
        <w:tc>
          <w:tcPr>
            <w:tcW w:w="8788" w:type="dxa"/>
          </w:tcPr>
          <w:p w:rsidR="00702433" w:rsidRPr="00560488" w:rsidRDefault="00702433" w:rsidP="00C0288A">
            <w:pPr>
              <w:rPr>
                <w:sz w:val="20"/>
                <w:szCs w:val="20"/>
              </w:rPr>
            </w:pPr>
            <w:r w:rsidRPr="00560488">
              <w:rPr>
                <w:i/>
                <w:sz w:val="20"/>
                <w:szCs w:val="20"/>
              </w:rPr>
              <w:t>Providing the emphasis [of the audit] is not shifted to the inspection of equipment at the time of the audit. In most cases the vehicle are out working and the audit is purely paper based. IF there is equipment on site I always look at it. It gives you a good overview of the business.</w:t>
            </w:r>
            <w:r w:rsidRPr="00560488">
              <w:rPr>
                <w:sz w:val="20"/>
                <w:szCs w:val="20"/>
              </w:rPr>
              <w:tab/>
            </w:r>
          </w:p>
          <w:p w:rsidR="00702433" w:rsidRDefault="00702433" w:rsidP="00C0288A">
            <w:pPr>
              <w:jc w:val="right"/>
              <w:rPr>
                <w:i/>
                <w:sz w:val="20"/>
                <w:szCs w:val="20"/>
              </w:rPr>
            </w:pPr>
          </w:p>
        </w:tc>
      </w:tr>
    </w:tbl>
    <w:p w:rsidR="00702433" w:rsidRPr="00560488" w:rsidRDefault="00D666DF" w:rsidP="00702433">
      <w:pPr>
        <w:rPr>
          <w:sz w:val="20"/>
          <w:szCs w:val="20"/>
        </w:rPr>
      </w:pPr>
      <w:r>
        <w:rPr>
          <w:sz w:val="20"/>
          <w:szCs w:val="20"/>
        </w:rPr>
        <w:t>But o</w:t>
      </w:r>
      <w:r w:rsidR="00702433">
        <w:rPr>
          <w:sz w:val="20"/>
          <w:szCs w:val="20"/>
        </w:rPr>
        <w:t>ther</w:t>
      </w:r>
      <w:r w:rsidR="00702433" w:rsidRPr="00560488">
        <w:rPr>
          <w:sz w:val="20"/>
          <w:szCs w:val="20"/>
        </w:rPr>
        <w:t xml:space="preserve"> survey respondent</w:t>
      </w:r>
      <w:r w:rsidR="007929AA">
        <w:rPr>
          <w:sz w:val="20"/>
          <w:szCs w:val="20"/>
        </w:rPr>
        <w:t>s</w:t>
      </w:r>
      <w:r w:rsidR="00702433" w:rsidRPr="00560488">
        <w:rPr>
          <w:sz w:val="20"/>
          <w:szCs w:val="20"/>
        </w:rPr>
        <w:t xml:space="preserve"> noted:</w:t>
      </w:r>
    </w:p>
    <w:p w:rsidR="00702433" w:rsidRPr="00560488" w:rsidRDefault="00702433" w:rsidP="00702433">
      <w:pPr>
        <w:rPr>
          <w:i/>
          <w:sz w:val="20"/>
          <w:szCs w:val="20"/>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283"/>
      </w:tblGrid>
      <w:tr w:rsidR="00702433" w:rsidTr="00C0288A">
        <w:trPr>
          <w:gridAfter w:val="1"/>
          <w:wAfter w:w="283" w:type="dxa"/>
        </w:trPr>
        <w:tc>
          <w:tcPr>
            <w:tcW w:w="8647" w:type="dxa"/>
          </w:tcPr>
          <w:p w:rsidR="00702433" w:rsidRPr="00560488" w:rsidRDefault="00702433" w:rsidP="00C0288A">
            <w:pPr>
              <w:rPr>
                <w:sz w:val="20"/>
                <w:szCs w:val="20"/>
              </w:rPr>
            </w:pPr>
            <w:r w:rsidRPr="00560488">
              <w:rPr>
                <w:i/>
                <w:sz w:val="20"/>
                <w:szCs w:val="20"/>
              </w:rPr>
              <w:t>All training is valuable. However it</w:t>
            </w:r>
            <w:r>
              <w:rPr>
                <w:i/>
                <w:sz w:val="20"/>
                <w:szCs w:val="20"/>
              </w:rPr>
              <w:t>s</w:t>
            </w:r>
            <w:r w:rsidRPr="00560488">
              <w:rPr>
                <w:i/>
                <w:sz w:val="20"/>
                <w:szCs w:val="20"/>
              </w:rPr>
              <w:t xml:space="preserve"> no good if we are asked to sample 10% of the fleet at the time of the audit. The depth of inspection would have to be set in concrete and enforced by a governing party. If that happens why would they what to join NHVAS. They can just go back over the pit every year.</w:t>
            </w:r>
          </w:p>
          <w:p w:rsidR="00702433" w:rsidRDefault="00702433" w:rsidP="00C0288A">
            <w:pPr>
              <w:jc w:val="right"/>
              <w:rPr>
                <w:i/>
                <w:sz w:val="20"/>
                <w:szCs w:val="20"/>
              </w:rPr>
            </w:pPr>
          </w:p>
        </w:tc>
      </w:tr>
      <w:tr w:rsidR="003A79AE" w:rsidTr="00503C29">
        <w:tc>
          <w:tcPr>
            <w:tcW w:w="8930" w:type="dxa"/>
            <w:gridSpan w:val="2"/>
          </w:tcPr>
          <w:p w:rsidR="003A79AE" w:rsidRPr="00560488" w:rsidRDefault="003A79AE" w:rsidP="00503C29">
            <w:pPr>
              <w:rPr>
                <w:i/>
                <w:sz w:val="20"/>
                <w:szCs w:val="20"/>
              </w:rPr>
            </w:pPr>
            <w:r w:rsidRPr="00560488">
              <w:rPr>
                <w:i/>
                <w:sz w:val="20"/>
                <w:szCs w:val="20"/>
              </w:rPr>
              <w:t xml:space="preserve">I fully support the Regulator's intent of having heavy vehicle auditors qualified, competent or experienced in the processes and understanding of maintenance and repairs to heavy vehicles. </w:t>
            </w:r>
          </w:p>
          <w:p w:rsidR="003A79AE" w:rsidRDefault="003A79AE" w:rsidP="00503C29">
            <w:pPr>
              <w:rPr>
                <w:i/>
                <w:sz w:val="20"/>
                <w:szCs w:val="20"/>
              </w:rPr>
            </w:pPr>
            <w:r w:rsidRPr="00560488">
              <w:rPr>
                <w:i/>
                <w:sz w:val="20"/>
                <w:szCs w:val="20"/>
              </w:rPr>
              <w:t xml:space="preserve"> </w:t>
            </w:r>
          </w:p>
          <w:p w:rsidR="003A79AE" w:rsidRDefault="003A79AE" w:rsidP="00503CE3">
            <w:pPr>
              <w:rPr>
                <w:i/>
                <w:sz w:val="20"/>
                <w:szCs w:val="20"/>
              </w:rPr>
            </w:pPr>
            <w:r w:rsidRPr="00560488">
              <w:rPr>
                <w:i/>
                <w:sz w:val="20"/>
                <w:szCs w:val="20"/>
              </w:rPr>
              <w:t>I have had 35 years in the transport industry. I have never owned or driven a truck. The audit is document based and I can see no requirement for "technical competencies" If this is the way you are going then go all the way with auditor</w:t>
            </w:r>
            <w:r>
              <w:rPr>
                <w:i/>
                <w:sz w:val="20"/>
                <w:szCs w:val="20"/>
              </w:rPr>
              <w:t xml:space="preserve"> </w:t>
            </w:r>
            <w:r w:rsidRPr="00560488">
              <w:rPr>
                <w:i/>
                <w:sz w:val="20"/>
                <w:szCs w:val="20"/>
              </w:rPr>
              <w:t>being certified mechanics…. A little competence would soon lead to major confrontations with certified persons.</w:t>
            </w:r>
            <w:r w:rsidR="007929AA" w:rsidRPr="00560488">
              <w:rPr>
                <w:rStyle w:val="FootnoteReference"/>
                <w:i/>
                <w:sz w:val="20"/>
                <w:szCs w:val="20"/>
              </w:rPr>
              <w:t xml:space="preserve"> </w:t>
            </w:r>
            <w:r w:rsidR="007929AA" w:rsidRPr="00560488">
              <w:rPr>
                <w:rStyle w:val="FootnoteReference"/>
                <w:i/>
                <w:sz w:val="20"/>
                <w:szCs w:val="20"/>
              </w:rPr>
              <w:footnoteReference w:id="12"/>
            </w:r>
          </w:p>
        </w:tc>
      </w:tr>
    </w:tbl>
    <w:p w:rsidR="003A79AE" w:rsidRDefault="003A79AE" w:rsidP="003A79AE">
      <w:pPr>
        <w:rPr>
          <w:sz w:val="20"/>
          <w:szCs w:val="20"/>
        </w:rPr>
      </w:pPr>
    </w:p>
    <w:p w:rsidR="003A79AE" w:rsidRDefault="003A79AE" w:rsidP="003A79AE">
      <w:pPr>
        <w:rPr>
          <w:sz w:val="20"/>
          <w:szCs w:val="20"/>
        </w:rPr>
      </w:pPr>
      <w:r w:rsidRPr="00560488">
        <w:rPr>
          <w:sz w:val="20"/>
          <w:szCs w:val="20"/>
        </w:rPr>
        <w:t xml:space="preserve">The ATA does not believe the skill set required to conduct a full audit should include mechanical qualifications, and the associated expertise to carry out a physical fleet inspection, in addition to usual records-based audit skills. </w:t>
      </w:r>
    </w:p>
    <w:p w:rsidR="006221FB" w:rsidRDefault="006221FB" w:rsidP="003A79AE">
      <w:pPr>
        <w:rPr>
          <w:sz w:val="20"/>
          <w:szCs w:val="20"/>
        </w:rPr>
      </w:pPr>
    </w:p>
    <w:p w:rsidR="006221FB" w:rsidRDefault="006221FB" w:rsidP="006221FB">
      <w:pPr>
        <w:rPr>
          <w:sz w:val="20"/>
          <w:szCs w:val="20"/>
        </w:rPr>
      </w:pPr>
      <w:r>
        <w:rPr>
          <w:sz w:val="20"/>
          <w:szCs w:val="20"/>
        </w:rPr>
        <w:lastRenderedPageBreak/>
        <w:t xml:space="preserve">Some businesses </w:t>
      </w:r>
      <w:r w:rsidR="007700B7">
        <w:rPr>
          <w:sz w:val="20"/>
          <w:szCs w:val="20"/>
        </w:rPr>
        <w:t xml:space="preserve">have </w:t>
      </w:r>
      <w:r w:rsidR="004563E5">
        <w:rPr>
          <w:sz w:val="20"/>
          <w:szCs w:val="20"/>
        </w:rPr>
        <w:t xml:space="preserve">also </w:t>
      </w:r>
      <w:r>
        <w:rPr>
          <w:sz w:val="20"/>
          <w:szCs w:val="20"/>
        </w:rPr>
        <w:t>expressed concern that:</w:t>
      </w:r>
    </w:p>
    <w:p w:rsidR="006221FB" w:rsidRPr="00702433" w:rsidRDefault="006221FB" w:rsidP="006221FB">
      <w:pPr>
        <w:rPr>
          <w:sz w:val="20"/>
          <w:szCs w:val="20"/>
        </w:rPr>
      </w:pPr>
    </w:p>
    <w:p w:rsidR="006221FB" w:rsidRPr="00560488" w:rsidRDefault="006221FB" w:rsidP="006221FB">
      <w:pPr>
        <w:pStyle w:val="ListParagraph"/>
        <w:numPr>
          <w:ilvl w:val="0"/>
          <w:numId w:val="16"/>
        </w:numPr>
        <w:spacing w:after="0" w:line="240" w:lineRule="auto"/>
        <w:rPr>
          <w:sz w:val="20"/>
          <w:szCs w:val="20"/>
        </w:rPr>
      </w:pPr>
      <w:r w:rsidRPr="00560488">
        <w:rPr>
          <w:sz w:val="20"/>
          <w:szCs w:val="20"/>
        </w:rPr>
        <w:t>‘upskilling’ by an auditor, i.e. obtaining expertise similar to or the same as an authorised vehicle inspector or examiner, will not only take time, money and commitment, it represents a career undertaking in itself.</w:t>
      </w:r>
    </w:p>
    <w:p w:rsidR="006221FB" w:rsidRPr="00560488" w:rsidRDefault="006221FB" w:rsidP="006221FB">
      <w:pPr>
        <w:pStyle w:val="ListParagraph"/>
        <w:numPr>
          <w:ilvl w:val="0"/>
          <w:numId w:val="16"/>
        </w:numPr>
        <w:spacing w:after="0" w:line="240" w:lineRule="auto"/>
        <w:rPr>
          <w:sz w:val="20"/>
          <w:szCs w:val="20"/>
        </w:rPr>
      </w:pPr>
      <w:r w:rsidRPr="00560488">
        <w:rPr>
          <w:sz w:val="20"/>
          <w:szCs w:val="20"/>
        </w:rPr>
        <w:t>mechanical skills/knowledge of authorised inspectors themselves is limited, and there can be a tendency to focus on the trivial at the expense of the essential/critical which would tend to devalue the purpose of the exercise;</w:t>
      </w:r>
    </w:p>
    <w:p w:rsidR="006221FB" w:rsidRPr="00560488" w:rsidRDefault="006221FB" w:rsidP="006221FB">
      <w:pPr>
        <w:pStyle w:val="ListParagraph"/>
        <w:numPr>
          <w:ilvl w:val="0"/>
          <w:numId w:val="16"/>
        </w:numPr>
        <w:spacing w:after="0" w:line="240" w:lineRule="auto"/>
        <w:rPr>
          <w:sz w:val="20"/>
          <w:szCs w:val="20"/>
        </w:rPr>
      </w:pPr>
      <w:r w:rsidRPr="00560488">
        <w:rPr>
          <w:sz w:val="20"/>
          <w:szCs w:val="20"/>
        </w:rPr>
        <w:t>there are likely to be high associated costs for industry both from higher auditor costs (particularly if two persons are required) and the subsequent cost of each vehicle inspection.</w:t>
      </w:r>
    </w:p>
    <w:p w:rsidR="006221FB" w:rsidRPr="00560488" w:rsidRDefault="006221FB" w:rsidP="006221FB">
      <w:pPr>
        <w:pStyle w:val="ListParagraph"/>
        <w:numPr>
          <w:ilvl w:val="0"/>
          <w:numId w:val="16"/>
        </w:numPr>
        <w:spacing w:after="0" w:line="240" w:lineRule="auto"/>
        <w:rPr>
          <w:sz w:val="20"/>
          <w:szCs w:val="20"/>
        </w:rPr>
      </w:pPr>
      <w:r w:rsidRPr="00560488">
        <w:rPr>
          <w:sz w:val="20"/>
          <w:szCs w:val="20"/>
        </w:rPr>
        <w:t>some fleet owners will not agree to persons who are not members of their workshop staff touching or otherwise ‘interfering’ with their vehicles.</w:t>
      </w:r>
    </w:p>
    <w:p w:rsidR="006221FB" w:rsidRPr="00560488" w:rsidRDefault="006221FB" w:rsidP="006221FB">
      <w:pPr>
        <w:pStyle w:val="ListParagraph"/>
        <w:numPr>
          <w:ilvl w:val="0"/>
          <w:numId w:val="16"/>
        </w:numPr>
        <w:spacing w:after="0" w:line="240" w:lineRule="auto"/>
        <w:rPr>
          <w:sz w:val="20"/>
          <w:szCs w:val="20"/>
        </w:rPr>
      </w:pPr>
      <w:r w:rsidRPr="00560488">
        <w:rPr>
          <w:sz w:val="20"/>
          <w:szCs w:val="20"/>
        </w:rPr>
        <w:t xml:space="preserve">questions will arise over which, and how many vehicles should be inspected at any given time. For a truly objective process, vehicles would be randomly selected for inspection from the nominated fleet. </w:t>
      </w:r>
      <w:r>
        <w:rPr>
          <w:sz w:val="20"/>
          <w:szCs w:val="20"/>
        </w:rPr>
        <w:t>Due to the nature of the</w:t>
      </w:r>
      <w:r w:rsidRPr="00560488">
        <w:rPr>
          <w:sz w:val="20"/>
          <w:szCs w:val="20"/>
        </w:rPr>
        <w:t xml:space="preserve"> transport business, </w:t>
      </w:r>
      <w:r>
        <w:rPr>
          <w:sz w:val="20"/>
          <w:szCs w:val="20"/>
        </w:rPr>
        <w:t xml:space="preserve">there is a high likelihood </w:t>
      </w:r>
      <w:r w:rsidRPr="00560488">
        <w:rPr>
          <w:sz w:val="20"/>
          <w:szCs w:val="20"/>
        </w:rPr>
        <w:t xml:space="preserve">selected vehicles </w:t>
      </w:r>
      <w:r>
        <w:rPr>
          <w:sz w:val="20"/>
          <w:szCs w:val="20"/>
        </w:rPr>
        <w:t>will be not present and available</w:t>
      </w:r>
      <w:r w:rsidRPr="00560488">
        <w:rPr>
          <w:sz w:val="20"/>
          <w:szCs w:val="20"/>
        </w:rPr>
        <w:t xml:space="preserve"> at the place chosen for inspection.</w:t>
      </w:r>
    </w:p>
    <w:p w:rsidR="00063F90" w:rsidRDefault="00063F90" w:rsidP="003A79AE">
      <w:pPr>
        <w:rPr>
          <w:sz w:val="20"/>
          <w:szCs w:val="20"/>
        </w:rPr>
      </w:pPr>
    </w:p>
    <w:p w:rsidR="00063F90" w:rsidRPr="008C0E93" w:rsidRDefault="00063F90" w:rsidP="00063F90">
      <w:pPr>
        <w:rPr>
          <w:rFonts w:asciiTheme="minorHAnsi" w:hAnsiTheme="minorHAnsi" w:cs="Arial"/>
          <w:b/>
          <w:sz w:val="20"/>
          <w:szCs w:val="20"/>
        </w:rPr>
      </w:pPr>
      <w:r w:rsidRPr="008C0E93">
        <w:rPr>
          <w:rFonts w:asciiTheme="minorHAnsi" w:hAnsiTheme="minorHAnsi" w:cs="Arial"/>
          <w:b/>
          <w:sz w:val="20"/>
          <w:szCs w:val="20"/>
        </w:rPr>
        <w:t xml:space="preserve">ATA recommendation 11  </w:t>
      </w:r>
    </w:p>
    <w:p w:rsidR="008C0E93" w:rsidRDefault="008C0E93" w:rsidP="008C0E93">
      <w:pPr>
        <w:rPr>
          <w:b/>
          <w:sz w:val="20"/>
          <w:szCs w:val="20"/>
        </w:rPr>
      </w:pPr>
      <w:r w:rsidRPr="009F7CBE">
        <w:rPr>
          <w:rFonts w:asciiTheme="minorHAnsi" w:hAnsiTheme="minorHAnsi" w:cs="Arial"/>
          <w:b/>
          <w:sz w:val="20"/>
          <w:szCs w:val="20"/>
        </w:rPr>
        <w:t xml:space="preserve">The </w:t>
      </w:r>
      <w:r w:rsidRPr="009F7CBE">
        <w:rPr>
          <w:b/>
          <w:sz w:val="20"/>
          <w:szCs w:val="20"/>
        </w:rPr>
        <w:t>skill set required to conduct a full audit should not include mechanical qualifications and expertise to carry out a physical fleet inspection in addition to records-based audit skills.</w:t>
      </w:r>
      <w:r w:rsidRPr="00503CE3">
        <w:rPr>
          <w:b/>
          <w:sz w:val="20"/>
          <w:szCs w:val="20"/>
        </w:rPr>
        <w:t xml:space="preserve"> </w:t>
      </w:r>
    </w:p>
    <w:p w:rsidR="008C0E93" w:rsidRDefault="008C0E93" w:rsidP="008C0E93">
      <w:pPr>
        <w:rPr>
          <w:b/>
          <w:sz w:val="20"/>
          <w:szCs w:val="20"/>
        </w:rPr>
      </w:pPr>
    </w:p>
    <w:p w:rsidR="00042244" w:rsidRPr="00560488" w:rsidRDefault="00042244" w:rsidP="00097C7A">
      <w:pPr>
        <w:rPr>
          <w:sz w:val="20"/>
          <w:szCs w:val="20"/>
        </w:rPr>
      </w:pPr>
    </w:p>
    <w:p w:rsidR="00BF151A" w:rsidRPr="00887EB4" w:rsidRDefault="0050452D" w:rsidP="00887EB4">
      <w:pPr>
        <w:pStyle w:val="Heading1"/>
        <w:rPr>
          <w:color w:val="auto"/>
        </w:rPr>
      </w:pPr>
      <w:r w:rsidRPr="00887EB4">
        <w:rPr>
          <w:color w:val="auto"/>
        </w:rPr>
        <w:t xml:space="preserve">TruckSafe </w:t>
      </w:r>
      <w:r w:rsidR="002821D5" w:rsidRPr="00887EB4">
        <w:rPr>
          <w:color w:val="auto"/>
        </w:rPr>
        <w:t>A</w:t>
      </w:r>
      <w:r w:rsidR="00BF151A" w:rsidRPr="00887EB4">
        <w:rPr>
          <w:color w:val="auto"/>
        </w:rPr>
        <w:t>pproach</w:t>
      </w:r>
    </w:p>
    <w:p w:rsidR="00EC1A5B" w:rsidRDefault="00EC1A5B" w:rsidP="00EC1A5B">
      <w:pPr>
        <w:autoSpaceDE w:val="0"/>
        <w:autoSpaceDN w:val="0"/>
        <w:snapToGrid w:val="0"/>
        <w:rPr>
          <w:rFonts w:asciiTheme="minorHAnsi" w:hAnsiTheme="minorHAnsi" w:cs="Arial"/>
          <w:b/>
          <w:bCs/>
          <w:sz w:val="20"/>
          <w:szCs w:val="20"/>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EC1A5B" w:rsidTr="004B249E">
        <w:tc>
          <w:tcPr>
            <w:tcW w:w="8363" w:type="dxa"/>
          </w:tcPr>
          <w:p w:rsidR="00EC1A5B" w:rsidRPr="00560488" w:rsidRDefault="00EC1A5B" w:rsidP="00EC1A5B">
            <w:pPr>
              <w:autoSpaceDE w:val="0"/>
              <w:autoSpaceDN w:val="0"/>
              <w:snapToGrid w:val="0"/>
              <w:rPr>
                <w:rFonts w:asciiTheme="minorHAnsi" w:hAnsiTheme="minorHAnsi" w:cs="Arial"/>
                <w:b/>
                <w:bCs/>
                <w:sz w:val="20"/>
                <w:szCs w:val="20"/>
              </w:rPr>
            </w:pPr>
            <w:r w:rsidRPr="00560488">
              <w:rPr>
                <w:rFonts w:asciiTheme="minorHAnsi" w:hAnsiTheme="minorHAnsi" w:cs="Arial"/>
                <w:b/>
                <w:bCs/>
                <w:sz w:val="20"/>
                <w:szCs w:val="20"/>
              </w:rPr>
              <w:t>“8.4.2 Maintenance management standards</w:t>
            </w:r>
          </w:p>
          <w:p w:rsidR="00EC1A5B" w:rsidRPr="00560488" w:rsidRDefault="00EC1A5B" w:rsidP="00EC1A5B">
            <w:pPr>
              <w:autoSpaceDE w:val="0"/>
              <w:autoSpaceDN w:val="0"/>
              <w:snapToGrid w:val="0"/>
              <w:rPr>
                <w:rFonts w:asciiTheme="minorHAnsi" w:hAnsiTheme="minorHAnsi" w:cs="Arial"/>
                <w:i/>
                <w:sz w:val="20"/>
                <w:szCs w:val="20"/>
              </w:rPr>
            </w:pPr>
          </w:p>
          <w:p w:rsidR="00EC1A5B" w:rsidRPr="00560488" w:rsidRDefault="00EC1A5B" w:rsidP="00EC1A5B">
            <w:pPr>
              <w:autoSpaceDE w:val="0"/>
              <w:autoSpaceDN w:val="0"/>
              <w:snapToGrid w:val="0"/>
              <w:rPr>
                <w:rFonts w:asciiTheme="minorHAnsi" w:hAnsiTheme="minorHAnsi" w:cs="Arial"/>
                <w:b/>
                <w:i/>
                <w:sz w:val="20"/>
                <w:szCs w:val="20"/>
              </w:rPr>
            </w:pPr>
            <w:r w:rsidRPr="00560488">
              <w:rPr>
                <w:rFonts w:asciiTheme="minorHAnsi" w:hAnsiTheme="minorHAnsi" w:cs="Arial"/>
                <w:b/>
                <w:i/>
                <w:sz w:val="20"/>
                <w:szCs w:val="20"/>
              </w:rPr>
              <w:t>All three heavy vehicle accreditation schemes (NHVAS, WAHVA and TruckSafe) use the NHVAS maintenance management module to address vehicle roadworthiness.”</w:t>
            </w:r>
          </w:p>
          <w:p w:rsidR="00EC1A5B" w:rsidRDefault="00EC1A5B" w:rsidP="00EC1A5B">
            <w:pPr>
              <w:autoSpaceDE w:val="0"/>
              <w:autoSpaceDN w:val="0"/>
              <w:snapToGrid w:val="0"/>
              <w:rPr>
                <w:rFonts w:asciiTheme="minorHAnsi" w:hAnsiTheme="minorHAnsi" w:cs="Arial"/>
                <w:b/>
                <w:bCs/>
                <w:sz w:val="20"/>
                <w:szCs w:val="20"/>
              </w:rPr>
            </w:pPr>
          </w:p>
        </w:tc>
      </w:tr>
    </w:tbl>
    <w:p w:rsidR="00752DDE" w:rsidRDefault="00852273" w:rsidP="00F56A53">
      <w:pPr>
        <w:rPr>
          <w:rFonts w:asciiTheme="minorHAnsi" w:hAnsiTheme="minorHAnsi"/>
          <w:sz w:val="20"/>
          <w:szCs w:val="20"/>
        </w:rPr>
      </w:pPr>
      <w:r w:rsidRPr="00560488">
        <w:rPr>
          <w:rFonts w:asciiTheme="minorHAnsi" w:hAnsiTheme="minorHAnsi"/>
          <w:sz w:val="20"/>
          <w:szCs w:val="20"/>
        </w:rPr>
        <w:t>Th</w:t>
      </w:r>
      <w:r w:rsidR="00951D32">
        <w:rPr>
          <w:rFonts w:asciiTheme="minorHAnsi" w:hAnsiTheme="minorHAnsi"/>
          <w:sz w:val="20"/>
          <w:szCs w:val="20"/>
        </w:rPr>
        <w:t>e</w:t>
      </w:r>
      <w:r w:rsidRPr="00560488">
        <w:rPr>
          <w:rFonts w:asciiTheme="minorHAnsi" w:hAnsiTheme="minorHAnsi"/>
          <w:sz w:val="20"/>
          <w:szCs w:val="20"/>
        </w:rPr>
        <w:t xml:space="preserve"> sentence</w:t>
      </w:r>
      <w:r w:rsidR="00EC1A5B">
        <w:rPr>
          <w:rFonts w:asciiTheme="minorHAnsi" w:hAnsiTheme="minorHAnsi"/>
          <w:sz w:val="20"/>
          <w:szCs w:val="20"/>
        </w:rPr>
        <w:t xml:space="preserve"> above </w:t>
      </w:r>
      <w:r w:rsidRPr="00560488">
        <w:rPr>
          <w:rFonts w:asciiTheme="minorHAnsi" w:hAnsiTheme="minorHAnsi"/>
          <w:sz w:val="20"/>
          <w:szCs w:val="20"/>
        </w:rPr>
        <w:t>in</w:t>
      </w:r>
      <w:r w:rsidR="00D048EC" w:rsidRPr="00560488">
        <w:rPr>
          <w:rFonts w:asciiTheme="minorHAnsi" w:hAnsiTheme="minorHAnsi"/>
          <w:sz w:val="20"/>
          <w:szCs w:val="20"/>
        </w:rPr>
        <w:t xml:space="preserve"> the Phase 2 report </w:t>
      </w:r>
      <w:r w:rsidR="00951D32">
        <w:rPr>
          <w:rFonts w:asciiTheme="minorHAnsi" w:hAnsiTheme="minorHAnsi"/>
          <w:sz w:val="20"/>
          <w:szCs w:val="20"/>
        </w:rPr>
        <w:t xml:space="preserve">(page </w:t>
      </w:r>
      <w:r w:rsidR="005E5E9E" w:rsidRPr="00560488">
        <w:rPr>
          <w:rFonts w:asciiTheme="minorHAnsi" w:hAnsiTheme="minorHAnsi"/>
          <w:sz w:val="20"/>
          <w:szCs w:val="20"/>
        </w:rPr>
        <w:t>52</w:t>
      </w:r>
      <w:r w:rsidR="00951D32">
        <w:rPr>
          <w:rFonts w:asciiTheme="minorHAnsi" w:hAnsiTheme="minorHAnsi"/>
          <w:sz w:val="20"/>
          <w:szCs w:val="20"/>
        </w:rPr>
        <w:t>)</w:t>
      </w:r>
      <w:r w:rsidR="005E5E9E" w:rsidRPr="00560488">
        <w:rPr>
          <w:rFonts w:asciiTheme="minorHAnsi" w:hAnsiTheme="minorHAnsi"/>
          <w:sz w:val="20"/>
          <w:szCs w:val="20"/>
        </w:rPr>
        <w:t xml:space="preserve"> </w:t>
      </w:r>
      <w:r w:rsidR="00624732" w:rsidRPr="00560488">
        <w:rPr>
          <w:rFonts w:asciiTheme="minorHAnsi" w:hAnsiTheme="minorHAnsi"/>
          <w:sz w:val="20"/>
          <w:szCs w:val="20"/>
        </w:rPr>
        <w:t>do</w:t>
      </w:r>
      <w:r w:rsidRPr="00560488">
        <w:rPr>
          <w:rFonts w:asciiTheme="minorHAnsi" w:hAnsiTheme="minorHAnsi"/>
          <w:sz w:val="20"/>
          <w:szCs w:val="20"/>
        </w:rPr>
        <w:t>es</w:t>
      </w:r>
      <w:r w:rsidR="00624732" w:rsidRPr="00560488">
        <w:rPr>
          <w:rFonts w:asciiTheme="minorHAnsi" w:hAnsiTheme="minorHAnsi"/>
          <w:sz w:val="20"/>
          <w:szCs w:val="20"/>
        </w:rPr>
        <w:t xml:space="preserve"> not </w:t>
      </w:r>
      <w:r w:rsidR="00951D32">
        <w:rPr>
          <w:rFonts w:asciiTheme="minorHAnsi" w:hAnsiTheme="minorHAnsi"/>
          <w:sz w:val="20"/>
          <w:szCs w:val="20"/>
        </w:rPr>
        <w:t xml:space="preserve">adequately </w:t>
      </w:r>
      <w:r w:rsidR="00624732" w:rsidRPr="00560488">
        <w:rPr>
          <w:rFonts w:asciiTheme="minorHAnsi" w:hAnsiTheme="minorHAnsi"/>
          <w:sz w:val="20"/>
          <w:szCs w:val="20"/>
        </w:rPr>
        <w:t xml:space="preserve">reflect </w:t>
      </w:r>
      <w:r w:rsidR="00D730DD" w:rsidRPr="00560488">
        <w:rPr>
          <w:rFonts w:asciiTheme="minorHAnsi" w:hAnsiTheme="minorHAnsi"/>
          <w:sz w:val="20"/>
          <w:szCs w:val="20"/>
        </w:rPr>
        <w:t xml:space="preserve">the </w:t>
      </w:r>
      <w:r w:rsidR="0050452D" w:rsidRPr="00560488">
        <w:rPr>
          <w:rFonts w:asciiTheme="minorHAnsi" w:hAnsiTheme="minorHAnsi"/>
          <w:sz w:val="20"/>
          <w:szCs w:val="20"/>
        </w:rPr>
        <w:t xml:space="preserve">TruckSafe </w:t>
      </w:r>
      <w:r w:rsidR="00624732" w:rsidRPr="00560488">
        <w:rPr>
          <w:rFonts w:asciiTheme="minorHAnsi" w:hAnsiTheme="minorHAnsi"/>
          <w:sz w:val="20"/>
          <w:szCs w:val="20"/>
        </w:rPr>
        <w:t xml:space="preserve">approach to maintenance standards. </w:t>
      </w:r>
    </w:p>
    <w:p w:rsidR="00752DDE" w:rsidRDefault="00752DDE" w:rsidP="00F56A53">
      <w:pPr>
        <w:rPr>
          <w:rFonts w:asciiTheme="minorHAnsi" w:hAnsiTheme="minorHAnsi"/>
          <w:sz w:val="20"/>
          <w:szCs w:val="20"/>
        </w:rPr>
      </w:pPr>
    </w:p>
    <w:p w:rsidR="00624732" w:rsidRPr="00560488" w:rsidRDefault="0050452D" w:rsidP="00F56A53">
      <w:pPr>
        <w:rPr>
          <w:rFonts w:asciiTheme="minorHAnsi" w:hAnsiTheme="minorHAnsi"/>
          <w:sz w:val="20"/>
          <w:szCs w:val="20"/>
        </w:rPr>
      </w:pPr>
      <w:r w:rsidRPr="00560488">
        <w:rPr>
          <w:rFonts w:asciiTheme="minorHAnsi" w:hAnsiTheme="minorHAnsi"/>
          <w:sz w:val="20"/>
          <w:szCs w:val="20"/>
        </w:rPr>
        <w:t xml:space="preserve">TruckSafe </w:t>
      </w:r>
      <w:r w:rsidR="00624732" w:rsidRPr="00560488">
        <w:rPr>
          <w:rFonts w:asciiTheme="minorHAnsi" w:hAnsiTheme="minorHAnsi"/>
          <w:sz w:val="20"/>
          <w:szCs w:val="20"/>
        </w:rPr>
        <w:t xml:space="preserve">maintenance standards </w:t>
      </w:r>
      <w:r w:rsidR="00D730DD" w:rsidRPr="00560488">
        <w:rPr>
          <w:rFonts w:asciiTheme="minorHAnsi" w:hAnsiTheme="minorHAnsi"/>
          <w:sz w:val="20"/>
          <w:szCs w:val="20"/>
        </w:rPr>
        <w:t xml:space="preserve">are different from </w:t>
      </w:r>
      <w:r w:rsidR="00624732" w:rsidRPr="00560488">
        <w:rPr>
          <w:rFonts w:asciiTheme="minorHAnsi" w:hAnsiTheme="minorHAnsi"/>
          <w:sz w:val="20"/>
          <w:szCs w:val="20"/>
        </w:rPr>
        <w:t>NHVAS maintenance standards</w:t>
      </w:r>
      <w:r w:rsidR="00D730DD" w:rsidRPr="00560488">
        <w:rPr>
          <w:rFonts w:asciiTheme="minorHAnsi" w:hAnsiTheme="minorHAnsi"/>
          <w:sz w:val="20"/>
          <w:szCs w:val="20"/>
        </w:rPr>
        <w:t xml:space="preserve"> in two key ways</w:t>
      </w:r>
      <w:r w:rsidR="00624732" w:rsidRPr="00560488">
        <w:rPr>
          <w:rFonts w:asciiTheme="minorHAnsi" w:hAnsiTheme="minorHAnsi"/>
          <w:sz w:val="20"/>
          <w:szCs w:val="20"/>
        </w:rPr>
        <w:t>:</w:t>
      </w:r>
    </w:p>
    <w:p w:rsidR="00624732" w:rsidRPr="00560488" w:rsidRDefault="00624732" w:rsidP="00F56A53">
      <w:pPr>
        <w:rPr>
          <w:rFonts w:asciiTheme="minorHAnsi" w:hAnsiTheme="minorHAnsi"/>
          <w:sz w:val="20"/>
          <w:szCs w:val="20"/>
        </w:rPr>
      </w:pPr>
    </w:p>
    <w:p w:rsidR="00624732" w:rsidRPr="00560488" w:rsidRDefault="00624732" w:rsidP="00887EB4">
      <w:pPr>
        <w:pStyle w:val="ListParagraph"/>
        <w:numPr>
          <w:ilvl w:val="0"/>
          <w:numId w:val="18"/>
        </w:numPr>
        <w:autoSpaceDE w:val="0"/>
        <w:autoSpaceDN w:val="0"/>
        <w:snapToGrid w:val="0"/>
        <w:spacing w:after="0"/>
        <w:ind w:left="360"/>
        <w:rPr>
          <w:rFonts w:asciiTheme="minorHAnsi" w:hAnsiTheme="minorHAnsi"/>
          <w:sz w:val="20"/>
          <w:szCs w:val="20"/>
        </w:rPr>
      </w:pPr>
      <w:r w:rsidRPr="00560488">
        <w:rPr>
          <w:rFonts w:asciiTheme="minorHAnsi" w:hAnsiTheme="minorHAnsi"/>
          <w:sz w:val="20"/>
          <w:szCs w:val="20"/>
        </w:rPr>
        <w:t xml:space="preserve">Unlike NHVAS, the TruckSafe standards require every </w:t>
      </w:r>
      <w:r w:rsidR="00B51A2F" w:rsidRPr="00560488">
        <w:rPr>
          <w:rFonts w:asciiTheme="minorHAnsi" w:hAnsiTheme="minorHAnsi"/>
          <w:sz w:val="20"/>
          <w:szCs w:val="20"/>
        </w:rPr>
        <w:t xml:space="preserve">enrolled </w:t>
      </w:r>
      <w:r w:rsidRPr="00560488">
        <w:rPr>
          <w:rFonts w:asciiTheme="minorHAnsi" w:hAnsiTheme="minorHAnsi"/>
          <w:sz w:val="20"/>
          <w:szCs w:val="20"/>
        </w:rPr>
        <w:t>vehicle to undergo a roadworthy assessment every 12 months. Th</w:t>
      </w:r>
      <w:r w:rsidR="00B51A2F" w:rsidRPr="00560488">
        <w:rPr>
          <w:rFonts w:asciiTheme="minorHAnsi" w:hAnsiTheme="minorHAnsi"/>
          <w:sz w:val="20"/>
          <w:szCs w:val="20"/>
        </w:rPr>
        <w:t>e</w:t>
      </w:r>
      <w:r w:rsidRPr="00560488">
        <w:rPr>
          <w:rFonts w:asciiTheme="minorHAnsi" w:hAnsiTheme="minorHAnsi"/>
          <w:sz w:val="20"/>
          <w:szCs w:val="20"/>
        </w:rPr>
        <w:t xml:space="preserve"> inspection must </w:t>
      </w:r>
      <w:r w:rsidR="00B51A2F" w:rsidRPr="00560488">
        <w:rPr>
          <w:rFonts w:asciiTheme="minorHAnsi" w:hAnsiTheme="minorHAnsi"/>
          <w:sz w:val="20"/>
          <w:szCs w:val="20"/>
        </w:rPr>
        <w:t xml:space="preserve">also </w:t>
      </w:r>
      <w:r w:rsidRPr="00560488">
        <w:rPr>
          <w:rFonts w:asciiTheme="minorHAnsi" w:hAnsiTheme="minorHAnsi"/>
          <w:sz w:val="20"/>
          <w:szCs w:val="20"/>
        </w:rPr>
        <w:t>be conducted by a competent person experienced in the inspection of heavy vehicles for roadworthiness.</w:t>
      </w:r>
    </w:p>
    <w:p w:rsidR="00624732" w:rsidRPr="00560488" w:rsidRDefault="00624732" w:rsidP="00887EB4">
      <w:pPr>
        <w:pStyle w:val="ListParagraph"/>
        <w:numPr>
          <w:ilvl w:val="0"/>
          <w:numId w:val="18"/>
        </w:numPr>
        <w:autoSpaceDE w:val="0"/>
        <w:autoSpaceDN w:val="0"/>
        <w:snapToGrid w:val="0"/>
        <w:spacing w:after="0"/>
        <w:ind w:left="360"/>
        <w:rPr>
          <w:rFonts w:asciiTheme="minorHAnsi" w:hAnsiTheme="minorHAnsi"/>
          <w:sz w:val="20"/>
          <w:szCs w:val="20"/>
        </w:rPr>
      </w:pPr>
      <w:r w:rsidRPr="00560488">
        <w:rPr>
          <w:rFonts w:asciiTheme="minorHAnsi" w:hAnsiTheme="minorHAnsi"/>
          <w:sz w:val="20"/>
          <w:szCs w:val="20"/>
        </w:rPr>
        <w:t xml:space="preserve">Further, </w:t>
      </w:r>
      <w:r w:rsidR="0050452D" w:rsidRPr="00560488">
        <w:rPr>
          <w:rFonts w:asciiTheme="minorHAnsi" w:hAnsiTheme="minorHAnsi"/>
          <w:sz w:val="20"/>
          <w:szCs w:val="20"/>
        </w:rPr>
        <w:t xml:space="preserve">TruckSafe </w:t>
      </w:r>
      <w:r w:rsidRPr="00560488">
        <w:rPr>
          <w:rFonts w:asciiTheme="minorHAnsi" w:hAnsiTheme="minorHAnsi"/>
          <w:sz w:val="20"/>
          <w:szCs w:val="20"/>
        </w:rPr>
        <w:t xml:space="preserve">maintenance standards require operators to ensure there is evidence </w:t>
      </w:r>
      <w:r w:rsidR="00592A98" w:rsidRPr="00560488">
        <w:rPr>
          <w:rFonts w:asciiTheme="minorHAnsi" w:hAnsiTheme="minorHAnsi"/>
          <w:sz w:val="20"/>
          <w:szCs w:val="20"/>
        </w:rPr>
        <w:t xml:space="preserve">available </w:t>
      </w:r>
      <w:r w:rsidRPr="00560488">
        <w:rPr>
          <w:rFonts w:asciiTheme="minorHAnsi" w:hAnsiTheme="minorHAnsi"/>
          <w:sz w:val="20"/>
          <w:szCs w:val="20"/>
        </w:rPr>
        <w:t xml:space="preserve">of regular inspection and review to ensure compliance with ADR 65/00, </w:t>
      </w:r>
      <w:r w:rsidR="00F86486" w:rsidRPr="00560488">
        <w:rPr>
          <w:rFonts w:asciiTheme="minorHAnsi" w:hAnsiTheme="minorHAnsi"/>
          <w:sz w:val="20"/>
          <w:szCs w:val="20"/>
        </w:rPr>
        <w:t xml:space="preserve">and of </w:t>
      </w:r>
      <w:r w:rsidRPr="00560488">
        <w:rPr>
          <w:rFonts w:asciiTheme="minorHAnsi" w:hAnsiTheme="minorHAnsi"/>
          <w:sz w:val="20"/>
          <w:szCs w:val="20"/>
        </w:rPr>
        <w:t>monitoring the legal calibration of vehicle speed limiting equipment. Again, NHVAS maintenance does not include this requirement.</w:t>
      </w:r>
    </w:p>
    <w:p w:rsidR="004B249E" w:rsidRDefault="004B249E" w:rsidP="00F56A53">
      <w:pPr>
        <w:autoSpaceDE w:val="0"/>
        <w:autoSpaceDN w:val="0"/>
        <w:snapToGrid w:val="0"/>
        <w:rPr>
          <w:rFonts w:asciiTheme="minorHAnsi" w:hAnsiTheme="minorHAnsi"/>
          <w:sz w:val="20"/>
          <w:szCs w:val="20"/>
        </w:rPr>
      </w:pPr>
    </w:p>
    <w:p w:rsidR="005E5E9E" w:rsidRPr="00560488" w:rsidRDefault="009071F6" w:rsidP="00F56A53">
      <w:pPr>
        <w:rPr>
          <w:rFonts w:asciiTheme="minorHAnsi" w:hAnsiTheme="minorHAnsi"/>
          <w:sz w:val="20"/>
          <w:szCs w:val="20"/>
        </w:rPr>
      </w:pPr>
      <w:r w:rsidRPr="00560488">
        <w:rPr>
          <w:rFonts w:asciiTheme="minorHAnsi" w:hAnsiTheme="minorHAnsi"/>
          <w:sz w:val="20"/>
          <w:szCs w:val="20"/>
        </w:rPr>
        <w:t xml:space="preserve">Other </w:t>
      </w:r>
      <w:r w:rsidR="005E5E9E" w:rsidRPr="00560488">
        <w:rPr>
          <w:rFonts w:asciiTheme="minorHAnsi" w:hAnsiTheme="minorHAnsi"/>
          <w:sz w:val="20"/>
          <w:szCs w:val="20"/>
        </w:rPr>
        <w:t xml:space="preserve">ways in which </w:t>
      </w:r>
      <w:r w:rsidRPr="00560488">
        <w:rPr>
          <w:rFonts w:asciiTheme="minorHAnsi" w:hAnsiTheme="minorHAnsi"/>
          <w:sz w:val="20"/>
          <w:szCs w:val="20"/>
        </w:rPr>
        <w:t xml:space="preserve">the </w:t>
      </w:r>
      <w:r w:rsidR="0050452D" w:rsidRPr="00560488">
        <w:rPr>
          <w:rFonts w:asciiTheme="minorHAnsi" w:hAnsiTheme="minorHAnsi"/>
          <w:sz w:val="20"/>
          <w:szCs w:val="20"/>
        </w:rPr>
        <w:t xml:space="preserve">TruckSafe </w:t>
      </w:r>
      <w:r w:rsidRPr="00560488">
        <w:rPr>
          <w:rFonts w:asciiTheme="minorHAnsi" w:hAnsiTheme="minorHAnsi"/>
          <w:sz w:val="20"/>
          <w:szCs w:val="20"/>
        </w:rPr>
        <w:t xml:space="preserve">scheme </w:t>
      </w:r>
      <w:r w:rsidR="007B7A80" w:rsidRPr="00560488">
        <w:rPr>
          <w:rFonts w:asciiTheme="minorHAnsi" w:hAnsiTheme="minorHAnsi"/>
          <w:sz w:val="20"/>
          <w:szCs w:val="20"/>
        </w:rPr>
        <w:t>differs from</w:t>
      </w:r>
      <w:r w:rsidR="005E5E9E" w:rsidRPr="00560488">
        <w:rPr>
          <w:rFonts w:asciiTheme="minorHAnsi" w:hAnsiTheme="minorHAnsi"/>
          <w:sz w:val="20"/>
          <w:szCs w:val="20"/>
        </w:rPr>
        <w:t xml:space="preserve"> </w:t>
      </w:r>
      <w:r w:rsidR="00145A38" w:rsidRPr="00560488">
        <w:rPr>
          <w:rFonts w:asciiTheme="minorHAnsi" w:hAnsiTheme="minorHAnsi"/>
          <w:sz w:val="20"/>
          <w:szCs w:val="20"/>
        </w:rPr>
        <w:t xml:space="preserve">the </w:t>
      </w:r>
      <w:r w:rsidR="00D757D5" w:rsidRPr="00560488">
        <w:rPr>
          <w:rFonts w:asciiTheme="minorHAnsi" w:hAnsiTheme="minorHAnsi"/>
          <w:sz w:val="20"/>
          <w:szCs w:val="20"/>
        </w:rPr>
        <w:t xml:space="preserve">NHVAS </w:t>
      </w:r>
      <w:r w:rsidR="00145A38" w:rsidRPr="00560488">
        <w:rPr>
          <w:rFonts w:asciiTheme="minorHAnsi" w:hAnsiTheme="minorHAnsi"/>
          <w:sz w:val="20"/>
          <w:szCs w:val="20"/>
        </w:rPr>
        <w:t>approach</w:t>
      </w:r>
      <w:r w:rsidR="005E5E9E" w:rsidRPr="00560488">
        <w:rPr>
          <w:rFonts w:asciiTheme="minorHAnsi" w:hAnsiTheme="minorHAnsi"/>
          <w:sz w:val="20"/>
          <w:szCs w:val="20"/>
        </w:rPr>
        <w:t xml:space="preserve"> </w:t>
      </w:r>
      <w:r w:rsidR="007B7A80" w:rsidRPr="00560488">
        <w:rPr>
          <w:rFonts w:asciiTheme="minorHAnsi" w:hAnsiTheme="minorHAnsi"/>
          <w:sz w:val="20"/>
          <w:szCs w:val="20"/>
        </w:rPr>
        <w:t>include that</w:t>
      </w:r>
      <w:r w:rsidR="005E5E9E" w:rsidRPr="00560488">
        <w:rPr>
          <w:rFonts w:asciiTheme="minorHAnsi" w:hAnsiTheme="minorHAnsi"/>
          <w:sz w:val="20"/>
          <w:szCs w:val="20"/>
        </w:rPr>
        <w:t>:</w:t>
      </w:r>
    </w:p>
    <w:p w:rsidR="005E5E9E" w:rsidRPr="00560488" w:rsidRDefault="005E5E9E" w:rsidP="00F56A53">
      <w:pPr>
        <w:rPr>
          <w:rFonts w:asciiTheme="minorHAnsi" w:hAnsiTheme="minorHAnsi"/>
          <w:sz w:val="20"/>
          <w:szCs w:val="20"/>
        </w:rPr>
      </w:pPr>
    </w:p>
    <w:p w:rsidR="005E5E9E" w:rsidRPr="00560488" w:rsidRDefault="0050452D" w:rsidP="00887EB4">
      <w:pPr>
        <w:pStyle w:val="ListParagraph"/>
        <w:numPr>
          <w:ilvl w:val="0"/>
          <w:numId w:val="14"/>
        </w:numPr>
        <w:spacing w:after="0" w:line="240" w:lineRule="auto"/>
        <w:rPr>
          <w:rFonts w:asciiTheme="minorHAnsi" w:hAnsiTheme="minorHAnsi"/>
          <w:sz w:val="20"/>
          <w:szCs w:val="20"/>
        </w:rPr>
      </w:pPr>
      <w:r w:rsidRPr="00560488">
        <w:rPr>
          <w:rFonts w:asciiTheme="minorHAnsi" w:hAnsiTheme="minorHAnsi"/>
          <w:sz w:val="20"/>
          <w:szCs w:val="20"/>
        </w:rPr>
        <w:t xml:space="preserve">TruckSafe </w:t>
      </w:r>
      <w:r w:rsidR="004156DE" w:rsidRPr="00560488">
        <w:rPr>
          <w:rFonts w:asciiTheme="minorHAnsi" w:hAnsiTheme="minorHAnsi"/>
          <w:sz w:val="20"/>
          <w:szCs w:val="20"/>
        </w:rPr>
        <w:t>operators</w:t>
      </w:r>
      <w:r w:rsidR="00AA27E3" w:rsidRPr="00560488">
        <w:rPr>
          <w:rFonts w:asciiTheme="minorHAnsi" w:hAnsiTheme="minorHAnsi"/>
          <w:sz w:val="20"/>
          <w:szCs w:val="20"/>
        </w:rPr>
        <w:t xml:space="preserve"> pay for </w:t>
      </w:r>
      <w:r w:rsidR="004156DE" w:rsidRPr="00560488">
        <w:rPr>
          <w:rFonts w:asciiTheme="minorHAnsi" w:hAnsiTheme="minorHAnsi"/>
          <w:sz w:val="20"/>
          <w:szCs w:val="20"/>
        </w:rPr>
        <w:t xml:space="preserve">the </w:t>
      </w:r>
      <w:r w:rsidR="00AA27E3" w:rsidRPr="00560488">
        <w:rPr>
          <w:rFonts w:asciiTheme="minorHAnsi" w:hAnsiTheme="minorHAnsi"/>
          <w:sz w:val="20"/>
          <w:szCs w:val="20"/>
        </w:rPr>
        <w:t>audit</w:t>
      </w:r>
      <w:r w:rsidR="004156DE" w:rsidRPr="00560488">
        <w:rPr>
          <w:rFonts w:asciiTheme="minorHAnsi" w:hAnsiTheme="minorHAnsi"/>
          <w:sz w:val="20"/>
          <w:szCs w:val="20"/>
        </w:rPr>
        <w:t xml:space="preserve"> proces</w:t>
      </w:r>
      <w:r w:rsidR="00AA27E3" w:rsidRPr="00560488">
        <w:rPr>
          <w:rFonts w:asciiTheme="minorHAnsi" w:hAnsiTheme="minorHAnsi"/>
          <w:sz w:val="20"/>
          <w:szCs w:val="20"/>
        </w:rPr>
        <w:t xml:space="preserve">s but </w:t>
      </w:r>
      <w:r w:rsidR="00C248A4" w:rsidRPr="00560488">
        <w:rPr>
          <w:rFonts w:asciiTheme="minorHAnsi" w:hAnsiTheme="minorHAnsi"/>
          <w:sz w:val="20"/>
          <w:szCs w:val="20"/>
        </w:rPr>
        <w:t xml:space="preserve">they </w:t>
      </w:r>
      <w:r w:rsidR="00AA27E3" w:rsidRPr="00560488">
        <w:rPr>
          <w:rFonts w:asciiTheme="minorHAnsi" w:hAnsiTheme="minorHAnsi"/>
          <w:sz w:val="20"/>
          <w:szCs w:val="20"/>
        </w:rPr>
        <w:t>do</w:t>
      </w:r>
      <w:r w:rsidR="005E5E9E" w:rsidRPr="00560488">
        <w:rPr>
          <w:rFonts w:asciiTheme="minorHAnsi" w:hAnsiTheme="minorHAnsi"/>
          <w:sz w:val="20"/>
          <w:szCs w:val="20"/>
        </w:rPr>
        <w:t xml:space="preserve"> not </w:t>
      </w:r>
      <w:r w:rsidR="00C248A4" w:rsidRPr="00560488">
        <w:rPr>
          <w:rFonts w:asciiTheme="minorHAnsi" w:hAnsiTheme="minorHAnsi"/>
          <w:sz w:val="20"/>
          <w:szCs w:val="20"/>
        </w:rPr>
        <w:t xml:space="preserve">choose or </w:t>
      </w:r>
      <w:r w:rsidR="005E5E9E" w:rsidRPr="00560488">
        <w:rPr>
          <w:rFonts w:asciiTheme="minorHAnsi" w:hAnsiTheme="minorHAnsi"/>
          <w:sz w:val="20"/>
          <w:szCs w:val="20"/>
        </w:rPr>
        <w:t xml:space="preserve">appoint </w:t>
      </w:r>
      <w:r w:rsidR="00AA27E3" w:rsidRPr="00560488">
        <w:rPr>
          <w:rFonts w:asciiTheme="minorHAnsi" w:hAnsiTheme="minorHAnsi"/>
          <w:sz w:val="20"/>
          <w:szCs w:val="20"/>
        </w:rPr>
        <w:t xml:space="preserve">the </w:t>
      </w:r>
      <w:r w:rsidR="005E5E9E" w:rsidRPr="00560488">
        <w:rPr>
          <w:rFonts w:asciiTheme="minorHAnsi" w:hAnsiTheme="minorHAnsi"/>
          <w:sz w:val="20"/>
          <w:szCs w:val="20"/>
        </w:rPr>
        <w:t>auditor</w:t>
      </w:r>
      <w:r w:rsidR="00AA27E3" w:rsidRPr="00560488">
        <w:rPr>
          <w:rFonts w:asciiTheme="minorHAnsi" w:hAnsiTheme="minorHAnsi"/>
          <w:sz w:val="20"/>
          <w:szCs w:val="20"/>
        </w:rPr>
        <w:t>s</w:t>
      </w:r>
      <w:r w:rsidR="005E5E9E" w:rsidRPr="00560488">
        <w:rPr>
          <w:rFonts w:asciiTheme="minorHAnsi" w:hAnsiTheme="minorHAnsi"/>
          <w:sz w:val="20"/>
          <w:szCs w:val="20"/>
        </w:rPr>
        <w:t xml:space="preserve"> </w:t>
      </w:r>
      <w:r w:rsidR="00381DBE" w:rsidRPr="00560488">
        <w:rPr>
          <w:rFonts w:asciiTheme="minorHAnsi" w:hAnsiTheme="minorHAnsi"/>
          <w:sz w:val="20"/>
          <w:szCs w:val="20"/>
        </w:rPr>
        <w:t>who carry it out,</w:t>
      </w:r>
    </w:p>
    <w:p w:rsidR="00AA27E3" w:rsidRPr="00560488" w:rsidRDefault="00AA27E3" w:rsidP="00887EB4">
      <w:pPr>
        <w:pStyle w:val="ListParagraph"/>
        <w:numPr>
          <w:ilvl w:val="0"/>
          <w:numId w:val="14"/>
        </w:numPr>
        <w:spacing w:after="0" w:line="240" w:lineRule="auto"/>
        <w:rPr>
          <w:rFonts w:asciiTheme="minorHAnsi" w:hAnsiTheme="minorHAnsi"/>
          <w:sz w:val="20"/>
          <w:szCs w:val="20"/>
        </w:rPr>
      </w:pPr>
      <w:r w:rsidRPr="00560488">
        <w:rPr>
          <w:rFonts w:asciiTheme="minorHAnsi" w:hAnsiTheme="minorHAnsi"/>
          <w:sz w:val="20"/>
          <w:szCs w:val="20"/>
        </w:rPr>
        <w:t>If an audit is triggered under TruckSafe</w:t>
      </w:r>
      <w:r w:rsidR="006D04B0" w:rsidRPr="00560488">
        <w:rPr>
          <w:rFonts w:asciiTheme="minorHAnsi" w:hAnsiTheme="minorHAnsi"/>
          <w:sz w:val="20"/>
          <w:szCs w:val="20"/>
        </w:rPr>
        <w:t>®</w:t>
      </w:r>
      <w:r w:rsidRPr="00560488">
        <w:rPr>
          <w:rFonts w:asciiTheme="minorHAnsi" w:hAnsiTheme="minorHAnsi"/>
          <w:sz w:val="20"/>
          <w:szCs w:val="20"/>
        </w:rPr>
        <w:t xml:space="preserve">, </w:t>
      </w:r>
      <w:r w:rsidR="00C248A4" w:rsidRPr="00560488">
        <w:rPr>
          <w:rFonts w:asciiTheme="minorHAnsi" w:hAnsiTheme="minorHAnsi"/>
          <w:sz w:val="20"/>
          <w:szCs w:val="20"/>
        </w:rPr>
        <w:t>it</w:t>
      </w:r>
      <w:r w:rsidRPr="00560488">
        <w:rPr>
          <w:rFonts w:asciiTheme="minorHAnsi" w:hAnsiTheme="minorHAnsi"/>
          <w:sz w:val="20"/>
          <w:szCs w:val="20"/>
        </w:rPr>
        <w:t xml:space="preserve"> cannot be resolved </w:t>
      </w:r>
      <w:r w:rsidR="00C248A4" w:rsidRPr="00560488">
        <w:rPr>
          <w:rFonts w:asciiTheme="minorHAnsi" w:hAnsiTheme="minorHAnsi"/>
          <w:sz w:val="20"/>
          <w:szCs w:val="20"/>
        </w:rPr>
        <w:t>with</w:t>
      </w:r>
      <w:r w:rsidRPr="00560488">
        <w:rPr>
          <w:rFonts w:asciiTheme="minorHAnsi" w:hAnsiTheme="minorHAnsi"/>
          <w:sz w:val="20"/>
          <w:szCs w:val="20"/>
        </w:rPr>
        <w:t xml:space="preserve"> a desk-top review</w:t>
      </w:r>
      <w:r w:rsidR="00C248A4" w:rsidRPr="00560488">
        <w:rPr>
          <w:rFonts w:asciiTheme="minorHAnsi" w:hAnsiTheme="minorHAnsi"/>
          <w:sz w:val="20"/>
          <w:szCs w:val="20"/>
        </w:rPr>
        <w:t xml:space="preserve">, </w:t>
      </w:r>
      <w:r w:rsidRPr="00560488">
        <w:rPr>
          <w:rFonts w:asciiTheme="minorHAnsi" w:hAnsiTheme="minorHAnsi"/>
          <w:sz w:val="20"/>
          <w:szCs w:val="20"/>
        </w:rPr>
        <w:t>a</w:t>
      </w:r>
      <w:r w:rsidR="00AE15C9" w:rsidRPr="00560488">
        <w:rPr>
          <w:rFonts w:asciiTheme="minorHAnsi" w:hAnsiTheme="minorHAnsi"/>
          <w:sz w:val="20"/>
          <w:szCs w:val="20"/>
        </w:rPr>
        <w:t>n</w:t>
      </w:r>
      <w:r w:rsidRPr="00560488">
        <w:rPr>
          <w:rFonts w:asciiTheme="minorHAnsi" w:hAnsiTheme="minorHAnsi"/>
          <w:sz w:val="20"/>
          <w:szCs w:val="20"/>
        </w:rPr>
        <w:t xml:space="preserve"> </w:t>
      </w:r>
      <w:r w:rsidR="00AE15C9" w:rsidRPr="00560488">
        <w:rPr>
          <w:rFonts w:asciiTheme="minorHAnsi" w:hAnsiTheme="minorHAnsi"/>
          <w:sz w:val="20"/>
          <w:szCs w:val="20"/>
        </w:rPr>
        <w:t xml:space="preserve">on-site </w:t>
      </w:r>
      <w:r w:rsidR="00C248A4" w:rsidRPr="00560488">
        <w:rPr>
          <w:rFonts w:asciiTheme="minorHAnsi" w:hAnsiTheme="minorHAnsi"/>
          <w:sz w:val="20"/>
          <w:szCs w:val="20"/>
        </w:rPr>
        <w:t>visit</w:t>
      </w:r>
      <w:r w:rsidR="00381DBE" w:rsidRPr="00560488">
        <w:rPr>
          <w:rFonts w:asciiTheme="minorHAnsi" w:hAnsiTheme="minorHAnsi"/>
          <w:sz w:val="20"/>
          <w:szCs w:val="20"/>
        </w:rPr>
        <w:t xml:space="preserve"> must be conducted,</w:t>
      </w:r>
    </w:p>
    <w:p w:rsidR="00AE15C9" w:rsidRPr="00560488" w:rsidRDefault="0050452D" w:rsidP="00887EB4">
      <w:pPr>
        <w:pStyle w:val="ListParagraph"/>
        <w:numPr>
          <w:ilvl w:val="0"/>
          <w:numId w:val="14"/>
        </w:numPr>
        <w:spacing w:after="0" w:line="240" w:lineRule="auto"/>
        <w:rPr>
          <w:rFonts w:asciiTheme="minorHAnsi" w:hAnsiTheme="minorHAnsi"/>
          <w:sz w:val="20"/>
          <w:szCs w:val="20"/>
        </w:rPr>
      </w:pPr>
      <w:r w:rsidRPr="00560488">
        <w:rPr>
          <w:rFonts w:asciiTheme="minorHAnsi" w:hAnsiTheme="minorHAnsi"/>
          <w:sz w:val="20"/>
          <w:szCs w:val="20"/>
        </w:rPr>
        <w:t xml:space="preserve">TruckSafe </w:t>
      </w:r>
      <w:r w:rsidR="00AE15C9" w:rsidRPr="00560488">
        <w:rPr>
          <w:rFonts w:asciiTheme="minorHAnsi" w:hAnsiTheme="minorHAnsi"/>
          <w:sz w:val="20"/>
          <w:szCs w:val="20"/>
        </w:rPr>
        <w:t>incorporates four audit types – entry, compliance, triggered and random</w:t>
      </w:r>
      <w:r w:rsidR="00C248A4" w:rsidRPr="00560488">
        <w:rPr>
          <w:rFonts w:asciiTheme="minorHAnsi" w:hAnsiTheme="minorHAnsi"/>
          <w:sz w:val="20"/>
          <w:szCs w:val="20"/>
        </w:rPr>
        <w:t xml:space="preserve"> – </w:t>
      </w:r>
      <w:r w:rsidR="006D04B0" w:rsidRPr="00560488">
        <w:rPr>
          <w:rFonts w:asciiTheme="minorHAnsi" w:hAnsiTheme="minorHAnsi"/>
          <w:sz w:val="20"/>
          <w:szCs w:val="20"/>
        </w:rPr>
        <w:t xml:space="preserve">i.e. </w:t>
      </w:r>
      <w:r w:rsidR="00C248A4" w:rsidRPr="00560488">
        <w:rPr>
          <w:rFonts w:asciiTheme="minorHAnsi" w:hAnsiTheme="minorHAnsi"/>
          <w:sz w:val="20"/>
          <w:szCs w:val="20"/>
        </w:rPr>
        <w:t xml:space="preserve">one more </w:t>
      </w:r>
      <w:r w:rsidR="006D04B0" w:rsidRPr="00560488">
        <w:rPr>
          <w:rFonts w:asciiTheme="minorHAnsi" w:hAnsiTheme="minorHAnsi"/>
          <w:sz w:val="20"/>
          <w:szCs w:val="20"/>
        </w:rPr>
        <w:t xml:space="preserve">audit type </w:t>
      </w:r>
      <w:r w:rsidR="00C248A4" w:rsidRPr="00560488">
        <w:rPr>
          <w:rFonts w:asciiTheme="minorHAnsi" w:hAnsiTheme="minorHAnsi"/>
          <w:sz w:val="20"/>
          <w:szCs w:val="20"/>
        </w:rPr>
        <w:t xml:space="preserve">than </w:t>
      </w:r>
      <w:r w:rsidR="006D04B0" w:rsidRPr="00560488">
        <w:rPr>
          <w:rFonts w:asciiTheme="minorHAnsi" w:hAnsiTheme="minorHAnsi"/>
          <w:sz w:val="20"/>
          <w:szCs w:val="20"/>
        </w:rPr>
        <w:t xml:space="preserve">either </w:t>
      </w:r>
      <w:r w:rsidR="00C248A4" w:rsidRPr="00560488">
        <w:rPr>
          <w:rFonts w:asciiTheme="minorHAnsi" w:hAnsiTheme="minorHAnsi"/>
          <w:sz w:val="20"/>
          <w:szCs w:val="20"/>
        </w:rPr>
        <w:t>NHVAS or WAHVA</w:t>
      </w:r>
      <w:r w:rsidR="00AE15C9" w:rsidRPr="00560488">
        <w:rPr>
          <w:rFonts w:asciiTheme="minorHAnsi" w:hAnsiTheme="minorHAnsi"/>
          <w:sz w:val="20"/>
          <w:szCs w:val="20"/>
        </w:rPr>
        <w:t xml:space="preserve">. </w:t>
      </w:r>
      <w:r w:rsidRPr="00560488">
        <w:rPr>
          <w:rFonts w:asciiTheme="minorHAnsi" w:hAnsiTheme="minorHAnsi"/>
          <w:sz w:val="20"/>
          <w:szCs w:val="20"/>
        </w:rPr>
        <w:t xml:space="preserve">TruckSafe </w:t>
      </w:r>
      <w:r w:rsidR="00AE15C9" w:rsidRPr="00560488">
        <w:rPr>
          <w:rFonts w:asciiTheme="minorHAnsi" w:hAnsiTheme="minorHAnsi"/>
          <w:sz w:val="20"/>
          <w:szCs w:val="20"/>
        </w:rPr>
        <w:t xml:space="preserve">is the only scheme </w:t>
      </w:r>
      <w:r w:rsidR="006D04B0" w:rsidRPr="00560488">
        <w:rPr>
          <w:rFonts w:asciiTheme="minorHAnsi" w:hAnsiTheme="minorHAnsi"/>
          <w:sz w:val="20"/>
          <w:szCs w:val="20"/>
        </w:rPr>
        <w:t>that can apply</w:t>
      </w:r>
      <w:r w:rsidR="00AE15C9" w:rsidRPr="00560488">
        <w:rPr>
          <w:rFonts w:asciiTheme="minorHAnsi" w:hAnsiTheme="minorHAnsi"/>
          <w:sz w:val="20"/>
          <w:szCs w:val="20"/>
        </w:rPr>
        <w:t xml:space="preserve"> </w:t>
      </w:r>
      <w:r w:rsidR="006D04B0" w:rsidRPr="00560488">
        <w:rPr>
          <w:rFonts w:asciiTheme="minorHAnsi" w:hAnsiTheme="minorHAnsi"/>
          <w:sz w:val="20"/>
          <w:szCs w:val="20"/>
        </w:rPr>
        <w:t xml:space="preserve">a </w:t>
      </w:r>
      <w:r w:rsidR="00AE15C9" w:rsidRPr="00560488">
        <w:rPr>
          <w:rFonts w:asciiTheme="minorHAnsi" w:hAnsiTheme="minorHAnsi"/>
          <w:sz w:val="20"/>
          <w:szCs w:val="20"/>
        </w:rPr>
        <w:t>random audit</w:t>
      </w:r>
      <w:r w:rsidR="006D04B0" w:rsidRPr="00560488">
        <w:rPr>
          <w:rFonts w:asciiTheme="minorHAnsi" w:hAnsiTheme="minorHAnsi"/>
          <w:sz w:val="20"/>
          <w:szCs w:val="20"/>
        </w:rPr>
        <w:t xml:space="preserve"> under its business rules</w:t>
      </w:r>
      <w:r w:rsidR="00381DBE" w:rsidRPr="00560488">
        <w:rPr>
          <w:rFonts w:asciiTheme="minorHAnsi" w:hAnsiTheme="minorHAnsi"/>
          <w:sz w:val="20"/>
          <w:szCs w:val="20"/>
        </w:rPr>
        <w:t>, and</w:t>
      </w:r>
    </w:p>
    <w:p w:rsidR="00C248A4" w:rsidRPr="00560488" w:rsidRDefault="003A1161" w:rsidP="00887EB4">
      <w:pPr>
        <w:pStyle w:val="ListParagraph"/>
        <w:numPr>
          <w:ilvl w:val="0"/>
          <w:numId w:val="14"/>
        </w:numPr>
        <w:spacing w:after="0" w:line="240" w:lineRule="auto"/>
        <w:rPr>
          <w:rFonts w:asciiTheme="minorHAnsi" w:hAnsiTheme="minorHAnsi"/>
          <w:sz w:val="20"/>
          <w:szCs w:val="20"/>
        </w:rPr>
      </w:pPr>
      <w:r w:rsidRPr="00560488">
        <w:rPr>
          <w:rFonts w:asciiTheme="minorHAnsi" w:hAnsiTheme="minorHAnsi"/>
          <w:sz w:val="20"/>
          <w:szCs w:val="20"/>
        </w:rPr>
        <w:t>Since 1996 when</w:t>
      </w:r>
      <w:r w:rsidR="00276BAA" w:rsidRPr="00560488">
        <w:rPr>
          <w:rFonts w:asciiTheme="minorHAnsi" w:hAnsiTheme="minorHAnsi"/>
          <w:sz w:val="20"/>
          <w:szCs w:val="20"/>
        </w:rPr>
        <w:t xml:space="preserve"> the </w:t>
      </w:r>
      <w:r w:rsidR="00C248A4" w:rsidRPr="00560488">
        <w:rPr>
          <w:rFonts w:asciiTheme="minorHAnsi" w:hAnsiTheme="minorHAnsi"/>
          <w:sz w:val="20"/>
          <w:szCs w:val="20"/>
        </w:rPr>
        <w:t>TruckSafe</w:t>
      </w:r>
      <w:r w:rsidRPr="00560488">
        <w:rPr>
          <w:rFonts w:asciiTheme="minorHAnsi" w:hAnsiTheme="minorHAnsi"/>
          <w:sz w:val="20"/>
          <w:szCs w:val="20"/>
        </w:rPr>
        <w:t xml:space="preserve"> </w:t>
      </w:r>
      <w:r w:rsidR="00276BAA" w:rsidRPr="00560488">
        <w:rPr>
          <w:rFonts w:asciiTheme="minorHAnsi" w:hAnsiTheme="minorHAnsi"/>
          <w:sz w:val="20"/>
          <w:szCs w:val="20"/>
        </w:rPr>
        <w:t>scheme began</w:t>
      </w:r>
      <w:r w:rsidRPr="00560488">
        <w:rPr>
          <w:rFonts w:asciiTheme="minorHAnsi" w:hAnsiTheme="minorHAnsi"/>
          <w:sz w:val="20"/>
          <w:szCs w:val="20"/>
        </w:rPr>
        <w:t xml:space="preserve">, </w:t>
      </w:r>
      <w:r w:rsidR="00C248A4" w:rsidRPr="00560488">
        <w:rPr>
          <w:rFonts w:asciiTheme="minorHAnsi" w:hAnsiTheme="minorHAnsi"/>
          <w:sz w:val="20"/>
          <w:szCs w:val="20"/>
        </w:rPr>
        <w:t xml:space="preserve">41 auditors </w:t>
      </w:r>
      <w:r w:rsidRPr="00560488">
        <w:rPr>
          <w:rFonts w:asciiTheme="minorHAnsi" w:hAnsiTheme="minorHAnsi"/>
          <w:sz w:val="20"/>
          <w:szCs w:val="20"/>
        </w:rPr>
        <w:t xml:space="preserve">have been removed from the system </w:t>
      </w:r>
      <w:r w:rsidR="00D76D01" w:rsidRPr="00560488">
        <w:rPr>
          <w:rFonts w:asciiTheme="minorHAnsi" w:hAnsiTheme="minorHAnsi"/>
          <w:sz w:val="20"/>
          <w:szCs w:val="20"/>
        </w:rPr>
        <w:t xml:space="preserve">because </w:t>
      </w:r>
      <w:r w:rsidRPr="00560488">
        <w:rPr>
          <w:rFonts w:asciiTheme="minorHAnsi" w:hAnsiTheme="minorHAnsi"/>
          <w:sz w:val="20"/>
          <w:szCs w:val="20"/>
        </w:rPr>
        <w:t>the</w:t>
      </w:r>
      <w:r w:rsidR="003827D6" w:rsidRPr="00560488">
        <w:rPr>
          <w:rFonts w:asciiTheme="minorHAnsi" w:hAnsiTheme="minorHAnsi"/>
          <w:sz w:val="20"/>
          <w:szCs w:val="20"/>
        </w:rPr>
        <w:t xml:space="preserve"> </w:t>
      </w:r>
      <w:r w:rsidRPr="00560488">
        <w:rPr>
          <w:rFonts w:asciiTheme="minorHAnsi" w:hAnsiTheme="minorHAnsi"/>
          <w:sz w:val="20"/>
          <w:szCs w:val="20"/>
        </w:rPr>
        <w:t>B</w:t>
      </w:r>
      <w:r w:rsidR="003827D6" w:rsidRPr="00560488">
        <w:rPr>
          <w:rFonts w:asciiTheme="minorHAnsi" w:hAnsiTheme="minorHAnsi"/>
          <w:sz w:val="20"/>
          <w:szCs w:val="20"/>
        </w:rPr>
        <w:t>oard of Management was un</w:t>
      </w:r>
      <w:r w:rsidR="00D76D01" w:rsidRPr="00560488">
        <w:rPr>
          <w:rFonts w:asciiTheme="minorHAnsi" w:hAnsiTheme="minorHAnsi"/>
          <w:sz w:val="20"/>
          <w:szCs w:val="20"/>
        </w:rPr>
        <w:t>satisfied by their auditing performance.</w:t>
      </w:r>
    </w:p>
    <w:p w:rsidR="007B7A80" w:rsidRPr="00560488" w:rsidRDefault="007B7A80" w:rsidP="00F56A53">
      <w:pPr>
        <w:rPr>
          <w:rFonts w:asciiTheme="minorHAnsi" w:hAnsiTheme="minorHAnsi"/>
          <w:sz w:val="20"/>
          <w:szCs w:val="20"/>
        </w:rPr>
      </w:pPr>
    </w:p>
    <w:p w:rsidR="006B3458" w:rsidRPr="00560488" w:rsidRDefault="006B3458" w:rsidP="00F56A53">
      <w:pPr>
        <w:rPr>
          <w:rFonts w:asciiTheme="minorHAnsi" w:hAnsiTheme="minorHAnsi"/>
          <w:sz w:val="20"/>
          <w:szCs w:val="20"/>
        </w:rPr>
      </w:pPr>
      <w:r w:rsidRPr="00560488">
        <w:rPr>
          <w:rFonts w:asciiTheme="minorHAnsi" w:hAnsiTheme="minorHAnsi"/>
          <w:sz w:val="20"/>
          <w:szCs w:val="20"/>
        </w:rPr>
        <w:br w:type="page"/>
      </w:r>
    </w:p>
    <w:p w:rsidR="006B3458" w:rsidRPr="00560488" w:rsidRDefault="006B3458" w:rsidP="00F56A53">
      <w:pPr>
        <w:ind w:left="720"/>
        <w:jc w:val="right"/>
        <w:rPr>
          <w:rFonts w:asciiTheme="minorHAnsi" w:hAnsiTheme="minorHAnsi"/>
          <w:b/>
        </w:rPr>
      </w:pPr>
      <w:r w:rsidRPr="00560488">
        <w:rPr>
          <w:rFonts w:asciiTheme="minorHAnsi" w:hAnsiTheme="minorHAnsi"/>
          <w:b/>
        </w:rPr>
        <w:lastRenderedPageBreak/>
        <w:t>ATTACHMENT A</w:t>
      </w:r>
    </w:p>
    <w:p w:rsidR="006B3458" w:rsidRPr="00560488" w:rsidRDefault="006B3458" w:rsidP="00F56A53">
      <w:pPr>
        <w:ind w:left="720"/>
        <w:rPr>
          <w:rFonts w:asciiTheme="minorHAnsi" w:hAnsiTheme="minorHAnsi"/>
          <w:b/>
          <w:sz w:val="20"/>
          <w:szCs w:val="20"/>
        </w:rPr>
      </w:pPr>
    </w:p>
    <w:p w:rsidR="006B3458" w:rsidRPr="00560488" w:rsidRDefault="00442188" w:rsidP="00F56A53">
      <w:pPr>
        <w:rPr>
          <w:b/>
          <w:sz w:val="24"/>
          <w:szCs w:val="24"/>
        </w:rPr>
      </w:pPr>
      <w:r w:rsidRPr="00560488">
        <w:rPr>
          <w:b/>
          <w:sz w:val="24"/>
          <w:szCs w:val="24"/>
        </w:rPr>
        <w:t xml:space="preserve">SURVEY OF </w:t>
      </w:r>
      <w:r w:rsidR="00C34F48" w:rsidRPr="00560488">
        <w:rPr>
          <w:b/>
          <w:sz w:val="24"/>
          <w:szCs w:val="24"/>
        </w:rPr>
        <w:t xml:space="preserve">OPERATOR </w:t>
      </w:r>
      <w:r w:rsidR="007C6018" w:rsidRPr="00560488">
        <w:rPr>
          <w:b/>
          <w:sz w:val="24"/>
          <w:szCs w:val="24"/>
        </w:rPr>
        <w:t xml:space="preserve">APPROACHES TO MAINTENANCE </w:t>
      </w:r>
    </w:p>
    <w:p w:rsidR="007C6018" w:rsidRPr="00560488" w:rsidRDefault="007C6018" w:rsidP="00F56A53">
      <w:pPr>
        <w:rPr>
          <w:b/>
          <w:sz w:val="24"/>
          <w:szCs w:val="24"/>
        </w:rPr>
      </w:pPr>
    </w:p>
    <w:p w:rsidR="00EC50BE" w:rsidRPr="00560488" w:rsidRDefault="00EC50BE" w:rsidP="00F56A53">
      <w:pPr>
        <w:rPr>
          <w:rFonts w:asciiTheme="minorHAnsi" w:hAnsiTheme="minorHAnsi"/>
          <w:b/>
          <w:sz w:val="20"/>
          <w:szCs w:val="20"/>
        </w:rPr>
      </w:pPr>
      <w:r w:rsidRPr="00560488">
        <w:rPr>
          <w:rFonts w:asciiTheme="minorHAnsi" w:hAnsiTheme="minorHAnsi"/>
          <w:b/>
          <w:sz w:val="20"/>
          <w:szCs w:val="20"/>
        </w:rPr>
        <w:t>ATA Survey of Fleet Maintenance Approaches</w:t>
      </w:r>
    </w:p>
    <w:p w:rsidR="00EC50BE" w:rsidRPr="00560488" w:rsidRDefault="00EC50BE" w:rsidP="00F56A53">
      <w:pPr>
        <w:rPr>
          <w:rFonts w:asciiTheme="minorHAnsi" w:eastAsia="Times New Roman" w:hAnsiTheme="minorHAnsi"/>
          <w:bCs/>
          <w:sz w:val="20"/>
          <w:szCs w:val="20"/>
          <w:lang w:eastAsia="en-AU"/>
        </w:rPr>
      </w:pPr>
      <w:r w:rsidRPr="00560488">
        <w:rPr>
          <w:rFonts w:asciiTheme="minorHAnsi" w:eastAsia="Times New Roman" w:hAnsiTheme="minorHAnsi"/>
          <w:bCs/>
          <w:sz w:val="20"/>
          <w:szCs w:val="20"/>
          <w:lang w:eastAsia="en-AU"/>
        </w:rPr>
        <w:t xml:space="preserve">The ATA conducted a week-long online survey during August 2014 seeking feedback from operators on their approaches to maintenance requirements.  The following is a snapshot of findings from the survey. A summary of operator characteristics as provided by 26 anonymous respondents may be found in </w:t>
      </w:r>
      <w:r w:rsidRPr="00560488">
        <w:rPr>
          <w:rFonts w:asciiTheme="minorHAnsi" w:eastAsia="Times New Roman" w:hAnsiTheme="minorHAnsi"/>
          <w:b/>
          <w:bCs/>
          <w:sz w:val="20"/>
          <w:szCs w:val="20"/>
          <w:lang w:eastAsia="en-AU"/>
        </w:rPr>
        <w:t>Attachment A</w:t>
      </w:r>
      <w:r w:rsidRPr="00560488">
        <w:rPr>
          <w:rFonts w:asciiTheme="minorHAnsi" w:eastAsia="Times New Roman" w:hAnsiTheme="minorHAnsi"/>
          <w:bCs/>
          <w:sz w:val="20"/>
          <w:szCs w:val="20"/>
          <w:lang w:eastAsia="en-AU"/>
        </w:rPr>
        <w:t xml:space="preserve"> to this paper.</w:t>
      </w:r>
    </w:p>
    <w:p w:rsidR="00EC50BE" w:rsidRPr="00560488" w:rsidRDefault="00EC50BE" w:rsidP="00F56A53">
      <w:pPr>
        <w:rPr>
          <w:rFonts w:asciiTheme="minorHAnsi" w:hAnsiTheme="minorHAnsi"/>
          <w:sz w:val="20"/>
          <w:szCs w:val="20"/>
        </w:rPr>
      </w:pPr>
    </w:p>
    <w:p w:rsidR="00EC50BE" w:rsidRPr="00560488" w:rsidRDefault="00EC50BE" w:rsidP="00F56A53">
      <w:pPr>
        <w:rPr>
          <w:rFonts w:asciiTheme="minorHAnsi" w:hAnsiTheme="minorHAnsi"/>
          <w:sz w:val="20"/>
          <w:szCs w:val="20"/>
        </w:rPr>
      </w:pPr>
      <w:r w:rsidRPr="00560488">
        <w:rPr>
          <w:rFonts w:asciiTheme="minorHAnsi" w:hAnsiTheme="minorHAnsi"/>
          <w:sz w:val="20"/>
          <w:szCs w:val="20"/>
        </w:rPr>
        <w:t xml:space="preserve">It is clear from the ATA’s small survey of 26 transport operators that a heavy vehicle’s maintenance requirements and an operator’s roadworthiness or compliance obligations are being satisfied through different operator approaches today.  </w:t>
      </w:r>
    </w:p>
    <w:p w:rsidR="00EC50BE" w:rsidRPr="00560488" w:rsidRDefault="00EC50BE" w:rsidP="00F56A53">
      <w:pPr>
        <w:rPr>
          <w:rFonts w:asciiTheme="minorHAnsi" w:hAnsiTheme="minorHAnsi"/>
          <w:sz w:val="20"/>
          <w:szCs w:val="20"/>
        </w:rPr>
      </w:pPr>
    </w:p>
    <w:p w:rsidR="00EC50BE" w:rsidRPr="00560488" w:rsidRDefault="00EC50BE" w:rsidP="00F56A53">
      <w:pPr>
        <w:rPr>
          <w:rFonts w:asciiTheme="minorHAnsi" w:hAnsiTheme="minorHAnsi"/>
          <w:b/>
          <w:sz w:val="20"/>
          <w:szCs w:val="20"/>
        </w:rPr>
      </w:pPr>
      <w:r w:rsidRPr="00560488">
        <w:rPr>
          <w:rFonts w:asciiTheme="minorHAnsi" w:hAnsiTheme="minorHAnsi"/>
          <w:sz w:val="20"/>
          <w:szCs w:val="20"/>
        </w:rPr>
        <w:t>Absence of operator control over external workshop outcomes and the evidently widespread dependency of industry on third parties for roadworthiness outcomes provide a basis for including third party providers as ‘chain parties’ in chain of responsibility provisions under the Heavy Vehicle National Law.</w:t>
      </w:r>
    </w:p>
    <w:p w:rsidR="00EC50BE" w:rsidRPr="00560488" w:rsidRDefault="00EC50BE" w:rsidP="00F56A53">
      <w:pPr>
        <w:rPr>
          <w:rFonts w:asciiTheme="minorHAnsi" w:eastAsia="Times New Roman" w:hAnsiTheme="minorHAnsi"/>
          <w:bCs/>
          <w:sz w:val="20"/>
          <w:szCs w:val="20"/>
          <w:lang w:eastAsia="en-AU"/>
        </w:rPr>
      </w:pPr>
    </w:p>
    <w:p w:rsidR="00EC50BE" w:rsidRPr="00560488" w:rsidRDefault="00EC50BE" w:rsidP="00F56A53">
      <w:pPr>
        <w:rPr>
          <w:rFonts w:asciiTheme="minorHAnsi" w:hAnsiTheme="minorHAnsi"/>
          <w:b/>
          <w:sz w:val="20"/>
          <w:szCs w:val="20"/>
        </w:rPr>
      </w:pPr>
      <w:r w:rsidRPr="00560488">
        <w:rPr>
          <w:rFonts w:asciiTheme="minorHAnsi" w:hAnsiTheme="minorHAnsi"/>
          <w:b/>
          <w:sz w:val="20"/>
          <w:szCs w:val="20"/>
        </w:rPr>
        <w:t>Maintenance Approaches</w:t>
      </w:r>
    </w:p>
    <w:p w:rsidR="00EC50BE" w:rsidRPr="00560488" w:rsidRDefault="00EC50BE" w:rsidP="00F56A53">
      <w:pPr>
        <w:rPr>
          <w:rFonts w:asciiTheme="minorHAnsi" w:hAnsiTheme="minorHAnsi"/>
          <w:sz w:val="20"/>
          <w:szCs w:val="20"/>
        </w:rPr>
      </w:pPr>
      <w:r w:rsidRPr="00560488">
        <w:rPr>
          <w:rFonts w:asciiTheme="minorHAnsi" w:hAnsiTheme="minorHAnsi"/>
          <w:sz w:val="20"/>
          <w:szCs w:val="20"/>
        </w:rPr>
        <w:t>The ATA survey looked at three styles of heavy vehicle maintenance management arrangement  – an in-house approach; a mixed approach; and a fully outsourced approach.</w:t>
      </w:r>
    </w:p>
    <w:p w:rsidR="00EC50BE" w:rsidRPr="00560488" w:rsidRDefault="00EC50BE" w:rsidP="00F56A53">
      <w:pPr>
        <w:rPr>
          <w:rFonts w:asciiTheme="minorHAnsi" w:hAnsiTheme="minorHAnsi"/>
          <w:sz w:val="20"/>
          <w:szCs w:val="20"/>
        </w:rPr>
      </w:pPr>
    </w:p>
    <w:p w:rsidR="00EC50BE" w:rsidRPr="00560488" w:rsidRDefault="00EC50BE" w:rsidP="00F56A53">
      <w:pPr>
        <w:rPr>
          <w:rFonts w:asciiTheme="minorHAnsi" w:hAnsiTheme="minorHAnsi"/>
          <w:sz w:val="20"/>
          <w:szCs w:val="20"/>
        </w:rPr>
      </w:pPr>
      <w:r w:rsidRPr="00560488">
        <w:rPr>
          <w:rFonts w:asciiTheme="minorHAnsi" w:hAnsiTheme="minorHAnsi"/>
          <w:sz w:val="20"/>
          <w:szCs w:val="20"/>
        </w:rPr>
        <w:t xml:space="preserve">Half the respondents fell into the mixed maintenance category. Some gave reasons for outsourcing </w:t>
      </w:r>
      <w:r w:rsidR="006546AC" w:rsidRPr="00560488">
        <w:rPr>
          <w:rFonts w:asciiTheme="minorHAnsi" w:hAnsiTheme="minorHAnsi"/>
          <w:sz w:val="20"/>
          <w:szCs w:val="20"/>
        </w:rPr>
        <w:t>various</w:t>
      </w:r>
      <w:r w:rsidRPr="00560488">
        <w:rPr>
          <w:rFonts w:asciiTheme="minorHAnsi" w:hAnsiTheme="minorHAnsi"/>
          <w:sz w:val="20"/>
          <w:szCs w:val="20"/>
        </w:rPr>
        <w:t xml:space="preserve"> tasks but not others, with one explaining </w:t>
      </w:r>
      <w:r w:rsidR="006546AC" w:rsidRPr="00560488">
        <w:rPr>
          <w:rFonts w:asciiTheme="minorHAnsi" w:hAnsiTheme="minorHAnsi"/>
          <w:sz w:val="20"/>
          <w:szCs w:val="20"/>
        </w:rPr>
        <w:t xml:space="preserve">that the </w:t>
      </w:r>
      <w:r w:rsidRPr="00560488">
        <w:rPr>
          <w:rFonts w:asciiTheme="minorHAnsi" w:hAnsiTheme="minorHAnsi"/>
          <w:sz w:val="20"/>
          <w:szCs w:val="20"/>
        </w:rPr>
        <w:t>use of external parties is</w:t>
      </w:r>
      <w:r w:rsidRPr="00560488">
        <w:rPr>
          <w:rFonts w:asciiTheme="minorHAnsi" w:hAnsiTheme="minorHAnsi"/>
          <w:i/>
          <w:sz w:val="20"/>
          <w:szCs w:val="20"/>
        </w:rPr>
        <w:t xml:space="preserve"> ‘dictated by capacity or skill/equipment limitations within our own workshop’</w:t>
      </w:r>
      <w:r w:rsidRPr="00560488">
        <w:rPr>
          <w:rFonts w:asciiTheme="minorHAnsi" w:hAnsiTheme="minorHAnsi"/>
          <w:sz w:val="20"/>
          <w:szCs w:val="20"/>
        </w:rPr>
        <w:t xml:space="preserve">. </w:t>
      </w:r>
    </w:p>
    <w:p w:rsidR="00EC50BE" w:rsidRPr="00560488" w:rsidRDefault="00EC50BE" w:rsidP="00F56A53">
      <w:pPr>
        <w:rPr>
          <w:rFonts w:asciiTheme="minorHAnsi" w:hAnsiTheme="minorHAnsi"/>
          <w:sz w:val="20"/>
          <w:szCs w:val="20"/>
        </w:rPr>
      </w:pPr>
    </w:p>
    <w:p w:rsidR="00EC50BE" w:rsidRPr="00560488" w:rsidRDefault="00EC50BE" w:rsidP="00F56A53">
      <w:pPr>
        <w:rPr>
          <w:rFonts w:asciiTheme="minorHAnsi" w:hAnsiTheme="minorHAnsi"/>
          <w:sz w:val="20"/>
          <w:szCs w:val="20"/>
        </w:rPr>
      </w:pPr>
      <w:r w:rsidRPr="00560488">
        <w:rPr>
          <w:rFonts w:asciiTheme="minorHAnsi" w:hAnsiTheme="minorHAnsi"/>
          <w:sz w:val="20"/>
          <w:szCs w:val="20"/>
        </w:rPr>
        <w:t xml:space="preserve">The majority of respondents reported no intention of changing their current approach because it was working well. One said that </w:t>
      </w:r>
      <w:r w:rsidRPr="00560488">
        <w:rPr>
          <w:rFonts w:asciiTheme="minorHAnsi" w:hAnsiTheme="minorHAnsi"/>
          <w:i/>
          <w:sz w:val="20"/>
          <w:szCs w:val="20"/>
        </w:rPr>
        <w:t xml:space="preserve">‘fleet maintenance is an ever changing environment, so yes it </w:t>
      </w:r>
      <w:r w:rsidRPr="00560488">
        <w:rPr>
          <w:rFonts w:asciiTheme="minorHAnsi" w:hAnsiTheme="minorHAnsi"/>
          <w:sz w:val="20"/>
          <w:szCs w:val="20"/>
        </w:rPr>
        <w:t>[the approach]</w:t>
      </w:r>
      <w:r w:rsidRPr="00560488">
        <w:rPr>
          <w:rFonts w:asciiTheme="minorHAnsi" w:hAnsiTheme="minorHAnsi"/>
          <w:i/>
          <w:sz w:val="20"/>
          <w:szCs w:val="20"/>
        </w:rPr>
        <w:t xml:space="preserve"> will change and we constantly look our processes and see if we can improve’</w:t>
      </w:r>
      <w:r w:rsidRPr="00560488">
        <w:rPr>
          <w:rFonts w:asciiTheme="minorHAnsi" w:hAnsiTheme="minorHAnsi"/>
          <w:sz w:val="20"/>
          <w:szCs w:val="20"/>
        </w:rPr>
        <w:t>. A similar response was ‘</w:t>
      </w:r>
      <w:r w:rsidRPr="00560488">
        <w:rPr>
          <w:rFonts w:asciiTheme="minorHAnsi" w:hAnsiTheme="minorHAnsi"/>
          <w:i/>
          <w:sz w:val="20"/>
          <w:szCs w:val="20"/>
        </w:rPr>
        <w:t>It seems to be working fine but anything that works better we put in place’</w:t>
      </w:r>
      <w:r w:rsidRPr="00560488">
        <w:rPr>
          <w:rFonts w:asciiTheme="minorHAnsi" w:hAnsiTheme="minorHAnsi"/>
          <w:sz w:val="20"/>
          <w:szCs w:val="20"/>
        </w:rPr>
        <w:t xml:space="preserve">. </w:t>
      </w:r>
    </w:p>
    <w:p w:rsidR="00EC50BE" w:rsidRPr="00560488" w:rsidRDefault="00EC50BE" w:rsidP="00F56A53">
      <w:pPr>
        <w:rPr>
          <w:rFonts w:asciiTheme="minorHAnsi" w:hAnsiTheme="minorHAnsi"/>
          <w:sz w:val="20"/>
          <w:szCs w:val="20"/>
        </w:rPr>
      </w:pPr>
    </w:p>
    <w:p w:rsidR="00EC50BE" w:rsidRPr="00560488" w:rsidRDefault="00916AFA" w:rsidP="00F56A53">
      <w:pPr>
        <w:rPr>
          <w:rFonts w:asciiTheme="minorHAnsi" w:hAnsiTheme="minorHAnsi"/>
          <w:i/>
          <w:sz w:val="20"/>
          <w:szCs w:val="20"/>
        </w:rPr>
      </w:pPr>
      <w:r w:rsidRPr="00560488">
        <w:rPr>
          <w:rFonts w:asciiTheme="minorHAnsi" w:hAnsiTheme="minorHAnsi"/>
          <w:i/>
          <w:sz w:val="20"/>
          <w:szCs w:val="20"/>
        </w:rPr>
        <w:t>In-House Approach</w:t>
      </w:r>
      <w:r w:rsidR="00EC50BE" w:rsidRPr="00560488">
        <w:rPr>
          <w:rFonts w:asciiTheme="minorHAnsi" w:hAnsiTheme="minorHAnsi"/>
          <w:i/>
          <w:sz w:val="20"/>
          <w:szCs w:val="20"/>
        </w:rPr>
        <w:t xml:space="preserve">: </w:t>
      </w:r>
      <w:r w:rsidR="00533BFA" w:rsidRPr="00560488">
        <w:rPr>
          <w:rFonts w:asciiTheme="minorHAnsi" w:hAnsiTheme="minorHAnsi"/>
          <w:i/>
          <w:sz w:val="20"/>
          <w:szCs w:val="20"/>
        </w:rPr>
        <w:t xml:space="preserve">more than </w:t>
      </w:r>
      <w:r w:rsidR="00EC50BE" w:rsidRPr="00560488">
        <w:rPr>
          <w:rFonts w:asciiTheme="minorHAnsi" w:hAnsiTheme="minorHAnsi"/>
          <w:i/>
          <w:sz w:val="20"/>
          <w:szCs w:val="20"/>
        </w:rPr>
        <w:t>40 % of respondents.</w:t>
      </w:r>
    </w:p>
    <w:p w:rsidR="00EC50BE" w:rsidRPr="00560488" w:rsidRDefault="00EC50BE" w:rsidP="00F56A53">
      <w:pPr>
        <w:rPr>
          <w:rFonts w:asciiTheme="minorHAnsi" w:hAnsiTheme="minorHAnsi"/>
          <w:sz w:val="20"/>
          <w:szCs w:val="20"/>
        </w:rPr>
      </w:pPr>
      <w:r w:rsidRPr="00560488">
        <w:rPr>
          <w:rFonts w:asciiTheme="minorHAnsi" w:hAnsiTheme="minorHAnsi"/>
          <w:sz w:val="20"/>
          <w:szCs w:val="20"/>
        </w:rPr>
        <w:t xml:space="preserve">One eastern seaboard operator with a fleet of 400 heavy vehicles in various combinations. carries out all fleet maintenance and repairs with few exceptions in-house. This operator is not planning to adjust their approach for a variety of reasons including compliance issues and that the approach currently works well. </w:t>
      </w:r>
    </w:p>
    <w:p w:rsidR="00EC50BE" w:rsidRPr="00560488" w:rsidRDefault="00EC50BE" w:rsidP="00F56A53">
      <w:pPr>
        <w:rPr>
          <w:rFonts w:asciiTheme="minorHAnsi" w:hAnsiTheme="minorHAnsi"/>
          <w:sz w:val="20"/>
          <w:szCs w:val="20"/>
        </w:rPr>
      </w:pPr>
    </w:p>
    <w:p w:rsidR="00EC50BE" w:rsidRPr="00560488" w:rsidRDefault="00EC50BE" w:rsidP="00F56A53">
      <w:pPr>
        <w:rPr>
          <w:rFonts w:asciiTheme="minorHAnsi" w:hAnsiTheme="minorHAnsi"/>
          <w:sz w:val="20"/>
          <w:szCs w:val="20"/>
        </w:rPr>
      </w:pPr>
      <w:r w:rsidRPr="00560488">
        <w:rPr>
          <w:rFonts w:asciiTheme="minorHAnsi" w:hAnsiTheme="minorHAnsi"/>
          <w:sz w:val="20"/>
          <w:szCs w:val="20"/>
        </w:rPr>
        <w:t xml:space="preserve">Maintenance is only outsourced on an ‘as-needs’ basis for reasons of geography and application. The company has long-standing arrangements with certified interstate repairers and when a vehicle needs work, the operator forwards the job sheet containing the servicing requirements for that vehicle to the most conveniently located provider. </w:t>
      </w:r>
    </w:p>
    <w:p w:rsidR="00EC50BE" w:rsidRPr="00560488" w:rsidRDefault="00EC50BE" w:rsidP="00F56A53">
      <w:pPr>
        <w:rPr>
          <w:rFonts w:asciiTheme="minorHAnsi" w:hAnsiTheme="minorHAnsi"/>
          <w:sz w:val="20"/>
          <w:szCs w:val="20"/>
        </w:rPr>
      </w:pPr>
    </w:p>
    <w:p w:rsidR="00EC50BE" w:rsidRPr="00560488" w:rsidRDefault="00EC50BE" w:rsidP="00F56A53">
      <w:pPr>
        <w:rPr>
          <w:rFonts w:asciiTheme="minorHAnsi" w:hAnsiTheme="minorHAnsi"/>
          <w:sz w:val="20"/>
          <w:szCs w:val="20"/>
        </w:rPr>
      </w:pPr>
      <w:r w:rsidRPr="00560488">
        <w:rPr>
          <w:rFonts w:asciiTheme="minorHAnsi" w:hAnsiTheme="minorHAnsi"/>
          <w:sz w:val="20"/>
          <w:szCs w:val="20"/>
        </w:rPr>
        <w:t>Service intervals are typically determined by factors such as fuel burn, kilometres travelled, time since the previous service and engine hours.  After the requested work is complete, the repairer’s obligations (i.e. final inspection, paperwork sign-off by its own workshop and relevant staff) are then formally verified before payment.</w:t>
      </w:r>
    </w:p>
    <w:p w:rsidR="00EC50BE" w:rsidRPr="00560488" w:rsidRDefault="00EC50BE" w:rsidP="00F56A53">
      <w:pPr>
        <w:rPr>
          <w:rFonts w:asciiTheme="minorHAnsi" w:hAnsiTheme="minorHAnsi"/>
          <w:sz w:val="20"/>
          <w:szCs w:val="20"/>
        </w:rPr>
      </w:pPr>
    </w:p>
    <w:p w:rsidR="00EC50BE" w:rsidRPr="00560488" w:rsidRDefault="00EC50BE" w:rsidP="00F56A53">
      <w:pPr>
        <w:rPr>
          <w:rFonts w:asciiTheme="minorHAnsi" w:hAnsiTheme="minorHAnsi"/>
          <w:sz w:val="20"/>
          <w:szCs w:val="20"/>
        </w:rPr>
      </w:pPr>
      <w:r w:rsidRPr="00560488">
        <w:rPr>
          <w:rFonts w:asciiTheme="minorHAnsi" w:hAnsiTheme="minorHAnsi"/>
          <w:sz w:val="20"/>
          <w:szCs w:val="20"/>
        </w:rPr>
        <w:t>Sub-contractors are used on an ad hoc basis but the freight task is primarily undertaken by the operator’s fleet. The compliance and roadworthiness status of sub-contractor vehicles is evaluated by the operator for certain tasks as is necessary and practical, but the operator exerts no control over a sub-contractor’s maintenance regime. The operator conducts checks to ensure sub-contractors’ heavy vehicles are registered and the drivers are licensed.</w:t>
      </w:r>
    </w:p>
    <w:p w:rsidR="00EC50BE" w:rsidRPr="00560488" w:rsidRDefault="00EC50BE" w:rsidP="00F56A53">
      <w:pPr>
        <w:rPr>
          <w:rFonts w:asciiTheme="minorHAnsi" w:hAnsiTheme="minorHAnsi"/>
          <w:sz w:val="20"/>
          <w:szCs w:val="20"/>
        </w:rPr>
      </w:pPr>
    </w:p>
    <w:p w:rsidR="00EC50BE" w:rsidRPr="00560488" w:rsidRDefault="00EC50BE" w:rsidP="00F56A53">
      <w:pPr>
        <w:rPr>
          <w:rFonts w:asciiTheme="minorHAnsi" w:hAnsiTheme="minorHAnsi"/>
          <w:sz w:val="20"/>
          <w:szCs w:val="20"/>
        </w:rPr>
      </w:pPr>
      <w:r w:rsidRPr="00560488">
        <w:rPr>
          <w:rFonts w:asciiTheme="minorHAnsi" w:hAnsiTheme="minorHAnsi"/>
          <w:sz w:val="20"/>
          <w:szCs w:val="20"/>
        </w:rPr>
        <w:t>In this case, the operator wants uniformity of standards across the fleet. They do not believe this can be achieved by outsourcing regular maintenance to a third party, because:</w:t>
      </w:r>
    </w:p>
    <w:p w:rsidR="00EC50BE" w:rsidRPr="00560488" w:rsidRDefault="00EC50BE" w:rsidP="00F56A53">
      <w:pPr>
        <w:rPr>
          <w:rFonts w:asciiTheme="minorHAnsi" w:hAnsiTheme="minorHAnsi"/>
          <w:sz w:val="20"/>
          <w:szCs w:val="20"/>
        </w:rPr>
      </w:pPr>
    </w:p>
    <w:p w:rsidR="00EC50BE" w:rsidRPr="00560488" w:rsidRDefault="00EC50BE" w:rsidP="00F56A53">
      <w:pPr>
        <w:pStyle w:val="ListParagraph"/>
        <w:numPr>
          <w:ilvl w:val="0"/>
          <w:numId w:val="3"/>
        </w:numPr>
        <w:spacing w:after="0" w:line="240" w:lineRule="auto"/>
        <w:ind w:left="360"/>
        <w:rPr>
          <w:rFonts w:asciiTheme="minorHAnsi" w:hAnsiTheme="minorHAnsi"/>
          <w:sz w:val="20"/>
          <w:szCs w:val="20"/>
        </w:rPr>
      </w:pPr>
      <w:r w:rsidRPr="00560488">
        <w:rPr>
          <w:rFonts w:asciiTheme="minorHAnsi" w:hAnsiTheme="minorHAnsi"/>
          <w:sz w:val="20"/>
          <w:szCs w:val="20"/>
        </w:rPr>
        <w:t>an external maintenance provider takes little ‘ownership’ of a job;</w:t>
      </w:r>
    </w:p>
    <w:p w:rsidR="00EC50BE" w:rsidRPr="00560488" w:rsidRDefault="00EC50BE" w:rsidP="00F56A53">
      <w:pPr>
        <w:pStyle w:val="ListParagraph"/>
        <w:numPr>
          <w:ilvl w:val="0"/>
          <w:numId w:val="3"/>
        </w:numPr>
        <w:spacing w:after="0" w:line="240" w:lineRule="auto"/>
        <w:ind w:left="360"/>
        <w:rPr>
          <w:rFonts w:asciiTheme="minorHAnsi" w:hAnsiTheme="minorHAnsi"/>
          <w:sz w:val="20"/>
          <w:szCs w:val="20"/>
        </w:rPr>
      </w:pPr>
      <w:r w:rsidRPr="00560488">
        <w:rPr>
          <w:rFonts w:asciiTheme="minorHAnsi" w:hAnsiTheme="minorHAnsi"/>
          <w:sz w:val="20"/>
          <w:szCs w:val="20"/>
        </w:rPr>
        <w:t xml:space="preserve">a service provider (especially if geographically distant from the operator) may schedule workshop activity to suit themselves or other clients, and not the operator; </w:t>
      </w:r>
    </w:p>
    <w:p w:rsidR="00EC50BE" w:rsidRPr="00560488" w:rsidRDefault="00EC50BE" w:rsidP="00F56A53">
      <w:pPr>
        <w:pStyle w:val="ListParagraph"/>
        <w:numPr>
          <w:ilvl w:val="0"/>
          <w:numId w:val="3"/>
        </w:numPr>
        <w:spacing w:after="0" w:line="240" w:lineRule="auto"/>
        <w:ind w:left="360"/>
        <w:rPr>
          <w:rFonts w:asciiTheme="minorHAnsi" w:hAnsiTheme="minorHAnsi"/>
          <w:sz w:val="20"/>
          <w:szCs w:val="20"/>
        </w:rPr>
      </w:pPr>
      <w:r w:rsidRPr="00560488">
        <w:rPr>
          <w:rFonts w:asciiTheme="minorHAnsi" w:hAnsiTheme="minorHAnsi"/>
          <w:sz w:val="20"/>
          <w:szCs w:val="20"/>
        </w:rPr>
        <w:t xml:space="preserve">various levels of expertise are put on jobs but an operator is still invoiced at a high rate; </w:t>
      </w:r>
    </w:p>
    <w:p w:rsidR="00EC50BE" w:rsidRPr="00560488" w:rsidRDefault="00EC50BE" w:rsidP="00F56A53">
      <w:pPr>
        <w:pStyle w:val="ListParagraph"/>
        <w:numPr>
          <w:ilvl w:val="0"/>
          <w:numId w:val="3"/>
        </w:numPr>
        <w:spacing w:after="0" w:line="240" w:lineRule="auto"/>
        <w:ind w:left="360"/>
        <w:rPr>
          <w:rFonts w:asciiTheme="minorHAnsi" w:hAnsiTheme="minorHAnsi"/>
          <w:sz w:val="20"/>
          <w:szCs w:val="20"/>
        </w:rPr>
      </w:pPr>
      <w:r w:rsidRPr="00560488">
        <w:rPr>
          <w:rFonts w:asciiTheme="minorHAnsi" w:hAnsiTheme="minorHAnsi"/>
          <w:sz w:val="20"/>
          <w:szCs w:val="20"/>
        </w:rPr>
        <w:t>the operator has insufficient control over third party workshop outcomes.</w:t>
      </w:r>
    </w:p>
    <w:p w:rsidR="00EC50BE" w:rsidRPr="00560488" w:rsidRDefault="00EC50BE" w:rsidP="00F56A53">
      <w:pPr>
        <w:rPr>
          <w:rFonts w:asciiTheme="minorHAnsi" w:hAnsiTheme="minorHAnsi"/>
          <w:sz w:val="20"/>
          <w:szCs w:val="20"/>
        </w:rPr>
      </w:pPr>
    </w:p>
    <w:p w:rsidR="00EC50BE" w:rsidRPr="00560488" w:rsidRDefault="00EC50BE" w:rsidP="00F56A53">
      <w:pPr>
        <w:rPr>
          <w:rFonts w:asciiTheme="minorHAnsi" w:hAnsiTheme="minorHAnsi"/>
          <w:sz w:val="20"/>
          <w:szCs w:val="20"/>
        </w:rPr>
      </w:pPr>
      <w:r w:rsidRPr="00560488">
        <w:rPr>
          <w:rFonts w:asciiTheme="minorHAnsi" w:hAnsiTheme="minorHAnsi"/>
          <w:sz w:val="20"/>
          <w:szCs w:val="20"/>
        </w:rPr>
        <w:t>Another operator who is also not changing their in-house approach soon, operates a large fleet of side-tippers, rigid flat-tops and skels carrying bulk dry loads in Western Australia and remote locations. A WAHVA-accredited operator, their fleet is equipped with tracking software.</w:t>
      </w:r>
    </w:p>
    <w:p w:rsidR="00EC50BE" w:rsidRPr="00560488" w:rsidRDefault="00EC50BE" w:rsidP="00F56A53">
      <w:pPr>
        <w:rPr>
          <w:rFonts w:asciiTheme="minorHAnsi" w:hAnsiTheme="minorHAnsi"/>
          <w:sz w:val="20"/>
          <w:szCs w:val="20"/>
        </w:rPr>
      </w:pPr>
    </w:p>
    <w:p w:rsidR="00EC50BE" w:rsidRPr="00560488" w:rsidRDefault="00EC50BE" w:rsidP="00F56A53">
      <w:pPr>
        <w:rPr>
          <w:rFonts w:asciiTheme="minorHAnsi" w:hAnsiTheme="minorHAnsi"/>
          <w:sz w:val="20"/>
          <w:szCs w:val="20"/>
        </w:rPr>
      </w:pPr>
      <w:r w:rsidRPr="00560488">
        <w:rPr>
          <w:rFonts w:asciiTheme="minorHAnsi" w:hAnsiTheme="minorHAnsi"/>
          <w:sz w:val="20"/>
          <w:szCs w:val="20"/>
        </w:rPr>
        <w:t>Within the past 18 months, th</w:t>
      </w:r>
      <w:r w:rsidR="00CA098A" w:rsidRPr="00560488">
        <w:rPr>
          <w:rFonts w:asciiTheme="minorHAnsi" w:hAnsiTheme="minorHAnsi"/>
          <w:sz w:val="20"/>
          <w:szCs w:val="20"/>
        </w:rPr>
        <w:t>is</w:t>
      </w:r>
      <w:r w:rsidRPr="00560488">
        <w:rPr>
          <w:rFonts w:asciiTheme="minorHAnsi" w:hAnsiTheme="minorHAnsi"/>
          <w:sz w:val="20"/>
          <w:szCs w:val="20"/>
        </w:rPr>
        <w:t xml:space="preserve"> operator changed their approach from outsourcing to conducting </w:t>
      </w:r>
      <w:r w:rsidR="00CA098A" w:rsidRPr="00560488">
        <w:rPr>
          <w:rFonts w:asciiTheme="minorHAnsi" w:hAnsiTheme="minorHAnsi"/>
          <w:sz w:val="20"/>
          <w:szCs w:val="20"/>
        </w:rPr>
        <w:t xml:space="preserve">maintenance </w:t>
      </w:r>
      <w:r w:rsidRPr="00560488">
        <w:rPr>
          <w:rFonts w:asciiTheme="minorHAnsi" w:hAnsiTheme="minorHAnsi"/>
          <w:sz w:val="20"/>
          <w:szCs w:val="20"/>
        </w:rPr>
        <w:t xml:space="preserve">in-house and they </w:t>
      </w:r>
      <w:r w:rsidR="00CA098A" w:rsidRPr="00560488">
        <w:rPr>
          <w:rFonts w:asciiTheme="minorHAnsi" w:hAnsiTheme="minorHAnsi"/>
          <w:sz w:val="20"/>
          <w:szCs w:val="20"/>
        </w:rPr>
        <w:t>state</w:t>
      </w:r>
      <w:r w:rsidRPr="00560488">
        <w:rPr>
          <w:rFonts w:asciiTheme="minorHAnsi" w:hAnsiTheme="minorHAnsi"/>
          <w:sz w:val="20"/>
          <w:szCs w:val="20"/>
        </w:rPr>
        <w:t xml:space="preserve"> their requirements are now easier to manage. The decision to change their approach was made because outsourcing is not cheap yet sometimes requested work was not done. Other reasons given were that it is cheaper, they maintain control over processes and outcomes and because it is more convenient given the operator’s remote location.</w:t>
      </w:r>
    </w:p>
    <w:p w:rsidR="00EC50BE" w:rsidRPr="00560488" w:rsidRDefault="00EC50BE" w:rsidP="00F56A53">
      <w:pPr>
        <w:rPr>
          <w:rFonts w:asciiTheme="minorHAnsi" w:hAnsiTheme="minorHAnsi"/>
          <w:sz w:val="20"/>
          <w:szCs w:val="20"/>
        </w:rPr>
      </w:pPr>
    </w:p>
    <w:p w:rsidR="00EC50BE" w:rsidRPr="00560488" w:rsidRDefault="00EC50BE" w:rsidP="00F56A53">
      <w:pPr>
        <w:rPr>
          <w:rFonts w:asciiTheme="minorHAnsi" w:hAnsiTheme="minorHAnsi"/>
          <w:sz w:val="20"/>
          <w:szCs w:val="20"/>
        </w:rPr>
      </w:pPr>
      <w:r w:rsidRPr="00560488">
        <w:rPr>
          <w:rFonts w:asciiTheme="minorHAnsi" w:hAnsiTheme="minorHAnsi"/>
          <w:sz w:val="20"/>
          <w:szCs w:val="20"/>
        </w:rPr>
        <w:t>The operator now uses dedicated office software to manage fleet servicing requirements. Amongst other product features, their system:</w:t>
      </w:r>
    </w:p>
    <w:p w:rsidR="00EC50BE" w:rsidRPr="00560488" w:rsidRDefault="00EC50BE" w:rsidP="00F56A53">
      <w:pPr>
        <w:rPr>
          <w:rFonts w:asciiTheme="minorHAnsi" w:hAnsiTheme="minorHAnsi"/>
          <w:sz w:val="20"/>
          <w:szCs w:val="20"/>
        </w:rPr>
      </w:pPr>
    </w:p>
    <w:p w:rsidR="00EC50BE" w:rsidRPr="00560488" w:rsidRDefault="00EC50BE" w:rsidP="00F56A53">
      <w:pPr>
        <w:pStyle w:val="ListParagraph"/>
        <w:numPr>
          <w:ilvl w:val="0"/>
          <w:numId w:val="3"/>
        </w:numPr>
        <w:spacing w:after="0" w:line="240" w:lineRule="auto"/>
        <w:ind w:left="360"/>
        <w:rPr>
          <w:rFonts w:asciiTheme="minorHAnsi" w:hAnsiTheme="minorHAnsi"/>
          <w:sz w:val="20"/>
          <w:szCs w:val="20"/>
        </w:rPr>
      </w:pPr>
      <w:r w:rsidRPr="00560488">
        <w:rPr>
          <w:rFonts w:asciiTheme="minorHAnsi" w:hAnsiTheme="minorHAnsi"/>
          <w:sz w:val="20"/>
          <w:szCs w:val="20"/>
        </w:rPr>
        <w:t xml:space="preserve">issues alerts as A, B and C service intervals are reached for each vehicle unit, or other scheduled tasks and/or repairs are needed; </w:t>
      </w:r>
    </w:p>
    <w:p w:rsidR="00EC50BE" w:rsidRPr="00560488" w:rsidRDefault="00EC50BE" w:rsidP="00F56A53">
      <w:pPr>
        <w:pStyle w:val="ListParagraph"/>
        <w:numPr>
          <w:ilvl w:val="0"/>
          <w:numId w:val="3"/>
        </w:numPr>
        <w:spacing w:after="0" w:line="240" w:lineRule="auto"/>
        <w:ind w:left="360"/>
        <w:rPr>
          <w:rFonts w:asciiTheme="minorHAnsi" w:hAnsiTheme="minorHAnsi"/>
          <w:sz w:val="20"/>
          <w:szCs w:val="20"/>
        </w:rPr>
      </w:pPr>
      <w:r w:rsidRPr="00560488">
        <w:rPr>
          <w:rFonts w:asciiTheme="minorHAnsi" w:hAnsiTheme="minorHAnsi"/>
          <w:sz w:val="20"/>
          <w:szCs w:val="20"/>
        </w:rPr>
        <w:t xml:space="preserve">generates alerts to the operator and job service sheets for the workshop; and  </w:t>
      </w:r>
    </w:p>
    <w:p w:rsidR="00EC50BE" w:rsidRPr="00560488" w:rsidRDefault="00EC50BE" w:rsidP="00F56A53">
      <w:pPr>
        <w:pStyle w:val="ListParagraph"/>
        <w:numPr>
          <w:ilvl w:val="0"/>
          <w:numId w:val="3"/>
        </w:numPr>
        <w:spacing w:after="0" w:line="240" w:lineRule="auto"/>
        <w:ind w:left="360"/>
        <w:rPr>
          <w:rFonts w:asciiTheme="minorHAnsi" w:hAnsiTheme="minorHAnsi"/>
          <w:sz w:val="20"/>
          <w:szCs w:val="20"/>
        </w:rPr>
      </w:pPr>
      <w:r w:rsidRPr="00560488">
        <w:rPr>
          <w:rFonts w:asciiTheme="minorHAnsi" w:hAnsiTheme="minorHAnsi"/>
          <w:sz w:val="20"/>
          <w:szCs w:val="20"/>
        </w:rPr>
        <w:t>manages maintenance end-to-end from flagging required jobs to reporting service data to meter readings through to parts purchasing and invoicing processes.</w:t>
      </w:r>
    </w:p>
    <w:p w:rsidR="00EC50BE" w:rsidRPr="00560488" w:rsidRDefault="00CA098A" w:rsidP="00F56A53">
      <w:pPr>
        <w:rPr>
          <w:rFonts w:asciiTheme="minorHAnsi" w:hAnsiTheme="minorHAnsi"/>
          <w:sz w:val="20"/>
          <w:szCs w:val="20"/>
        </w:rPr>
      </w:pPr>
      <w:r w:rsidRPr="00560488">
        <w:rPr>
          <w:rFonts w:asciiTheme="minorHAnsi" w:hAnsiTheme="minorHAnsi"/>
          <w:sz w:val="20"/>
          <w:szCs w:val="20"/>
        </w:rPr>
        <w:br/>
      </w:r>
      <w:r w:rsidR="00EC50BE" w:rsidRPr="00560488">
        <w:rPr>
          <w:rFonts w:asciiTheme="minorHAnsi" w:hAnsiTheme="minorHAnsi"/>
          <w:sz w:val="20"/>
          <w:szCs w:val="20"/>
        </w:rPr>
        <w:t>Another operator also reported their use of business software to calculate fleet fuel usage (km) and determine service intervals etc. The key advantage is that they are able to schedule workshop time and tasks to suit vehicle usage and they don’t need to wait for a third party to schedule the time to complete that work. As with the earlier example above, this operator stated they previously had no control over third party workshop outcomes. They couldn’t confirm all outsourced work was up to OE standards and specifications or even that it always met legal roadworthiness requirements.</w:t>
      </w:r>
    </w:p>
    <w:p w:rsidR="00EC50BE" w:rsidRPr="00560488" w:rsidRDefault="00EC50BE" w:rsidP="00F56A53">
      <w:pPr>
        <w:rPr>
          <w:rFonts w:asciiTheme="minorHAnsi" w:hAnsiTheme="minorHAnsi"/>
          <w:b/>
          <w:sz w:val="20"/>
          <w:szCs w:val="20"/>
        </w:rPr>
      </w:pPr>
    </w:p>
    <w:p w:rsidR="00EC50BE" w:rsidRPr="00560488" w:rsidRDefault="00916AFA" w:rsidP="00F56A53">
      <w:pPr>
        <w:rPr>
          <w:rFonts w:asciiTheme="minorHAnsi" w:hAnsiTheme="minorHAnsi"/>
          <w:i/>
          <w:sz w:val="20"/>
          <w:szCs w:val="20"/>
        </w:rPr>
      </w:pPr>
      <w:r w:rsidRPr="00560488">
        <w:rPr>
          <w:rFonts w:asciiTheme="minorHAnsi" w:hAnsiTheme="minorHAnsi"/>
          <w:i/>
          <w:sz w:val="20"/>
          <w:szCs w:val="20"/>
        </w:rPr>
        <w:t>Mixed Maintenance Approach</w:t>
      </w:r>
      <w:r w:rsidR="00EC50BE" w:rsidRPr="00560488">
        <w:rPr>
          <w:rFonts w:asciiTheme="minorHAnsi" w:hAnsiTheme="minorHAnsi"/>
          <w:i/>
          <w:sz w:val="20"/>
          <w:szCs w:val="20"/>
        </w:rPr>
        <w:t>: Half of all respondents fell into this category.</w:t>
      </w:r>
    </w:p>
    <w:p w:rsidR="00EC50BE" w:rsidRPr="00560488" w:rsidRDefault="00EC50BE" w:rsidP="00F56A53">
      <w:pPr>
        <w:rPr>
          <w:rFonts w:asciiTheme="minorHAnsi" w:hAnsiTheme="minorHAnsi"/>
          <w:sz w:val="20"/>
          <w:szCs w:val="20"/>
        </w:rPr>
      </w:pPr>
      <w:r w:rsidRPr="00560488">
        <w:rPr>
          <w:rFonts w:asciiTheme="minorHAnsi" w:hAnsiTheme="minorHAnsi"/>
          <w:sz w:val="20"/>
          <w:szCs w:val="20"/>
        </w:rPr>
        <w:t>Approximately three-quarters of Australia’s heavy vehicle operators manage fleets of fewer than five vehicles. One such operator noted how often they would work miles away and for three weeks at a stretch so they didn’t wish to return home to their family only to go straight to the shed.</w:t>
      </w:r>
    </w:p>
    <w:p w:rsidR="00EC50BE" w:rsidRPr="00560488" w:rsidRDefault="00EC50BE" w:rsidP="00F56A53">
      <w:pPr>
        <w:rPr>
          <w:rFonts w:asciiTheme="minorHAnsi" w:hAnsiTheme="minorHAnsi"/>
          <w:sz w:val="20"/>
          <w:szCs w:val="20"/>
        </w:rPr>
      </w:pPr>
    </w:p>
    <w:p w:rsidR="00EC50BE" w:rsidRPr="00560488" w:rsidRDefault="00EC50BE" w:rsidP="00F56A53">
      <w:pPr>
        <w:rPr>
          <w:rFonts w:asciiTheme="minorHAnsi" w:hAnsiTheme="minorHAnsi"/>
          <w:sz w:val="20"/>
          <w:szCs w:val="20"/>
        </w:rPr>
      </w:pPr>
      <w:r w:rsidRPr="00560488">
        <w:rPr>
          <w:rFonts w:asciiTheme="minorHAnsi" w:hAnsiTheme="minorHAnsi"/>
          <w:sz w:val="20"/>
          <w:szCs w:val="20"/>
        </w:rPr>
        <w:t>One respondent until recently managed a heavy haulage operation specialising in carrying complex and oversize loads. This small business had limited geographic access to any third party providers so it carried out grease changes and brake adjustment work itself and outsourced the rest. An OE also conducted work on some vehicles under a contract agreement and any remaining activity, including servicing of trailing equipment, was outsourced to an nearby truck service centre.</w:t>
      </w:r>
    </w:p>
    <w:p w:rsidR="00EC50BE" w:rsidRPr="00560488" w:rsidRDefault="00EC50BE" w:rsidP="00F56A53">
      <w:pPr>
        <w:rPr>
          <w:rFonts w:asciiTheme="minorHAnsi" w:hAnsiTheme="minorHAnsi"/>
          <w:sz w:val="20"/>
          <w:szCs w:val="20"/>
        </w:rPr>
      </w:pPr>
    </w:p>
    <w:p w:rsidR="00EC50BE" w:rsidRPr="00560488" w:rsidRDefault="00EC50BE" w:rsidP="00F56A53">
      <w:pPr>
        <w:rPr>
          <w:rFonts w:asciiTheme="minorHAnsi" w:hAnsiTheme="minorHAnsi"/>
          <w:sz w:val="20"/>
          <w:szCs w:val="20"/>
        </w:rPr>
      </w:pPr>
      <w:r w:rsidRPr="00560488">
        <w:rPr>
          <w:rFonts w:asciiTheme="minorHAnsi" w:hAnsiTheme="minorHAnsi"/>
          <w:sz w:val="20"/>
          <w:szCs w:val="20"/>
        </w:rPr>
        <w:t xml:space="preserve">The operator employed a mixed approach to maintenance for 15 years until recent retirement. They said they were too small an outfit to do every conceivable repair or maintenance job themselves. They didn’t possess all the necessary tools and equipment, which are too expensive for a small business to purchase anyway. Sometimes, needed work was under OE warranty or outsourcing it was a geographic necessity because the truck wasn’t back at the depot or base when the work needed doing. </w:t>
      </w:r>
    </w:p>
    <w:p w:rsidR="00EC50BE" w:rsidRPr="00560488" w:rsidRDefault="00EC50BE" w:rsidP="00F56A53">
      <w:pPr>
        <w:rPr>
          <w:rFonts w:asciiTheme="minorHAnsi" w:hAnsiTheme="minorHAnsi"/>
          <w:sz w:val="20"/>
          <w:szCs w:val="20"/>
        </w:rPr>
      </w:pPr>
    </w:p>
    <w:p w:rsidR="00EC50BE" w:rsidRPr="00560488" w:rsidRDefault="00EC50BE" w:rsidP="00F56A53">
      <w:pPr>
        <w:rPr>
          <w:rFonts w:asciiTheme="minorHAnsi" w:hAnsiTheme="minorHAnsi"/>
          <w:sz w:val="20"/>
          <w:szCs w:val="20"/>
        </w:rPr>
      </w:pPr>
      <w:r w:rsidRPr="00560488">
        <w:rPr>
          <w:rFonts w:asciiTheme="minorHAnsi" w:hAnsiTheme="minorHAnsi"/>
          <w:sz w:val="20"/>
          <w:szCs w:val="20"/>
        </w:rPr>
        <w:t>However, another larger operator of a rigid vehicle fleet who outsources a lot of maintenance work in different locations recently installed a pre-trip/defect reporting system, which is now constantly reviewed for effectiveness.  The operator’s vehicles are serviced every 250 hours of work and, with so many different service providers involved, the operator says it is difficult to maintain the same standard across the fleet. To work around this issue, vehicles are returned to the company’s in-house workshops every few thousand hours for a major service and the fleet is inspected annually by company employees.</w:t>
      </w:r>
      <w:r w:rsidRPr="00560488">
        <w:rPr>
          <w:rFonts w:asciiTheme="minorHAnsi" w:hAnsiTheme="minorHAnsi"/>
          <w:sz w:val="20"/>
          <w:szCs w:val="20"/>
        </w:rPr>
        <w:tab/>
      </w:r>
    </w:p>
    <w:p w:rsidR="00EC50BE" w:rsidRPr="00560488" w:rsidRDefault="00EC50BE" w:rsidP="00F56A53">
      <w:pPr>
        <w:rPr>
          <w:rFonts w:asciiTheme="minorHAnsi" w:hAnsiTheme="minorHAnsi"/>
          <w:sz w:val="20"/>
          <w:szCs w:val="20"/>
        </w:rPr>
      </w:pPr>
    </w:p>
    <w:p w:rsidR="00EC50BE" w:rsidRPr="00560488" w:rsidRDefault="00EC50BE" w:rsidP="00F56A53">
      <w:pPr>
        <w:rPr>
          <w:rFonts w:asciiTheme="minorHAnsi" w:hAnsiTheme="minorHAnsi"/>
          <w:sz w:val="20"/>
          <w:szCs w:val="20"/>
        </w:rPr>
      </w:pPr>
      <w:r w:rsidRPr="00560488">
        <w:rPr>
          <w:rFonts w:asciiTheme="minorHAnsi" w:hAnsiTheme="minorHAnsi"/>
          <w:sz w:val="20"/>
          <w:szCs w:val="20"/>
        </w:rPr>
        <w:t>One medium-sized operator who finds their mixed maintenance approach works well, noted that verification also includes communicating with drivers and weekly reviews of their daily checks and odometer readings.</w:t>
      </w:r>
    </w:p>
    <w:p w:rsidR="00EC50BE" w:rsidRPr="00560488" w:rsidRDefault="00EC50BE" w:rsidP="00F56A53">
      <w:pPr>
        <w:rPr>
          <w:rFonts w:asciiTheme="minorHAnsi" w:hAnsiTheme="minorHAnsi"/>
          <w:sz w:val="20"/>
          <w:szCs w:val="20"/>
        </w:rPr>
      </w:pPr>
      <w:r w:rsidRPr="00560488">
        <w:rPr>
          <w:rFonts w:asciiTheme="minorHAnsi" w:hAnsiTheme="minorHAnsi"/>
          <w:sz w:val="20"/>
          <w:szCs w:val="20"/>
        </w:rPr>
        <w:tab/>
      </w:r>
    </w:p>
    <w:p w:rsidR="00EC50BE" w:rsidRPr="00560488" w:rsidRDefault="00916AFA" w:rsidP="00F56A53">
      <w:pPr>
        <w:rPr>
          <w:rFonts w:asciiTheme="minorHAnsi" w:hAnsiTheme="minorHAnsi"/>
          <w:i/>
          <w:sz w:val="20"/>
          <w:szCs w:val="20"/>
        </w:rPr>
      </w:pPr>
      <w:r w:rsidRPr="00560488">
        <w:rPr>
          <w:rFonts w:asciiTheme="minorHAnsi" w:hAnsiTheme="minorHAnsi"/>
          <w:i/>
          <w:sz w:val="20"/>
          <w:szCs w:val="20"/>
        </w:rPr>
        <w:t>Fully Outsourced Approach</w:t>
      </w:r>
      <w:r w:rsidR="00EC50BE" w:rsidRPr="00560488">
        <w:rPr>
          <w:rFonts w:asciiTheme="minorHAnsi" w:hAnsiTheme="minorHAnsi"/>
          <w:i/>
          <w:sz w:val="20"/>
          <w:szCs w:val="20"/>
        </w:rPr>
        <w:t xml:space="preserve">: </w:t>
      </w:r>
      <w:r w:rsidR="00533BFA" w:rsidRPr="00560488">
        <w:rPr>
          <w:rFonts w:asciiTheme="minorHAnsi" w:hAnsiTheme="minorHAnsi"/>
          <w:i/>
          <w:sz w:val="20"/>
          <w:szCs w:val="20"/>
        </w:rPr>
        <w:t xml:space="preserve">Less than </w:t>
      </w:r>
      <w:r w:rsidR="00EC50BE" w:rsidRPr="00560488">
        <w:rPr>
          <w:rFonts w:asciiTheme="minorHAnsi" w:hAnsiTheme="minorHAnsi"/>
          <w:i/>
          <w:sz w:val="20"/>
          <w:szCs w:val="20"/>
        </w:rPr>
        <w:t xml:space="preserve">10% of </w:t>
      </w:r>
      <w:r w:rsidR="00533BFA" w:rsidRPr="00560488">
        <w:rPr>
          <w:rFonts w:asciiTheme="minorHAnsi" w:hAnsiTheme="minorHAnsi"/>
          <w:i/>
          <w:sz w:val="20"/>
          <w:szCs w:val="20"/>
        </w:rPr>
        <w:t>respondents</w:t>
      </w:r>
      <w:r w:rsidR="00EC50BE" w:rsidRPr="00560488">
        <w:rPr>
          <w:rFonts w:asciiTheme="minorHAnsi" w:hAnsiTheme="minorHAnsi"/>
          <w:i/>
          <w:sz w:val="20"/>
          <w:szCs w:val="20"/>
        </w:rPr>
        <w:t xml:space="preserve"> fell into this category.</w:t>
      </w:r>
    </w:p>
    <w:p w:rsidR="00EC50BE" w:rsidRPr="00560488" w:rsidRDefault="00EC50BE" w:rsidP="00F56A53">
      <w:pPr>
        <w:rPr>
          <w:rFonts w:asciiTheme="minorHAnsi" w:hAnsiTheme="minorHAnsi"/>
          <w:sz w:val="20"/>
          <w:szCs w:val="20"/>
        </w:rPr>
      </w:pPr>
      <w:r w:rsidRPr="00560488">
        <w:rPr>
          <w:rFonts w:asciiTheme="minorHAnsi" w:hAnsiTheme="minorHAnsi"/>
          <w:sz w:val="20"/>
          <w:szCs w:val="20"/>
        </w:rPr>
        <w:t xml:space="preserve">A small number of respondents (the majority also self-identifying as Owner-Drivers) said they outsource all regular maintenance because it is ‘not their core business’. One NHVAS-accredited operator said outsourcing their work to a third party is a safer way to keep their fleet roadworthy and yet another, also NHVAS-accredited, said it’s a more reliable and systematic way to conduct regular maintenance. </w:t>
      </w:r>
    </w:p>
    <w:p w:rsidR="00EC50BE" w:rsidRPr="00560488" w:rsidRDefault="00EC50BE" w:rsidP="00F56A53">
      <w:pPr>
        <w:rPr>
          <w:rFonts w:asciiTheme="minorHAnsi" w:hAnsiTheme="minorHAnsi"/>
          <w:sz w:val="20"/>
          <w:szCs w:val="20"/>
        </w:rPr>
      </w:pPr>
    </w:p>
    <w:p w:rsidR="00EC50BE" w:rsidRPr="00560488" w:rsidRDefault="00EC50BE" w:rsidP="00F56A53">
      <w:pPr>
        <w:rPr>
          <w:rFonts w:asciiTheme="minorHAnsi" w:hAnsiTheme="minorHAnsi"/>
          <w:sz w:val="20"/>
          <w:szCs w:val="20"/>
        </w:rPr>
      </w:pPr>
      <w:r w:rsidRPr="00560488">
        <w:rPr>
          <w:rFonts w:asciiTheme="minorHAnsi" w:hAnsiTheme="minorHAnsi"/>
          <w:sz w:val="20"/>
          <w:szCs w:val="20"/>
        </w:rPr>
        <w:t xml:space="preserve">In some cases, an operator enters into a maintenance service agreement with an OE for new vehicles. This locks an operator into a contractual relationship with a single provider which can be beneficial or convenient for some operators. In return, operators expect a high quality of service to a declared standard and rely heavily upon the subsequent work meeting legal roadworthiness and compliance requirements. </w:t>
      </w:r>
    </w:p>
    <w:p w:rsidR="00EC50BE" w:rsidRPr="00560488" w:rsidRDefault="00EC50BE" w:rsidP="00F56A53">
      <w:pPr>
        <w:rPr>
          <w:rFonts w:asciiTheme="minorHAnsi" w:hAnsiTheme="minorHAnsi"/>
          <w:sz w:val="20"/>
          <w:szCs w:val="20"/>
        </w:rPr>
      </w:pPr>
    </w:p>
    <w:p w:rsidR="00EC50BE" w:rsidRPr="00560488" w:rsidRDefault="00EC50BE" w:rsidP="00F56A53">
      <w:pPr>
        <w:rPr>
          <w:rFonts w:asciiTheme="minorHAnsi" w:hAnsiTheme="minorHAnsi"/>
          <w:sz w:val="20"/>
          <w:szCs w:val="20"/>
        </w:rPr>
      </w:pPr>
      <w:r w:rsidRPr="00560488">
        <w:rPr>
          <w:rFonts w:asciiTheme="minorHAnsi" w:hAnsiTheme="minorHAnsi"/>
          <w:sz w:val="20"/>
          <w:szCs w:val="20"/>
        </w:rPr>
        <w:lastRenderedPageBreak/>
        <w:t xml:space="preserve">One NHVAS-accredited large fleet operator who does not use sub-contractors reported that their chosen service provider has the responsibility </w:t>
      </w:r>
      <w:r w:rsidRPr="00560488">
        <w:rPr>
          <w:rFonts w:asciiTheme="minorHAnsi" w:hAnsiTheme="minorHAnsi"/>
          <w:i/>
          <w:sz w:val="20"/>
          <w:szCs w:val="20"/>
        </w:rPr>
        <w:t>‘to repair our equipment to a safe, roadworthy and satisfactory level, along with retaining the records of proof’</w:t>
      </w:r>
      <w:r w:rsidRPr="00560488">
        <w:rPr>
          <w:rFonts w:asciiTheme="minorHAnsi" w:hAnsiTheme="minorHAnsi"/>
          <w:sz w:val="20"/>
          <w:szCs w:val="20"/>
        </w:rPr>
        <w:t>. This operator said they monitor the outcomes through d</w:t>
      </w:r>
      <w:r w:rsidRPr="00560488">
        <w:rPr>
          <w:rFonts w:asciiTheme="minorHAnsi" w:eastAsia="Times New Roman" w:hAnsiTheme="minorHAnsi"/>
          <w:sz w:val="20"/>
          <w:szCs w:val="20"/>
          <w:lang w:eastAsia="en-AU"/>
        </w:rPr>
        <w:t>aily inspections of works. To ensure toe work complies with NHVAS standards, regular internal audits are completed in addition to external audits.</w:t>
      </w:r>
    </w:p>
    <w:p w:rsidR="00EC50BE" w:rsidRPr="00560488" w:rsidRDefault="00EC50BE" w:rsidP="00F56A53">
      <w:pPr>
        <w:rPr>
          <w:rFonts w:asciiTheme="minorHAnsi" w:hAnsiTheme="minorHAnsi"/>
          <w:sz w:val="20"/>
          <w:szCs w:val="20"/>
        </w:rPr>
      </w:pPr>
    </w:p>
    <w:p w:rsidR="00EC50BE" w:rsidRPr="00560488" w:rsidRDefault="00EC50BE" w:rsidP="00F56A53">
      <w:pPr>
        <w:rPr>
          <w:rFonts w:asciiTheme="minorHAnsi" w:hAnsiTheme="minorHAnsi"/>
          <w:sz w:val="20"/>
          <w:szCs w:val="20"/>
        </w:rPr>
      </w:pPr>
      <w:r w:rsidRPr="00560488">
        <w:rPr>
          <w:rFonts w:asciiTheme="minorHAnsi" w:hAnsiTheme="minorHAnsi"/>
          <w:sz w:val="20"/>
          <w:szCs w:val="20"/>
        </w:rPr>
        <w:t xml:space="preserve">Another large operator of tanker trailers, tippers, drop-decks and flat tops reported multiple workshops across Australia, some of which are fitted with sophisticated equipment and tools, e.g. roller brake testing equipment. They depend heavily on their workshop’s expertise and the operator stressed how expensive downtime can be, even in comparison with the overheads of running a workshop. </w:t>
      </w:r>
    </w:p>
    <w:p w:rsidR="00EC50BE" w:rsidRPr="00560488" w:rsidRDefault="00EC50BE" w:rsidP="00F56A53">
      <w:pPr>
        <w:rPr>
          <w:rFonts w:asciiTheme="minorHAnsi" w:hAnsiTheme="minorHAnsi"/>
          <w:sz w:val="20"/>
          <w:szCs w:val="20"/>
        </w:rPr>
      </w:pPr>
    </w:p>
    <w:p w:rsidR="00EC50BE" w:rsidRPr="00560488" w:rsidRDefault="00EC50BE" w:rsidP="00F56A53">
      <w:pPr>
        <w:rPr>
          <w:rFonts w:asciiTheme="minorHAnsi" w:hAnsiTheme="minorHAnsi"/>
          <w:sz w:val="20"/>
          <w:szCs w:val="20"/>
        </w:rPr>
      </w:pPr>
      <w:r w:rsidRPr="00560488">
        <w:rPr>
          <w:rFonts w:asciiTheme="minorHAnsi" w:hAnsiTheme="minorHAnsi"/>
          <w:sz w:val="20"/>
          <w:szCs w:val="20"/>
        </w:rPr>
        <w:t xml:space="preserve">This operator also reported the quality of the outsourced work is verified through audits and visual inspections. Other mixed approaches involve hiring an external service provider to operate their business on company premises who then prioritises the company’s work. When feasible, the provider can also take in non-company work to keep their own business viable and their mechanical skills current. </w:t>
      </w:r>
    </w:p>
    <w:p w:rsidR="00EC50BE" w:rsidRPr="00560488" w:rsidRDefault="00EC50BE" w:rsidP="00F56A53">
      <w:pPr>
        <w:rPr>
          <w:rFonts w:asciiTheme="minorHAnsi" w:hAnsiTheme="minorHAnsi"/>
          <w:i/>
          <w:sz w:val="20"/>
          <w:szCs w:val="20"/>
        </w:rPr>
      </w:pPr>
    </w:p>
    <w:p w:rsidR="00EC50BE" w:rsidRPr="00560488" w:rsidRDefault="00EC50BE" w:rsidP="00F56A53">
      <w:pPr>
        <w:rPr>
          <w:rFonts w:asciiTheme="minorHAnsi" w:hAnsiTheme="minorHAnsi"/>
          <w:b/>
          <w:sz w:val="20"/>
          <w:szCs w:val="20"/>
        </w:rPr>
      </w:pPr>
      <w:r w:rsidRPr="00560488">
        <w:rPr>
          <w:rFonts w:asciiTheme="minorHAnsi" w:hAnsiTheme="minorHAnsi"/>
          <w:b/>
          <w:sz w:val="20"/>
          <w:szCs w:val="20"/>
        </w:rPr>
        <w:t xml:space="preserve">Quality Control </w:t>
      </w:r>
    </w:p>
    <w:p w:rsidR="00EC50BE" w:rsidRPr="00560488" w:rsidRDefault="00EC50BE" w:rsidP="00F56A53">
      <w:pPr>
        <w:rPr>
          <w:rFonts w:asciiTheme="minorHAnsi" w:hAnsiTheme="minorHAnsi"/>
          <w:sz w:val="20"/>
          <w:szCs w:val="20"/>
        </w:rPr>
      </w:pPr>
      <w:r w:rsidRPr="00560488">
        <w:rPr>
          <w:rFonts w:asciiTheme="minorHAnsi" w:hAnsiTheme="minorHAnsi"/>
          <w:sz w:val="20"/>
          <w:szCs w:val="20"/>
        </w:rPr>
        <w:t xml:space="preserve">The survey asked how operators verify the quality of outsourced vehicle maintenance. </w:t>
      </w:r>
    </w:p>
    <w:p w:rsidR="00EC50BE" w:rsidRPr="00560488" w:rsidRDefault="00EC50BE" w:rsidP="00F56A53">
      <w:pPr>
        <w:rPr>
          <w:rFonts w:asciiTheme="minorHAnsi" w:hAnsiTheme="minorHAnsi"/>
          <w:sz w:val="20"/>
          <w:szCs w:val="20"/>
        </w:rPr>
      </w:pPr>
    </w:p>
    <w:p w:rsidR="00EC50BE" w:rsidRPr="00560488" w:rsidRDefault="00EC50BE" w:rsidP="00F56A53">
      <w:pPr>
        <w:rPr>
          <w:rFonts w:asciiTheme="minorHAnsi" w:hAnsiTheme="minorHAnsi"/>
          <w:sz w:val="20"/>
          <w:szCs w:val="20"/>
        </w:rPr>
      </w:pPr>
      <w:r w:rsidRPr="00560488">
        <w:rPr>
          <w:rFonts w:asciiTheme="minorHAnsi" w:hAnsiTheme="minorHAnsi"/>
          <w:sz w:val="20"/>
          <w:szCs w:val="20"/>
        </w:rPr>
        <w:t>A few respondents (using mixed or fully outsourced approaches) said verification takes place before vehicles leave the yard and that their methods include:</w:t>
      </w:r>
    </w:p>
    <w:p w:rsidR="00EC50BE" w:rsidRPr="00560488" w:rsidRDefault="00EC50BE" w:rsidP="00F56A53">
      <w:pPr>
        <w:rPr>
          <w:rFonts w:asciiTheme="minorHAnsi" w:hAnsiTheme="minorHAnsi"/>
          <w:sz w:val="20"/>
          <w:szCs w:val="20"/>
        </w:rPr>
      </w:pPr>
    </w:p>
    <w:p w:rsidR="00EC50BE" w:rsidRPr="00560488" w:rsidRDefault="00EC50BE" w:rsidP="00F56A53">
      <w:pPr>
        <w:pStyle w:val="ListParagraph"/>
        <w:numPr>
          <w:ilvl w:val="0"/>
          <w:numId w:val="4"/>
        </w:numPr>
        <w:spacing w:after="0" w:line="240" w:lineRule="auto"/>
        <w:rPr>
          <w:rFonts w:asciiTheme="minorHAnsi" w:hAnsiTheme="minorHAnsi"/>
          <w:sz w:val="20"/>
          <w:szCs w:val="20"/>
        </w:rPr>
      </w:pPr>
      <w:r w:rsidRPr="00560488">
        <w:rPr>
          <w:rFonts w:asciiTheme="minorHAnsi" w:hAnsiTheme="minorHAnsi"/>
          <w:sz w:val="20"/>
          <w:szCs w:val="20"/>
        </w:rPr>
        <w:t xml:space="preserve">Hiring contract mechanics to staff the company workshop;  </w:t>
      </w:r>
    </w:p>
    <w:p w:rsidR="00EC50BE" w:rsidRPr="00560488" w:rsidRDefault="00EC50BE" w:rsidP="00F56A53">
      <w:pPr>
        <w:pStyle w:val="ListParagraph"/>
        <w:numPr>
          <w:ilvl w:val="0"/>
          <w:numId w:val="4"/>
        </w:numPr>
        <w:spacing w:after="0" w:line="240" w:lineRule="auto"/>
        <w:rPr>
          <w:rFonts w:asciiTheme="minorHAnsi" w:hAnsiTheme="minorHAnsi"/>
          <w:sz w:val="20"/>
          <w:szCs w:val="20"/>
        </w:rPr>
      </w:pPr>
      <w:r w:rsidRPr="00560488">
        <w:rPr>
          <w:rFonts w:asciiTheme="minorHAnsi" w:hAnsiTheme="minorHAnsi"/>
          <w:sz w:val="20"/>
          <w:szCs w:val="20"/>
        </w:rPr>
        <w:t>Using written job service requests, equipment sheets and other formal paperwork;</w:t>
      </w:r>
    </w:p>
    <w:p w:rsidR="00EC50BE" w:rsidRPr="00560488" w:rsidRDefault="00EC50BE" w:rsidP="00F56A53">
      <w:pPr>
        <w:pStyle w:val="ListParagraph"/>
        <w:numPr>
          <w:ilvl w:val="0"/>
          <w:numId w:val="4"/>
        </w:numPr>
        <w:spacing w:after="0" w:line="240" w:lineRule="auto"/>
        <w:rPr>
          <w:rFonts w:asciiTheme="minorHAnsi" w:hAnsiTheme="minorHAnsi"/>
          <w:sz w:val="20"/>
          <w:szCs w:val="20"/>
        </w:rPr>
      </w:pPr>
      <w:r w:rsidRPr="00560488">
        <w:rPr>
          <w:rFonts w:asciiTheme="minorHAnsi" w:hAnsiTheme="minorHAnsi"/>
          <w:sz w:val="20"/>
          <w:szCs w:val="20"/>
        </w:rPr>
        <w:t>Reviewing completed work and ensuring invoice detail accuracy etc.;</w:t>
      </w:r>
    </w:p>
    <w:p w:rsidR="00EC50BE" w:rsidRPr="00560488" w:rsidRDefault="00EC50BE" w:rsidP="00F56A53">
      <w:pPr>
        <w:pStyle w:val="ListParagraph"/>
        <w:numPr>
          <w:ilvl w:val="0"/>
          <w:numId w:val="4"/>
        </w:numPr>
        <w:spacing w:after="0" w:line="240" w:lineRule="auto"/>
        <w:rPr>
          <w:rFonts w:asciiTheme="minorHAnsi" w:hAnsiTheme="minorHAnsi"/>
          <w:sz w:val="20"/>
          <w:szCs w:val="20"/>
        </w:rPr>
      </w:pPr>
      <w:r w:rsidRPr="00560488">
        <w:rPr>
          <w:rFonts w:asciiTheme="minorHAnsi" w:hAnsiTheme="minorHAnsi"/>
          <w:sz w:val="20"/>
          <w:szCs w:val="20"/>
        </w:rPr>
        <w:t>Using company workshop or management staff to inspect outsourced work;</w:t>
      </w:r>
    </w:p>
    <w:p w:rsidR="00EC50BE" w:rsidRPr="00560488" w:rsidRDefault="00EC50BE" w:rsidP="00F56A53">
      <w:pPr>
        <w:pStyle w:val="ListParagraph"/>
        <w:numPr>
          <w:ilvl w:val="0"/>
          <w:numId w:val="4"/>
        </w:numPr>
        <w:spacing w:after="0" w:line="240" w:lineRule="auto"/>
        <w:rPr>
          <w:rFonts w:asciiTheme="minorHAnsi" w:hAnsiTheme="minorHAnsi"/>
          <w:sz w:val="20"/>
          <w:szCs w:val="20"/>
        </w:rPr>
      </w:pPr>
      <w:r w:rsidRPr="00560488">
        <w:rPr>
          <w:rFonts w:asciiTheme="minorHAnsi" w:hAnsiTheme="minorHAnsi"/>
          <w:sz w:val="20"/>
          <w:szCs w:val="20"/>
        </w:rPr>
        <w:t xml:space="preserve">Auditing and checking associated paperwork; </w:t>
      </w:r>
    </w:p>
    <w:p w:rsidR="00EC50BE" w:rsidRPr="00560488" w:rsidRDefault="00EC50BE" w:rsidP="00F56A53">
      <w:pPr>
        <w:pStyle w:val="ListParagraph"/>
        <w:numPr>
          <w:ilvl w:val="0"/>
          <w:numId w:val="4"/>
        </w:numPr>
        <w:spacing w:after="0" w:line="240" w:lineRule="auto"/>
        <w:rPr>
          <w:rFonts w:asciiTheme="minorHAnsi" w:hAnsiTheme="minorHAnsi"/>
          <w:sz w:val="20"/>
          <w:szCs w:val="20"/>
        </w:rPr>
      </w:pPr>
      <w:r w:rsidRPr="00560488">
        <w:rPr>
          <w:rFonts w:asciiTheme="minorHAnsi" w:hAnsiTheme="minorHAnsi"/>
          <w:sz w:val="20"/>
          <w:szCs w:val="20"/>
        </w:rPr>
        <w:t xml:space="preserve">Using the Vehicle Fault Reporting (VFR) feature in the operator’s tracking system. </w:t>
      </w:r>
    </w:p>
    <w:p w:rsidR="00EC50BE" w:rsidRPr="00560488" w:rsidRDefault="00EC50BE" w:rsidP="00F56A53">
      <w:pPr>
        <w:pStyle w:val="ListParagraph"/>
        <w:numPr>
          <w:ilvl w:val="1"/>
          <w:numId w:val="4"/>
        </w:numPr>
        <w:spacing w:after="0" w:line="240" w:lineRule="auto"/>
        <w:rPr>
          <w:rFonts w:asciiTheme="minorHAnsi" w:hAnsiTheme="minorHAnsi"/>
          <w:sz w:val="20"/>
          <w:szCs w:val="20"/>
        </w:rPr>
      </w:pPr>
      <w:r w:rsidRPr="00560488">
        <w:rPr>
          <w:rFonts w:asciiTheme="minorHAnsi" w:hAnsiTheme="minorHAnsi"/>
          <w:sz w:val="20"/>
          <w:szCs w:val="20"/>
        </w:rPr>
        <w:t xml:space="preserve">Ensuring vehicle fault books are signed by repairers </w:t>
      </w:r>
    </w:p>
    <w:p w:rsidR="00EC50BE" w:rsidRPr="00560488" w:rsidRDefault="00EC50BE" w:rsidP="00F56A53">
      <w:pPr>
        <w:pStyle w:val="ListParagraph"/>
        <w:numPr>
          <w:ilvl w:val="1"/>
          <w:numId w:val="4"/>
        </w:numPr>
        <w:spacing w:after="0" w:line="240" w:lineRule="auto"/>
        <w:rPr>
          <w:rFonts w:asciiTheme="minorHAnsi" w:hAnsiTheme="minorHAnsi"/>
          <w:sz w:val="20"/>
          <w:szCs w:val="20"/>
        </w:rPr>
      </w:pPr>
      <w:r w:rsidRPr="00560488">
        <w:rPr>
          <w:rFonts w:asciiTheme="minorHAnsi" w:hAnsiTheme="minorHAnsi"/>
          <w:sz w:val="20"/>
          <w:szCs w:val="20"/>
        </w:rPr>
        <w:t>In one case, if a fault is entered in the VFR book more than three times, the asset supervisor should expect a phone call from the driver; and</w:t>
      </w:r>
    </w:p>
    <w:p w:rsidR="00EC50BE" w:rsidRPr="00560488" w:rsidRDefault="00EC50BE" w:rsidP="00F56A53">
      <w:pPr>
        <w:pStyle w:val="ListParagraph"/>
        <w:numPr>
          <w:ilvl w:val="0"/>
          <w:numId w:val="4"/>
        </w:numPr>
        <w:spacing w:after="0" w:line="240" w:lineRule="auto"/>
        <w:rPr>
          <w:rFonts w:asciiTheme="minorHAnsi" w:hAnsiTheme="minorHAnsi"/>
          <w:sz w:val="20"/>
          <w:szCs w:val="20"/>
        </w:rPr>
      </w:pPr>
      <w:r w:rsidRPr="00560488">
        <w:rPr>
          <w:rFonts w:asciiTheme="minorHAnsi" w:hAnsiTheme="minorHAnsi"/>
          <w:sz w:val="20"/>
          <w:szCs w:val="20"/>
        </w:rPr>
        <w:t>Ensuring accreditation, qualifications, public liability insurance status etc.</w:t>
      </w:r>
    </w:p>
    <w:p w:rsidR="00EC50BE" w:rsidRPr="00560488" w:rsidRDefault="00EC50BE" w:rsidP="00F56A53">
      <w:pPr>
        <w:rPr>
          <w:rFonts w:asciiTheme="minorHAnsi" w:hAnsiTheme="minorHAnsi"/>
          <w:sz w:val="20"/>
          <w:szCs w:val="20"/>
        </w:rPr>
      </w:pPr>
    </w:p>
    <w:p w:rsidR="00EC50BE" w:rsidRPr="00560488" w:rsidRDefault="00EC50BE" w:rsidP="00F56A53">
      <w:pPr>
        <w:rPr>
          <w:rFonts w:asciiTheme="minorHAnsi" w:hAnsiTheme="minorHAnsi"/>
          <w:b/>
          <w:sz w:val="20"/>
          <w:szCs w:val="20"/>
        </w:rPr>
      </w:pPr>
      <w:r w:rsidRPr="00560488">
        <w:rPr>
          <w:rFonts w:asciiTheme="minorHAnsi" w:hAnsiTheme="minorHAnsi"/>
          <w:b/>
          <w:sz w:val="20"/>
          <w:szCs w:val="20"/>
        </w:rPr>
        <w:t>The Role of Accreditation</w:t>
      </w:r>
    </w:p>
    <w:p w:rsidR="00EC50BE" w:rsidRPr="00560488" w:rsidRDefault="00EC50BE" w:rsidP="00F56A53">
      <w:pPr>
        <w:rPr>
          <w:rFonts w:asciiTheme="minorHAnsi" w:eastAsia="Times New Roman" w:hAnsiTheme="minorHAnsi"/>
          <w:bCs/>
          <w:sz w:val="20"/>
          <w:szCs w:val="20"/>
          <w:lang w:eastAsia="en-AU"/>
        </w:rPr>
      </w:pPr>
      <w:r w:rsidRPr="00560488">
        <w:rPr>
          <w:rFonts w:asciiTheme="minorHAnsi" w:eastAsia="Times New Roman" w:hAnsiTheme="minorHAnsi"/>
          <w:bCs/>
          <w:sz w:val="20"/>
          <w:szCs w:val="20"/>
          <w:lang w:eastAsia="en-AU"/>
        </w:rPr>
        <w:t xml:space="preserve">Four respondents reported not being enrolled in either NHVAS or TruckSafe®, four operators are enrolled in both schemes, and six are accredited under NHVAS alone. Ten respondents gave no response. </w:t>
      </w:r>
    </w:p>
    <w:p w:rsidR="00EC50BE" w:rsidRPr="00560488" w:rsidRDefault="00EC50BE" w:rsidP="00F56A53">
      <w:pPr>
        <w:rPr>
          <w:rFonts w:asciiTheme="minorHAnsi" w:hAnsiTheme="minorHAnsi"/>
          <w:b/>
          <w:sz w:val="20"/>
          <w:szCs w:val="20"/>
        </w:rPr>
      </w:pPr>
    </w:p>
    <w:p w:rsidR="00EC50BE" w:rsidRPr="00560488" w:rsidRDefault="00EC50BE" w:rsidP="00F56A53">
      <w:pPr>
        <w:rPr>
          <w:rFonts w:asciiTheme="minorHAnsi" w:hAnsiTheme="minorHAnsi"/>
          <w:sz w:val="20"/>
          <w:szCs w:val="20"/>
        </w:rPr>
      </w:pPr>
      <w:r w:rsidRPr="00560488">
        <w:rPr>
          <w:rFonts w:asciiTheme="minorHAnsi" w:hAnsiTheme="minorHAnsi"/>
          <w:sz w:val="20"/>
          <w:szCs w:val="20"/>
        </w:rPr>
        <w:t xml:space="preserve">One respondent said their enrolment in both </w:t>
      </w:r>
      <w:r w:rsidR="0050452D" w:rsidRPr="00560488">
        <w:rPr>
          <w:rFonts w:asciiTheme="minorHAnsi" w:hAnsiTheme="minorHAnsi"/>
          <w:sz w:val="20"/>
          <w:szCs w:val="20"/>
        </w:rPr>
        <w:t xml:space="preserve">TruckSafe </w:t>
      </w:r>
      <w:r w:rsidRPr="00560488">
        <w:rPr>
          <w:rFonts w:asciiTheme="minorHAnsi" w:hAnsiTheme="minorHAnsi"/>
          <w:sz w:val="20"/>
          <w:szCs w:val="20"/>
        </w:rPr>
        <w:t>and the NHVAS helps them schedule and maintain service records, fault finding and repair reports. They said the schemes helps keep them aware of their fleet’s roadworthiness status.</w:t>
      </w:r>
    </w:p>
    <w:p w:rsidR="00EC50BE" w:rsidRPr="00560488" w:rsidRDefault="00EC50BE" w:rsidP="00F56A53">
      <w:pPr>
        <w:rPr>
          <w:rFonts w:asciiTheme="minorHAnsi" w:eastAsia="Times New Roman" w:hAnsiTheme="minorHAnsi"/>
          <w:b/>
          <w:bCs/>
          <w:sz w:val="20"/>
          <w:szCs w:val="20"/>
          <w:lang w:eastAsia="en-AU"/>
        </w:rPr>
      </w:pPr>
    </w:p>
    <w:p w:rsidR="00EC50BE" w:rsidRPr="00560488" w:rsidRDefault="00EC50BE" w:rsidP="00F56A53">
      <w:pPr>
        <w:rPr>
          <w:rFonts w:asciiTheme="minorHAnsi" w:eastAsia="Times New Roman" w:hAnsiTheme="minorHAnsi"/>
          <w:b/>
          <w:bCs/>
          <w:sz w:val="20"/>
          <w:szCs w:val="20"/>
          <w:lang w:eastAsia="en-AU"/>
        </w:rPr>
      </w:pPr>
      <w:r w:rsidRPr="00560488">
        <w:rPr>
          <w:rFonts w:asciiTheme="minorHAnsi" w:hAnsiTheme="minorHAnsi"/>
          <w:b/>
          <w:sz w:val="20"/>
          <w:szCs w:val="20"/>
        </w:rPr>
        <w:t>Role of</w:t>
      </w:r>
      <w:r w:rsidRPr="00560488">
        <w:rPr>
          <w:rFonts w:asciiTheme="minorHAnsi" w:eastAsia="Times New Roman" w:hAnsiTheme="minorHAnsi"/>
          <w:b/>
          <w:bCs/>
          <w:sz w:val="20"/>
          <w:szCs w:val="20"/>
          <w:lang w:eastAsia="en-AU"/>
        </w:rPr>
        <w:t xml:space="preserve"> Service Quality, Cost and Convenience.</w:t>
      </w:r>
    </w:p>
    <w:p w:rsidR="00EC50BE" w:rsidRPr="00560488" w:rsidRDefault="00EC50BE" w:rsidP="00F56A53">
      <w:pPr>
        <w:rPr>
          <w:rFonts w:asciiTheme="minorHAnsi" w:hAnsiTheme="minorHAnsi"/>
          <w:sz w:val="20"/>
          <w:szCs w:val="20"/>
        </w:rPr>
      </w:pPr>
      <w:r w:rsidRPr="00560488">
        <w:rPr>
          <w:rFonts w:asciiTheme="minorHAnsi" w:hAnsiTheme="minorHAnsi"/>
          <w:sz w:val="20"/>
          <w:szCs w:val="20"/>
        </w:rPr>
        <w:t xml:space="preserve">A respondent who noted a mixed approach (including company workshops), noted: </w:t>
      </w:r>
    </w:p>
    <w:p w:rsidR="00EC50BE" w:rsidRPr="00560488" w:rsidRDefault="00EC50BE" w:rsidP="00F56A53">
      <w:pPr>
        <w:rPr>
          <w:rFonts w:asciiTheme="minorHAnsi" w:hAnsiTheme="minorHAnsi"/>
          <w:sz w:val="20"/>
          <w:szCs w:val="20"/>
        </w:rPr>
      </w:pPr>
    </w:p>
    <w:p w:rsidR="00EC50BE" w:rsidRPr="00560488" w:rsidRDefault="00EC50BE" w:rsidP="00F56A53">
      <w:pPr>
        <w:rPr>
          <w:rFonts w:asciiTheme="minorHAnsi" w:hAnsiTheme="minorHAnsi"/>
          <w:sz w:val="20"/>
          <w:szCs w:val="20"/>
        </w:rPr>
      </w:pPr>
      <w:r w:rsidRPr="00560488">
        <w:rPr>
          <w:rFonts w:asciiTheme="minorHAnsi" w:hAnsiTheme="minorHAnsi"/>
          <w:i/>
          <w:sz w:val="20"/>
          <w:szCs w:val="20"/>
        </w:rPr>
        <w:t xml:space="preserve">“This is a part of the business that costs money. Trying to get this through to some of the senior managers that know nothing about maintenance is a major issue, all they see is the cost and a budget that is set by someone who knows nothing about maintenance. Our policy is to maintain a vehicle to a safe, roadworthy standard at minimal cost.” </w:t>
      </w:r>
    </w:p>
    <w:p w:rsidR="00EC50BE" w:rsidRPr="00560488" w:rsidRDefault="00EC50BE" w:rsidP="00F56A53">
      <w:pPr>
        <w:rPr>
          <w:rFonts w:asciiTheme="minorHAnsi" w:hAnsiTheme="minorHAnsi"/>
          <w:sz w:val="20"/>
          <w:szCs w:val="20"/>
        </w:rPr>
      </w:pPr>
    </w:p>
    <w:p w:rsidR="00EC50BE" w:rsidRPr="00560488" w:rsidRDefault="00EC50BE" w:rsidP="00F56A53">
      <w:pPr>
        <w:rPr>
          <w:rFonts w:asciiTheme="minorHAnsi" w:hAnsiTheme="minorHAnsi"/>
          <w:sz w:val="20"/>
          <w:szCs w:val="20"/>
        </w:rPr>
      </w:pPr>
      <w:r w:rsidRPr="00560488">
        <w:rPr>
          <w:rFonts w:asciiTheme="minorHAnsi" w:hAnsiTheme="minorHAnsi"/>
          <w:sz w:val="20"/>
          <w:szCs w:val="20"/>
        </w:rPr>
        <w:t xml:space="preserve">Overall, the survey suggests </w:t>
      </w:r>
      <w:r w:rsidRPr="00CB6DA0">
        <w:rPr>
          <w:rFonts w:asciiTheme="minorHAnsi" w:hAnsiTheme="minorHAnsi"/>
          <w:sz w:val="20"/>
          <w:szCs w:val="20"/>
        </w:rPr>
        <w:t xml:space="preserve">a </w:t>
      </w:r>
      <w:r w:rsidR="00CB6DA0" w:rsidRPr="00CB6DA0">
        <w:rPr>
          <w:rFonts w:asciiTheme="minorHAnsi" w:hAnsiTheme="minorHAnsi"/>
          <w:sz w:val="20"/>
          <w:szCs w:val="20"/>
        </w:rPr>
        <w:t>‘</w:t>
      </w:r>
      <w:r w:rsidRPr="00CB6DA0">
        <w:rPr>
          <w:rFonts w:asciiTheme="minorHAnsi" w:hAnsiTheme="minorHAnsi"/>
          <w:sz w:val="20"/>
          <w:szCs w:val="20"/>
        </w:rPr>
        <w:t>drift to outsourcing’</w:t>
      </w:r>
      <w:r w:rsidRPr="00560488">
        <w:rPr>
          <w:rFonts w:asciiTheme="minorHAnsi" w:hAnsiTheme="minorHAnsi"/>
          <w:sz w:val="20"/>
          <w:szCs w:val="20"/>
        </w:rPr>
        <w:t xml:space="preserve"> maintenance and that three factors consistently influence operator choices. </w:t>
      </w:r>
      <w:r w:rsidR="00D478DD" w:rsidRPr="00560488">
        <w:rPr>
          <w:rFonts w:asciiTheme="minorHAnsi" w:hAnsiTheme="minorHAnsi"/>
          <w:sz w:val="20"/>
          <w:szCs w:val="20"/>
        </w:rPr>
        <w:t>Not unsurprisingly, these</w:t>
      </w:r>
      <w:r w:rsidRPr="00560488">
        <w:rPr>
          <w:rFonts w:asciiTheme="minorHAnsi" w:hAnsiTheme="minorHAnsi"/>
          <w:sz w:val="20"/>
          <w:szCs w:val="20"/>
        </w:rPr>
        <w:t xml:space="preserve"> </w:t>
      </w:r>
      <w:r w:rsidR="00D478DD" w:rsidRPr="00560488">
        <w:rPr>
          <w:rFonts w:asciiTheme="minorHAnsi" w:hAnsiTheme="minorHAnsi"/>
          <w:sz w:val="20"/>
          <w:szCs w:val="20"/>
        </w:rPr>
        <w:t xml:space="preserve">factors </w:t>
      </w:r>
      <w:r w:rsidRPr="00560488">
        <w:rPr>
          <w:rFonts w:asciiTheme="minorHAnsi" w:hAnsiTheme="minorHAnsi"/>
          <w:sz w:val="20"/>
          <w:szCs w:val="20"/>
        </w:rPr>
        <w:t xml:space="preserve">appear to be </w:t>
      </w:r>
      <w:r w:rsidRPr="00560488">
        <w:rPr>
          <w:rFonts w:asciiTheme="minorHAnsi" w:hAnsiTheme="minorHAnsi"/>
          <w:i/>
          <w:sz w:val="20"/>
          <w:szCs w:val="20"/>
        </w:rPr>
        <w:t>service</w:t>
      </w:r>
      <w:r w:rsidRPr="00560488">
        <w:rPr>
          <w:rFonts w:asciiTheme="minorHAnsi" w:hAnsiTheme="minorHAnsi"/>
          <w:sz w:val="20"/>
          <w:szCs w:val="20"/>
        </w:rPr>
        <w:t xml:space="preserve"> </w:t>
      </w:r>
      <w:r w:rsidRPr="00560488">
        <w:rPr>
          <w:rFonts w:asciiTheme="minorHAnsi" w:hAnsiTheme="minorHAnsi"/>
          <w:i/>
          <w:sz w:val="20"/>
          <w:szCs w:val="20"/>
        </w:rPr>
        <w:t xml:space="preserve">quality, cost </w:t>
      </w:r>
      <w:r w:rsidRPr="00560488">
        <w:rPr>
          <w:rFonts w:asciiTheme="minorHAnsi" w:hAnsiTheme="minorHAnsi"/>
          <w:sz w:val="20"/>
          <w:szCs w:val="20"/>
        </w:rPr>
        <w:t xml:space="preserve">and </w:t>
      </w:r>
      <w:r w:rsidRPr="00560488">
        <w:rPr>
          <w:rFonts w:asciiTheme="minorHAnsi" w:hAnsiTheme="minorHAnsi"/>
          <w:i/>
          <w:sz w:val="20"/>
          <w:szCs w:val="20"/>
        </w:rPr>
        <w:t>convenience</w:t>
      </w:r>
      <w:r w:rsidRPr="00560488">
        <w:rPr>
          <w:rFonts w:asciiTheme="minorHAnsi" w:hAnsiTheme="minorHAnsi"/>
          <w:sz w:val="20"/>
          <w:szCs w:val="20"/>
        </w:rPr>
        <w:t>. It should be noted other factors are also at play and are noted throughout this summary.</w:t>
      </w:r>
    </w:p>
    <w:p w:rsidR="00EC50BE" w:rsidRPr="00560488" w:rsidRDefault="00EC50BE" w:rsidP="00F56A53">
      <w:pPr>
        <w:rPr>
          <w:rFonts w:asciiTheme="minorHAnsi" w:hAnsiTheme="minorHAnsi"/>
          <w:sz w:val="20"/>
          <w:szCs w:val="20"/>
        </w:rPr>
      </w:pPr>
    </w:p>
    <w:p w:rsidR="0097721C" w:rsidRPr="00560488" w:rsidRDefault="0097721C" w:rsidP="00F56A53">
      <w:pPr>
        <w:pStyle w:val="ListParagraph"/>
        <w:numPr>
          <w:ilvl w:val="0"/>
          <w:numId w:val="13"/>
        </w:numPr>
        <w:spacing w:after="0" w:line="240" w:lineRule="auto"/>
        <w:rPr>
          <w:sz w:val="20"/>
          <w:szCs w:val="20"/>
        </w:rPr>
      </w:pPr>
      <w:r w:rsidRPr="00560488">
        <w:rPr>
          <w:i/>
          <w:sz w:val="20"/>
          <w:szCs w:val="20"/>
        </w:rPr>
        <w:t>Service</w:t>
      </w:r>
      <w:r w:rsidRPr="00560488">
        <w:rPr>
          <w:sz w:val="20"/>
          <w:szCs w:val="20"/>
        </w:rPr>
        <w:t xml:space="preserve"> </w:t>
      </w:r>
      <w:r w:rsidRPr="00560488">
        <w:rPr>
          <w:i/>
          <w:sz w:val="20"/>
          <w:szCs w:val="20"/>
        </w:rPr>
        <w:t>quality</w:t>
      </w:r>
      <w:r w:rsidRPr="00560488">
        <w:rPr>
          <w:sz w:val="20"/>
          <w:szCs w:val="20"/>
        </w:rPr>
        <w:t xml:space="preserve"> relates to outcomes perceived from different approaches. For some maintenance, required work might be under warranty. Fears of a lack of sufficient control over third party workshop outcomes can be contrasted with fears of the high overheads from running workshops, buying equipment and locating/hiring mechanical expertise. </w:t>
      </w:r>
    </w:p>
    <w:p w:rsidR="0097721C" w:rsidRPr="00560488" w:rsidRDefault="00EC50BE" w:rsidP="00F56A53">
      <w:pPr>
        <w:pStyle w:val="ListParagraph"/>
        <w:numPr>
          <w:ilvl w:val="0"/>
          <w:numId w:val="13"/>
        </w:numPr>
        <w:spacing w:after="0" w:line="240" w:lineRule="auto"/>
        <w:rPr>
          <w:sz w:val="20"/>
          <w:szCs w:val="20"/>
        </w:rPr>
      </w:pPr>
      <w:r w:rsidRPr="00560488">
        <w:rPr>
          <w:rFonts w:asciiTheme="minorHAnsi" w:hAnsiTheme="minorHAnsi"/>
          <w:i/>
          <w:sz w:val="20"/>
          <w:szCs w:val="20"/>
        </w:rPr>
        <w:t>Cost</w:t>
      </w:r>
      <w:r w:rsidRPr="00560488">
        <w:rPr>
          <w:rFonts w:asciiTheme="minorHAnsi" w:hAnsiTheme="minorHAnsi"/>
          <w:sz w:val="20"/>
          <w:szCs w:val="20"/>
        </w:rPr>
        <w:t xml:space="preserve"> </w:t>
      </w:r>
      <w:r w:rsidR="0097721C" w:rsidRPr="00560488">
        <w:rPr>
          <w:sz w:val="20"/>
          <w:szCs w:val="20"/>
        </w:rPr>
        <w:t xml:space="preserve">relates to </w:t>
      </w:r>
      <w:r w:rsidRPr="00560488">
        <w:rPr>
          <w:rFonts w:asciiTheme="minorHAnsi" w:hAnsiTheme="minorHAnsi"/>
          <w:sz w:val="20"/>
          <w:szCs w:val="20"/>
        </w:rPr>
        <w:t>business viability. Financial considerations such as equipment costs play a part in the choice of approach and act in conjunction with geography and application. The work may done be under warranty or a long-term OE maintenance contract agreement.  While some operators cannot afford downtime or waiting for a workshop to fit them in, others cannot afford to run their own workshops.</w:t>
      </w:r>
    </w:p>
    <w:p w:rsidR="0097721C" w:rsidRPr="00560488" w:rsidRDefault="0097721C" w:rsidP="00F56A53">
      <w:pPr>
        <w:pStyle w:val="ListParagraph"/>
        <w:numPr>
          <w:ilvl w:val="0"/>
          <w:numId w:val="13"/>
        </w:numPr>
        <w:spacing w:after="0" w:line="240" w:lineRule="auto"/>
        <w:rPr>
          <w:sz w:val="20"/>
          <w:szCs w:val="20"/>
        </w:rPr>
      </w:pPr>
      <w:r w:rsidRPr="00560488">
        <w:rPr>
          <w:i/>
          <w:sz w:val="20"/>
          <w:szCs w:val="20"/>
        </w:rPr>
        <w:t>Convenience</w:t>
      </w:r>
      <w:r w:rsidRPr="00560488">
        <w:rPr>
          <w:sz w:val="20"/>
          <w:szCs w:val="20"/>
        </w:rPr>
        <w:t xml:space="preserve"> relates to business efficiency given existing geography, cost and application. Scheduled maintenance or needed repairs are outsourced often because vehicles are away from their depot, there is </w:t>
      </w:r>
      <w:r w:rsidRPr="00560488">
        <w:rPr>
          <w:sz w:val="20"/>
          <w:szCs w:val="20"/>
        </w:rPr>
        <w:lastRenderedPageBreak/>
        <w:t>little time or no mechanical expertise available or a lack of parts. For others, needed work may be under warranty with a perceived high-quality OE dealership but they are too far away to be of practical use as a service</w:t>
      </w:r>
      <w:r w:rsidR="00D478DD" w:rsidRPr="00560488">
        <w:rPr>
          <w:sz w:val="20"/>
          <w:szCs w:val="20"/>
        </w:rPr>
        <w:t xml:space="preserve"> </w:t>
      </w:r>
      <w:r w:rsidRPr="00560488">
        <w:rPr>
          <w:sz w:val="20"/>
          <w:szCs w:val="20"/>
        </w:rPr>
        <w:t>provider.</w:t>
      </w:r>
    </w:p>
    <w:p w:rsidR="00887EB4" w:rsidRDefault="00887EB4" w:rsidP="00F56A53">
      <w:pPr>
        <w:rPr>
          <w:b/>
          <w:sz w:val="20"/>
          <w:szCs w:val="20"/>
          <w:u w:val="single"/>
        </w:rPr>
      </w:pPr>
    </w:p>
    <w:p w:rsidR="006B3458" w:rsidRPr="00560488" w:rsidRDefault="007C6018" w:rsidP="00F56A53">
      <w:pPr>
        <w:rPr>
          <w:b/>
          <w:sz w:val="20"/>
          <w:szCs w:val="20"/>
          <w:u w:val="single"/>
        </w:rPr>
      </w:pPr>
      <w:r w:rsidRPr="00560488">
        <w:rPr>
          <w:b/>
          <w:sz w:val="20"/>
          <w:szCs w:val="20"/>
          <w:u w:val="single"/>
        </w:rPr>
        <w:t xml:space="preserve">Respondent Characteristics  </w:t>
      </w:r>
    </w:p>
    <w:p w:rsidR="006B3458" w:rsidRPr="00560488" w:rsidRDefault="006B3458" w:rsidP="00F56A53">
      <w:pPr>
        <w:rPr>
          <w:rFonts w:eastAsia="Times New Roman"/>
          <w:sz w:val="20"/>
          <w:szCs w:val="20"/>
          <w:lang w:eastAsia="en-AU"/>
        </w:rPr>
      </w:pPr>
      <w:r w:rsidRPr="00560488">
        <w:rPr>
          <w:rFonts w:eastAsia="Times New Roman"/>
          <w:b/>
          <w:sz w:val="20"/>
          <w:szCs w:val="20"/>
          <w:lang w:eastAsia="en-AU"/>
        </w:rPr>
        <w:t xml:space="preserve">Declared </w:t>
      </w:r>
      <w:r w:rsidRPr="00560488">
        <w:rPr>
          <w:rFonts w:eastAsia="Times New Roman"/>
          <w:b/>
          <w:bCs/>
          <w:sz w:val="20"/>
          <w:szCs w:val="20"/>
          <w:lang w:eastAsia="en-AU"/>
        </w:rPr>
        <w:t>size of operation</w:t>
      </w:r>
      <w:r w:rsidR="00241F2E" w:rsidRPr="00560488">
        <w:rPr>
          <w:rFonts w:eastAsia="Times New Roman"/>
          <w:b/>
          <w:bCs/>
          <w:sz w:val="20"/>
          <w:szCs w:val="20"/>
          <w:lang w:eastAsia="en-AU"/>
        </w:rPr>
        <w:t xml:space="preserve">: </w:t>
      </w:r>
      <w:r w:rsidRPr="00560488">
        <w:rPr>
          <w:rFonts w:eastAsia="Times New Roman"/>
          <w:sz w:val="20"/>
          <w:szCs w:val="20"/>
          <w:lang w:eastAsia="en-AU"/>
        </w:rPr>
        <w:t xml:space="preserve">A total of 26 operators </w:t>
      </w:r>
      <w:r w:rsidR="007C6018" w:rsidRPr="00560488">
        <w:rPr>
          <w:rFonts w:eastAsia="Times New Roman"/>
          <w:sz w:val="20"/>
          <w:szCs w:val="20"/>
          <w:lang w:eastAsia="en-AU"/>
        </w:rPr>
        <w:t xml:space="preserve">surveyed </w:t>
      </w:r>
      <w:r w:rsidR="0097721C" w:rsidRPr="00560488">
        <w:rPr>
          <w:rFonts w:eastAsia="Times New Roman"/>
          <w:sz w:val="20"/>
          <w:szCs w:val="20"/>
          <w:lang w:eastAsia="en-AU"/>
        </w:rPr>
        <w:t xml:space="preserve">anonymously </w:t>
      </w:r>
      <w:r w:rsidR="007C6018" w:rsidRPr="00560488">
        <w:rPr>
          <w:rFonts w:eastAsia="Times New Roman"/>
          <w:sz w:val="20"/>
          <w:szCs w:val="20"/>
          <w:lang w:eastAsia="en-AU"/>
        </w:rPr>
        <w:t>said</w:t>
      </w:r>
      <w:r w:rsidRPr="00560488">
        <w:rPr>
          <w:rFonts w:eastAsia="Times New Roman"/>
          <w:sz w:val="20"/>
          <w:szCs w:val="20"/>
          <w:lang w:eastAsia="en-AU"/>
        </w:rPr>
        <w:t xml:space="preserve"> their fleet operations could be classified as:</w:t>
      </w:r>
    </w:p>
    <w:p w:rsidR="006B3458" w:rsidRPr="00560488" w:rsidRDefault="006B3458" w:rsidP="00F56A53">
      <w:pPr>
        <w:rPr>
          <w:rFonts w:eastAsia="Times New Roman"/>
          <w:sz w:val="20"/>
          <w:szCs w:val="20"/>
          <w:lang w:eastAsia="en-AU"/>
        </w:rPr>
      </w:pPr>
    </w:p>
    <w:p w:rsidR="006B3458" w:rsidRPr="00560488" w:rsidRDefault="006B3458" w:rsidP="00F56A53">
      <w:pPr>
        <w:pStyle w:val="ListParagraph"/>
        <w:numPr>
          <w:ilvl w:val="0"/>
          <w:numId w:val="6"/>
        </w:numPr>
        <w:spacing w:after="0" w:line="240" w:lineRule="auto"/>
        <w:rPr>
          <w:rFonts w:eastAsia="Times New Roman"/>
          <w:sz w:val="20"/>
          <w:szCs w:val="20"/>
          <w:lang w:eastAsia="en-AU"/>
        </w:rPr>
      </w:pPr>
      <w:r w:rsidRPr="00560488">
        <w:rPr>
          <w:rFonts w:eastAsia="Times New Roman"/>
          <w:sz w:val="20"/>
          <w:szCs w:val="20"/>
          <w:lang w:eastAsia="en-AU"/>
        </w:rPr>
        <w:t>Owner/Driver (4)</w:t>
      </w:r>
    </w:p>
    <w:p w:rsidR="006B3458" w:rsidRPr="00560488" w:rsidRDefault="006B3458" w:rsidP="00F56A53">
      <w:pPr>
        <w:pStyle w:val="ListParagraph"/>
        <w:numPr>
          <w:ilvl w:val="0"/>
          <w:numId w:val="6"/>
        </w:numPr>
        <w:spacing w:after="0" w:line="240" w:lineRule="auto"/>
        <w:rPr>
          <w:rFonts w:eastAsia="Times New Roman"/>
          <w:sz w:val="20"/>
          <w:szCs w:val="20"/>
          <w:lang w:eastAsia="en-AU"/>
        </w:rPr>
      </w:pPr>
      <w:r w:rsidRPr="00560488">
        <w:rPr>
          <w:rFonts w:eastAsia="Times New Roman"/>
          <w:sz w:val="20"/>
          <w:szCs w:val="20"/>
          <w:lang w:eastAsia="en-AU"/>
        </w:rPr>
        <w:t>Small fleet (2)</w:t>
      </w:r>
    </w:p>
    <w:p w:rsidR="006B3458" w:rsidRPr="00560488" w:rsidRDefault="006B3458" w:rsidP="00F56A53">
      <w:pPr>
        <w:pStyle w:val="ListParagraph"/>
        <w:numPr>
          <w:ilvl w:val="0"/>
          <w:numId w:val="6"/>
        </w:numPr>
        <w:spacing w:after="0" w:line="240" w:lineRule="auto"/>
        <w:rPr>
          <w:rFonts w:eastAsia="Times New Roman"/>
          <w:sz w:val="20"/>
          <w:szCs w:val="20"/>
          <w:lang w:eastAsia="en-AU"/>
        </w:rPr>
      </w:pPr>
      <w:r w:rsidRPr="00560488">
        <w:rPr>
          <w:rFonts w:eastAsia="Times New Roman"/>
          <w:sz w:val="20"/>
          <w:szCs w:val="20"/>
          <w:lang w:eastAsia="en-AU"/>
        </w:rPr>
        <w:t>Medium-sized fleet (7)</w:t>
      </w:r>
    </w:p>
    <w:p w:rsidR="006B3458" w:rsidRPr="00560488" w:rsidRDefault="006B3458" w:rsidP="00F56A53">
      <w:pPr>
        <w:pStyle w:val="ListParagraph"/>
        <w:numPr>
          <w:ilvl w:val="0"/>
          <w:numId w:val="6"/>
        </w:numPr>
        <w:spacing w:after="0" w:line="240" w:lineRule="auto"/>
        <w:rPr>
          <w:sz w:val="20"/>
          <w:szCs w:val="20"/>
        </w:rPr>
      </w:pPr>
      <w:r w:rsidRPr="00560488">
        <w:rPr>
          <w:rFonts w:eastAsia="Times New Roman"/>
          <w:sz w:val="20"/>
          <w:szCs w:val="20"/>
          <w:lang w:eastAsia="en-AU"/>
        </w:rPr>
        <w:t>Large fleet (13)</w:t>
      </w:r>
    </w:p>
    <w:p w:rsidR="00A77944" w:rsidRDefault="00A77944" w:rsidP="00F56A53">
      <w:pPr>
        <w:rPr>
          <w:rFonts w:eastAsia="Times New Roman"/>
          <w:b/>
          <w:sz w:val="20"/>
          <w:szCs w:val="20"/>
          <w:lang w:eastAsia="en-AU"/>
        </w:rPr>
      </w:pPr>
    </w:p>
    <w:p w:rsidR="006B3458" w:rsidRPr="00560488" w:rsidRDefault="006B3458" w:rsidP="00F56A53">
      <w:pPr>
        <w:rPr>
          <w:rFonts w:eastAsia="Times New Roman"/>
          <w:bCs/>
          <w:sz w:val="20"/>
          <w:szCs w:val="20"/>
          <w:lang w:eastAsia="en-AU"/>
        </w:rPr>
      </w:pPr>
      <w:r w:rsidRPr="00560488">
        <w:rPr>
          <w:rFonts w:eastAsia="Times New Roman"/>
          <w:b/>
          <w:sz w:val="20"/>
          <w:szCs w:val="20"/>
          <w:lang w:eastAsia="en-AU"/>
        </w:rPr>
        <w:t xml:space="preserve">Declared </w:t>
      </w:r>
      <w:r w:rsidRPr="00560488">
        <w:rPr>
          <w:rFonts w:eastAsia="Times New Roman"/>
          <w:b/>
          <w:bCs/>
          <w:sz w:val="20"/>
          <w:szCs w:val="20"/>
          <w:lang w:eastAsia="en-AU"/>
        </w:rPr>
        <w:t>accreditation status and scheme</w:t>
      </w:r>
      <w:r w:rsidR="00F6794F" w:rsidRPr="00560488">
        <w:rPr>
          <w:rFonts w:eastAsia="Times New Roman"/>
          <w:bCs/>
          <w:sz w:val="20"/>
          <w:szCs w:val="20"/>
          <w:lang w:eastAsia="en-AU"/>
        </w:rPr>
        <w:t xml:space="preserve">: </w:t>
      </w:r>
      <w:r w:rsidRPr="00560488">
        <w:rPr>
          <w:rFonts w:eastAsia="Times New Roman"/>
          <w:bCs/>
          <w:sz w:val="20"/>
          <w:szCs w:val="20"/>
          <w:lang w:eastAsia="en-AU"/>
        </w:rPr>
        <w:t>Four respondents reported not being accredited in either NHVAS or TruckSafe®, four operators are enrolled in both schemes, and six are accredited under NHVAS alone. Ten respondents provided no data.</w:t>
      </w:r>
    </w:p>
    <w:p w:rsidR="006B3458" w:rsidRPr="00560488" w:rsidRDefault="006B3458" w:rsidP="00F56A53">
      <w:pPr>
        <w:rPr>
          <w:sz w:val="20"/>
          <w:szCs w:val="20"/>
        </w:rPr>
      </w:pPr>
    </w:p>
    <w:p w:rsidR="006B3458" w:rsidRPr="00560488" w:rsidRDefault="006B3458" w:rsidP="00F56A53">
      <w:pPr>
        <w:rPr>
          <w:rFonts w:eastAsia="Times New Roman"/>
          <w:sz w:val="20"/>
          <w:szCs w:val="20"/>
          <w:lang w:eastAsia="en-AU"/>
        </w:rPr>
      </w:pPr>
      <w:r w:rsidRPr="00560488">
        <w:rPr>
          <w:rFonts w:eastAsia="Times New Roman"/>
          <w:b/>
          <w:sz w:val="20"/>
          <w:szCs w:val="20"/>
          <w:lang w:eastAsia="en-AU"/>
        </w:rPr>
        <w:t xml:space="preserve">Declared </w:t>
      </w:r>
      <w:r w:rsidRPr="00560488">
        <w:rPr>
          <w:rFonts w:eastAsia="Times New Roman"/>
          <w:b/>
          <w:bCs/>
          <w:sz w:val="20"/>
          <w:szCs w:val="20"/>
          <w:lang w:eastAsia="en-AU"/>
        </w:rPr>
        <w:t>vehicle</w:t>
      </w:r>
      <w:r w:rsidR="00241F2E" w:rsidRPr="00560488">
        <w:rPr>
          <w:rFonts w:eastAsia="Times New Roman"/>
          <w:b/>
          <w:bCs/>
          <w:sz w:val="20"/>
          <w:szCs w:val="20"/>
          <w:lang w:eastAsia="en-AU"/>
        </w:rPr>
        <w:t>s</w:t>
      </w:r>
      <w:r w:rsidRPr="00560488">
        <w:rPr>
          <w:rFonts w:eastAsia="Times New Roman"/>
          <w:b/>
          <w:bCs/>
          <w:sz w:val="20"/>
          <w:szCs w:val="20"/>
          <w:lang w:eastAsia="en-AU"/>
        </w:rPr>
        <w:t xml:space="preserve"> </w:t>
      </w:r>
      <w:r w:rsidR="00241F2E" w:rsidRPr="00560488">
        <w:rPr>
          <w:rFonts w:eastAsia="Times New Roman"/>
          <w:b/>
          <w:bCs/>
          <w:sz w:val="20"/>
          <w:szCs w:val="20"/>
          <w:lang w:eastAsia="en-AU"/>
        </w:rPr>
        <w:t>and/or</w:t>
      </w:r>
      <w:r w:rsidRPr="00560488">
        <w:rPr>
          <w:rFonts w:eastAsia="Times New Roman"/>
          <w:b/>
          <w:bCs/>
          <w:sz w:val="20"/>
          <w:szCs w:val="20"/>
          <w:lang w:eastAsia="en-AU"/>
        </w:rPr>
        <w:t xml:space="preserve"> combination</w:t>
      </w:r>
      <w:r w:rsidR="00241F2E" w:rsidRPr="00560488">
        <w:rPr>
          <w:rFonts w:eastAsia="Times New Roman"/>
          <w:b/>
          <w:bCs/>
          <w:sz w:val="20"/>
          <w:szCs w:val="20"/>
          <w:lang w:eastAsia="en-AU"/>
        </w:rPr>
        <w:t>s</w:t>
      </w:r>
      <w:r w:rsidR="00F6794F" w:rsidRPr="00560488">
        <w:rPr>
          <w:rFonts w:eastAsia="Times New Roman"/>
          <w:b/>
          <w:bCs/>
          <w:sz w:val="20"/>
          <w:szCs w:val="20"/>
          <w:lang w:eastAsia="en-AU"/>
        </w:rPr>
        <w:t xml:space="preserve">: </w:t>
      </w:r>
      <w:r w:rsidRPr="00560488">
        <w:rPr>
          <w:rFonts w:eastAsia="Times New Roman"/>
          <w:sz w:val="20"/>
          <w:szCs w:val="20"/>
          <w:lang w:eastAsia="en-AU"/>
        </w:rPr>
        <w:t xml:space="preserve">The majority of respondents reported large </w:t>
      </w:r>
      <w:r w:rsidR="00F6794F" w:rsidRPr="00560488">
        <w:rPr>
          <w:rFonts w:eastAsia="Times New Roman"/>
          <w:sz w:val="20"/>
          <w:szCs w:val="20"/>
          <w:lang w:eastAsia="en-AU"/>
        </w:rPr>
        <w:t>to</w:t>
      </w:r>
      <w:r w:rsidRPr="00560488">
        <w:rPr>
          <w:rFonts w:eastAsia="Times New Roman"/>
          <w:sz w:val="20"/>
          <w:szCs w:val="20"/>
          <w:lang w:eastAsia="en-AU"/>
        </w:rPr>
        <w:t xml:space="preserve"> medium-sized fleets of prime movers and (tanker) trailers in semi-trailer; B-double and/or road train configurations; and/or rigid truck and (tanker) trailer combinations. Some reported mobile cranes or mixed fleets including light vehicles (forklifts; utilities; and one tonne vans).</w:t>
      </w:r>
    </w:p>
    <w:p w:rsidR="006B3458" w:rsidRPr="00560488" w:rsidRDefault="006B3458" w:rsidP="00F56A53">
      <w:pPr>
        <w:rPr>
          <w:rFonts w:eastAsia="Times New Roman"/>
          <w:sz w:val="20"/>
          <w:szCs w:val="20"/>
          <w:lang w:eastAsia="en-AU"/>
        </w:rPr>
      </w:pPr>
    </w:p>
    <w:p w:rsidR="006B3458" w:rsidRPr="00560488" w:rsidRDefault="006B3458" w:rsidP="00F56A53">
      <w:pPr>
        <w:rPr>
          <w:rFonts w:eastAsia="Times New Roman"/>
          <w:i/>
          <w:sz w:val="20"/>
          <w:szCs w:val="20"/>
          <w:lang w:eastAsia="en-AU"/>
        </w:rPr>
      </w:pPr>
      <w:r w:rsidRPr="00560488">
        <w:rPr>
          <w:rFonts w:eastAsia="Times New Roman"/>
          <w:i/>
          <w:sz w:val="20"/>
          <w:szCs w:val="20"/>
          <w:lang w:eastAsia="en-AU"/>
        </w:rPr>
        <w:t>The following general vehicle types make up the respondents’ fleets:</w:t>
      </w:r>
    </w:p>
    <w:p w:rsidR="00241F2E" w:rsidRPr="00560488" w:rsidRDefault="00241F2E" w:rsidP="00F56A53">
      <w:pPr>
        <w:rPr>
          <w:rFonts w:eastAsia="Times New Roman"/>
          <w:i/>
          <w:sz w:val="20"/>
          <w:szCs w:val="20"/>
          <w:lang w:eastAsia="en-AU"/>
        </w:rPr>
      </w:pPr>
    </w:p>
    <w:p w:rsidR="006B3458" w:rsidRPr="00560488" w:rsidRDefault="006B3458" w:rsidP="00F56A53">
      <w:pPr>
        <w:pStyle w:val="ListParagraph"/>
        <w:numPr>
          <w:ilvl w:val="0"/>
          <w:numId w:val="5"/>
        </w:numPr>
        <w:spacing w:after="0" w:line="240" w:lineRule="auto"/>
        <w:rPr>
          <w:rFonts w:eastAsia="Times New Roman"/>
          <w:sz w:val="20"/>
          <w:szCs w:val="20"/>
          <w:lang w:eastAsia="en-AU"/>
        </w:rPr>
      </w:pPr>
      <w:r w:rsidRPr="00560488">
        <w:rPr>
          <w:rFonts w:eastAsia="Times New Roman"/>
          <w:sz w:val="20"/>
          <w:szCs w:val="20"/>
          <w:lang w:eastAsia="en-AU"/>
        </w:rPr>
        <w:t>B-double, B-double tipper</w:t>
      </w:r>
    </w:p>
    <w:p w:rsidR="006B3458" w:rsidRPr="00560488" w:rsidRDefault="006B3458" w:rsidP="00F56A53">
      <w:pPr>
        <w:pStyle w:val="ListParagraph"/>
        <w:numPr>
          <w:ilvl w:val="0"/>
          <w:numId w:val="5"/>
        </w:numPr>
        <w:spacing w:after="0" w:line="240" w:lineRule="auto"/>
        <w:rPr>
          <w:rFonts w:eastAsia="Times New Roman"/>
          <w:sz w:val="20"/>
          <w:szCs w:val="20"/>
          <w:lang w:eastAsia="en-AU"/>
        </w:rPr>
      </w:pPr>
      <w:r w:rsidRPr="00560488">
        <w:rPr>
          <w:rFonts w:eastAsia="Times New Roman"/>
          <w:sz w:val="20"/>
          <w:szCs w:val="20"/>
          <w:lang w:eastAsia="en-AU"/>
        </w:rPr>
        <w:t xml:space="preserve">Truck and dog  </w:t>
      </w:r>
    </w:p>
    <w:p w:rsidR="006B3458" w:rsidRPr="00560488" w:rsidRDefault="006B3458" w:rsidP="00F56A53">
      <w:pPr>
        <w:pStyle w:val="ListParagraph"/>
        <w:numPr>
          <w:ilvl w:val="0"/>
          <w:numId w:val="5"/>
        </w:numPr>
        <w:spacing w:after="0" w:line="240" w:lineRule="auto"/>
        <w:rPr>
          <w:rFonts w:eastAsia="Times New Roman"/>
          <w:sz w:val="20"/>
          <w:szCs w:val="20"/>
          <w:lang w:eastAsia="en-AU"/>
        </w:rPr>
      </w:pPr>
      <w:r w:rsidRPr="00560488">
        <w:rPr>
          <w:rFonts w:eastAsia="Times New Roman"/>
          <w:sz w:val="20"/>
          <w:szCs w:val="20"/>
          <w:lang w:eastAsia="en-AU"/>
        </w:rPr>
        <w:t>2, 3 and 4 axle (tri-axle) rigid truck</w:t>
      </w:r>
    </w:p>
    <w:p w:rsidR="006B3458" w:rsidRPr="00560488" w:rsidRDefault="006B3458" w:rsidP="00F56A53">
      <w:pPr>
        <w:pStyle w:val="ListParagraph"/>
        <w:numPr>
          <w:ilvl w:val="1"/>
          <w:numId w:val="5"/>
        </w:numPr>
        <w:spacing w:after="0" w:line="240" w:lineRule="auto"/>
        <w:rPr>
          <w:rFonts w:eastAsia="Times New Roman"/>
          <w:sz w:val="20"/>
          <w:szCs w:val="20"/>
          <w:lang w:eastAsia="en-AU"/>
        </w:rPr>
      </w:pPr>
      <w:r w:rsidRPr="00560488">
        <w:rPr>
          <w:rFonts w:eastAsia="Times New Roman"/>
          <w:sz w:val="20"/>
          <w:szCs w:val="20"/>
          <w:lang w:eastAsia="en-AU"/>
        </w:rPr>
        <w:t>Rigid waste vehicle</w:t>
      </w:r>
    </w:p>
    <w:p w:rsidR="006B3458" w:rsidRPr="00560488" w:rsidRDefault="006B3458" w:rsidP="00F56A53">
      <w:pPr>
        <w:pStyle w:val="ListParagraph"/>
        <w:numPr>
          <w:ilvl w:val="1"/>
          <w:numId w:val="5"/>
        </w:numPr>
        <w:spacing w:after="0" w:line="240" w:lineRule="auto"/>
        <w:rPr>
          <w:rFonts w:eastAsia="Times New Roman"/>
          <w:sz w:val="20"/>
          <w:szCs w:val="20"/>
          <w:lang w:eastAsia="en-AU"/>
        </w:rPr>
      </w:pPr>
      <w:r w:rsidRPr="00560488">
        <w:rPr>
          <w:rFonts w:eastAsia="Times New Roman"/>
          <w:sz w:val="20"/>
          <w:szCs w:val="20"/>
          <w:lang w:eastAsia="en-AU"/>
        </w:rPr>
        <w:t>Rigid table top (flat top) vehicle</w:t>
      </w:r>
    </w:p>
    <w:p w:rsidR="006B3458" w:rsidRPr="00560488" w:rsidRDefault="006B3458" w:rsidP="00F56A53">
      <w:pPr>
        <w:pStyle w:val="ListParagraph"/>
        <w:numPr>
          <w:ilvl w:val="0"/>
          <w:numId w:val="5"/>
        </w:numPr>
        <w:spacing w:after="0" w:line="240" w:lineRule="auto"/>
        <w:rPr>
          <w:rFonts w:eastAsia="Times New Roman"/>
          <w:sz w:val="20"/>
          <w:szCs w:val="20"/>
          <w:lang w:eastAsia="en-AU"/>
        </w:rPr>
      </w:pPr>
      <w:r w:rsidRPr="00560488">
        <w:rPr>
          <w:rFonts w:eastAsia="Times New Roman"/>
          <w:sz w:val="20"/>
          <w:szCs w:val="20"/>
          <w:lang w:eastAsia="en-AU"/>
        </w:rPr>
        <w:t>Bulk dry and liquid tankers (from single trailer to T1 road trains)</w:t>
      </w:r>
    </w:p>
    <w:p w:rsidR="006B3458" w:rsidRPr="00560488" w:rsidRDefault="006B3458" w:rsidP="00F56A53">
      <w:pPr>
        <w:pStyle w:val="ListParagraph"/>
        <w:numPr>
          <w:ilvl w:val="1"/>
          <w:numId w:val="5"/>
        </w:numPr>
        <w:spacing w:after="0" w:line="240" w:lineRule="auto"/>
        <w:rPr>
          <w:rFonts w:eastAsia="Times New Roman"/>
          <w:sz w:val="20"/>
          <w:szCs w:val="20"/>
          <w:lang w:eastAsia="en-AU"/>
        </w:rPr>
      </w:pPr>
      <w:r w:rsidRPr="00560488">
        <w:rPr>
          <w:rFonts w:eastAsia="Times New Roman"/>
          <w:sz w:val="20"/>
          <w:szCs w:val="20"/>
          <w:lang w:eastAsia="en-AU"/>
        </w:rPr>
        <w:t>Powder tankers  (single tri-axle powder tankers; single tri-axle tipper trailers)</w:t>
      </w:r>
    </w:p>
    <w:p w:rsidR="006B3458" w:rsidRPr="00560488" w:rsidRDefault="006B3458" w:rsidP="00F56A53">
      <w:pPr>
        <w:pStyle w:val="ListParagraph"/>
        <w:numPr>
          <w:ilvl w:val="0"/>
          <w:numId w:val="5"/>
        </w:numPr>
        <w:spacing w:after="0" w:line="240" w:lineRule="auto"/>
        <w:rPr>
          <w:rFonts w:eastAsia="Times New Roman"/>
          <w:sz w:val="20"/>
          <w:szCs w:val="20"/>
          <w:lang w:eastAsia="en-AU"/>
        </w:rPr>
      </w:pPr>
      <w:r w:rsidRPr="00560488">
        <w:rPr>
          <w:rFonts w:eastAsia="Times New Roman"/>
          <w:sz w:val="20"/>
          <w:szCs w:val="20"/>
          <w:lang w:eastAsia="en-AU"/>
        </w:rPr>
        <w:t xml:space="preserve">Mobile crane </w:t>
      </w:r>
    </w:p>
    <w:p w:rsidR="006B3458" w:rsidRPr="00560488" w:rsidRDefault="006B3458" w:rsidP="00F56A53">
      <w:pPr>
        <w:pStyle w:val="ListParagraph"/>
        <w:numPr>
          <w:ilvl w:val="0"/>
          <w:numId w:val="5"/>
        </w:numPr>
        <w:spacing w:after="0" w:line="240" w:lineRule="auto"/>
        <w:rPr>
          <w:rFonts w:eastAsia="Times New Roman"/>
          <w:sz w:val="20"/>
          <w:szCs w:val="20"/>
          <w:lang w:eastAsia="en-AU"/>
        </w:rPr>
      </w:pPr>
      <w:r w:rsidRPr="00560488">
        <w:rPr>
          <w:rFonts w:eastAsia="Times New Roman"/>
          <w:sz w:val="20"/>
          <w:szCs w:val="20"/>
          <w:lang w:eastAsia="en-AU"/>
        </w:rPr>
        <w:t xml:space="preserve">Car carrier </w:t>
      </w:r>
    </w:p>
    <w:p w:rsidR="006B3458" w:rsidRPr="00560488" w:rsidRDefault="006B3458" w:rsidP="00F56A53">
      <w:pPr>
        <w:rPr>
          <w:rFonts w:eastAsia="Times New Roman"/>
          <w:sz w:val="20"/>
          <w:szCs w:val="20"/>
          <w:lang w:eastAsia="en-AU"/>
        </w:rPr>
      </w:pPr>
    </w:p>
    <w:p w:rsidR="006B3458" w:rsidRPr="00560488" w:rsidRDefault="006B3458" w:rsidP="00F56A53">
      <w:pPr>
        <w:rPr>
          <w:sz w:val="20"/>
          <w:szCs w:val="20"/>
        </w:rPr>
      </w:pPr>
      <w:r w:rsidRPr="00560488">
        <w:rPr>
          <w:rFonts w:eastAsia="Times New Roman"/>
          <w:b/>
          <w:sz w:val="20"/>
          <w:szCs w:val="20"/>
          <w:lang w:eastAsia="en-AU"/>
        </w:rPr>
        <w:t xml:space="preserve">Declared vehicle make: </w:t>
      </w:r>
      <w:r w:rsidRPr="00560488">
        <w:rPr>
          <w:rFonts w:eastAsia="Times New Roman"/>
          <w:sz w:val="20"/>
          <w:szCs w:val="20"/>
          <w:lang w:eastAsia="en-AU"/>
        </w:rPr>
        <w:t>Scania, Kenworth, International, Iveco, Volvo, Hino, Isuzu,  Mack, Western Star, Linmac, and Franna cranes.</w:t>
      </w:r>
    </w:p>
    <w:p w:rsidR="006B3458" w:rsidRPr="00560488" w:rsidRDefault="006B3458" w:rsidP="00F56A53">
      <w:pPr>
        <w:rPr>
          <w:rFonts w:eastAsia="Times New Roman"/>
          <w:b/>
          <w:bCs/>
          <w:sz w:val="20"/>
          <w:szCs w:val="20"/>
          <w:lang w:eastAsia="en-AU"/>
        </w:rPr>
      </w:pPr>
    </w:p>
    <w:p w:rsidR="006B3458" w:rsidRPr="00560488" w:rsidRDefault="006B3458" w:rsidP="00F56A53">
      <w:pPr>
        <w:rPr>
          <w:rFonts w:eastAsia="Times New Roman"/>
          <w:sz w:val="20"/>
          <w:szCs w:val="20"/>
          <w:lang w:eastAsia="en-AU"/>
        </w:rPr>
      </w:pPr>
      <w:r w:rsidRPr="00560488">
        <w:rPr>
          <w:rFonts w:eastAsia="Times New Roman"/>
          <w:b/>
          <w:sz w:val="20"/>
          <w:szCs w:val="20"/>
          <w:lang w:eastAsia="en-AU"/>
        </w:rPr>
        <w:t>Declared u</w:t>
      </w:r>
      <w:r w:rsidRPr="00560488">
        <w:rPr>
          <w:rFonts w:eastAsia="Times New Roman"/>
          <w:b/>
          <w:bCs/>
          <w:sz w:val="20"/>
          <w:szCs w:val="20"/>
          <w:lang w:eastAsia="en-AU"/>
        </w:rPr>
        <w:t xml:space="preserve">se of </w:t>
      </w:r>
      <w:r w:rsidR="007C6018" w:rsidRPr="00560488">
        <w:rPr>
          <w:rFonts w:eastAsia="Times New Roman"/>
          <w:b/>
          <w:bCs/>
          <w:sz w:val="20"/>
          <w:szCs w:val="20"/>
          <w:lang w:eastAsia="en-AU"/>
        </w:rPr>
        <w:t>fleet monitoring or tracking technology</w:t>
      </w:r>
      <w:r w:rsidR="00F6794F" w:rsidRPr="00560488">
        <w:rPr>
          <w:rFonts w:eastAsia="Times New Roman"/>
          <w:b/>
          <w:bCs/>
          <w:sz w:val="20"/>
          <w:szCs w:val="20"/>
          <w:lang w:eastAsia="en-AU"/>
        </w:rPr>
        <w:t xml:space="preserve">: </w:t>
      </w:r>
      <w:r w:rsidRPr="00560488">
        <w:rPr>
          <w:rFonts w:eastAsia="Times New Roman"/>
          <w:sz w:val="20"/>
          <w:szCs w:val="20"/>
          <w:lang w:eastAsia="en-AU"/>
        </w:rPr>
        <w:t>Most respondents</w:t>
      </w:r>
      <w:r w:rsidR="007C6018" w:rsidRPr="00560488">
        <w:rPr>
          <w:rFonts w:eastAsia="Times New Roman"/>
          <w:sz w:val="20"/>
          <w:szCs w:val="20"/>
          <w:lang w:eastAsia="en-AU"/>
        </w:rPr>
        <w:t xml:space="preserve"> (</w:t>
      </w:r>
      <w:r w:rsidRPr="00560488">
        <w:rPr>
          <w:rFonts w:eastAsia="Times New Roman"/>
          <w:sz w:val="20"/>
          <w:szCs w:val="20"/>
          <w:lang w:eastAsia="en-AU"/>
        </w:rPr>
        <w:t>but not all large fleet operators</w:t>
      </w:r>
      <w:r w:rsidR="007C6018" w:rsidRPr="00560488">
        <w:rPr>
          <w:rFonts w:eastAsia="Times New Roman"/>
          <w:sz w:val="20"/>
          <w:szCs w:val="20"/>
          <w:lang w:eastAsia="en-AU"/>
        </w:rPr>
        <w:t>)</w:t>
      </w:r>
      <w:r w:rsidRPr="00560488">
        <w:rPr>
          <w:rFonts w:eastAsia="Times New Roman"/>
          <w:sz w:val="20"/>
          <w:szCs w:val="20"/>
          <w:lang w:eastAsia="en-AU"/>
        </w:rPr>
        <w:t xml:space="preserve"> reported use of wireless GPS</w:t>
      </w:r>
      <w:r w:rsidR="007C6018" w:rsidRPr="00560488">
        <w:rPr>
          <w:rFonts w:eastAsia="Times New Roman"/>
          <w:sz w:val="20"/>
          <w:szCs w:val="20"/>
          <w:lang w:eastAsia="en-AU"/>
        </w:rPr>
        <w:t>-based</w:t>
      </w:r>
      <w:r w:rsidRPr="00560488">
        <w:rPr>
          <w:rFonts w:eastAsia="Times New Roman"/>
          <w:sz w:val="20"/>
          <w:szCs w:val="20"/>
          <w:lang w:eastAsia="en-AU"/>
        </w:rPr>
        <w:t xml:space="preserve"> technologies for tracking</w:t>
      </w:r>
      <w:r w:rsidR="007C6018" w:rsidRPr="00560488">
        <w:rPr>
          <w:rFonts w:eastAsia="Times New Roman"/>
          <w:sz w:val="20"/>
          <w:szCs w:val="20"/>
          <w:lang w:eastAsia="en-AU"/>
        </w:rPr>
        <w:t xml:space="preserve"> their vehicles</w:t>
      </w:r>
      <w:r w:rsidRPr="00560488">
        <w:rPr>
          <w:rFonts w:eastAsia="Times New Roman"/>
          <w:sz w:val="20"/>
          <w:szCs w:val="20"/>
          <w:lang w:eastAsia="en-AU"/>
        </w:rPr>
        <w:t xml:space="preserve">. One </w:t>
      </w:r>
      <w:r w:rsidR="007C6018" w:rsidRPr="00560488">
        <w:rPr>
          <w:rFonts w:eastAsia="Times New Roman"/>
          <w:sz w:val="20"/>
          <w:szCs w:val="20"/>
          <w:lang w:eastAsia="en-AU"/>
        </w:rPr>
        <w:t xml:space="preserve">operator </w:t>
      </w:r>
      <w:r w:rsidRPr="00560488">
        <w:rPr>
          <w:rFonts w:eastAsia="Times New Roman"/>
          <w:sz w:val="20"/>
          <w:szCs w:val="20"/>
          <w:lang w:eastAsia="en-AU"/>
        </w:rPr>
        <w:t xml:space="preserve">said their fleet </w:t>
      </w:r>
      <w:r w:rsidR="007C6018" w:rsidRPr="00560488">
        <w:rPr>
          <w:rFonts w:eastAsia="Times New Roman"/>
          <w:sz w:val="20"/>
          <w:szCs w:val="20"/>
          <w:lang w:eastAsia="en-AU"/>
        </w:rPr>
        <w:t>operates under</w:t>
      </w:r>
      <w:r w:rsidRPr="00560488">
        <w:rPr>
          <w:rFonts w:eastAsia="Times New Roman"/>
          <w:sz w:val="20"/>
          <w:szCs w:val="20"/>
          <w:lang w:eastAsia="en-AU"/>
        </w:rPr>
        <w:t xml:space="preserve"> three different systems, others </w:t>
      </w:r>
      <w:r w:rsidR="007C6018" w:rsidRPr="00560488">
        <w:rPr>
          <w:rFonts w:eastAsia="Times New Roman"/>
          <w:sz w:val="20"/>
          <w:szCs w:val="20"/>
          <w:lang w:eastAsia="en-AU"/>
        </w:rPr>
        <w:t>n</w:t>
      </w:r>
      <w:r w:rsidRPr="00560488">
        <w:rPr>
          <w:rFonts w:eastAsia="Times New Roman"/>
          <w:sz w:val="20"/>
          <w:szCs w:val="20"/>
          <w:lang w:eastAsia="en-AU"/>
        </w:rPr>
        <w:t xml:space="preserve">oted </w:t>
      </w:r>
      <w:r w:rsidR="007C6018" w:rsidRPr="00560488">
        <w:rPr>
          <w:rFonts w:eastAsia="Times New Roman"/>
          <w:sz w:val="20"/>
          <w:szCs w:val="20"/>
          <w:lang w:eastAsia="en-AU"/>
        </w:rPr>
        <w:t xml:space="preserve">similar </w:t>
      </w:r>
      <w:r w:rsidRPr="00560488">
        <w:rPr>
          <w:rFonts w:eastAsia="Times New Roman"/>
          <w:sz w:val="20"/>
          <w:szCs w:val="20"/>
          <w:lang w:eastAsia="en-AU"/>
        </w:rPr>
        <w:t xml:space="preserve">products (e.g. MT Data). Another respondent said they only </w:t>
      </w:r>
      <w:r w:rsidR="00241F2E" w:rsidRPr="00560488">
        <w:rPr>
          <w:rFonts w:eastAsia="Times New Roman"/>
          <w:sz w:val="20"/>
          <w:szCs w:val="20"/>
          <w:lang w:eastAsia="en-AU"/>
        </w:rPr>
        <w:t>track</w:t>
      </w:r>
      <w:r w:rsidRPr="00560488">
        <w:rPr>
          <w:rFonts w:eastAsia="Times New Roman"/>
          <w:sz w:val="20"/>
          <w:szCs w:val="20"/>
          <w:lang w:eastAsia="en-AU"/>
        </w:rPr>
        <w:t xml:space="preserve"> articulated vehicles when </w:t>
      </w:r>
      <w:r w:rsidR="007C6018" w:rsidRPr="00560488">
        <w:rPr>
          <w:rFonts w:eastAsia="Times New Roman"/>
          <w:sz w:val="20"/>
          <w:szCs w:val="20"/>
          <w:lang w:eastAsia="en-AU"/>
        </w:rPr>
        <w:t>do</w:t>
      </w:r>
      <w:r w:rsidR="00241F2E" w:rsidRPr="00560488">
        <w:rPr>
          <w:rFonts w:eastAsia="Times New Roman"/>
          <w:sz w:val="20"/>
          <w:szCs w:val="20"/>
          <w:lang w:eastAsia="en-AU"/>
        </w:rPr>
        <w:t>ing</w:t>
      </w:r>
      <w:r w:rsidRPr="00560488">
        <w:rPr>
          <w:rFonts w:eastAsia="Times New Roman"/>
          <w:sz w:val="20"/>
          <w:szCs w:val="20"/>
          <w:lang w:eastAsia="en-AU"/>
        </w:rPr>
        <w:t xml:space="preserve"> line haul.</w:t>
      </w:r>
    </w:p>
    <w:p w:rsidR="006B3458" w:rsidRPr="00560488" w:rsidRDefault="006B3458" w:rsidP="00F56A53">
      <w:pPr>
        <w:rPr>
          <w:rFonts w:eastAsia="Times New Roman"/>
          <w:sz w:val="20"/>
          <w:szCs w:val="20"/>
          <w:lang w:eastAsia="en-AU"/>
        </w:rPr>
      </w:pPr>
    </w:p>
    <w:p w:rsidR="006B3458" w:rsidRPr="00560488" w:rsidRDefault="006B3458" w:rsidP="00F56A53">
      <w:pPr>
        <w:rPr>
          <w:rFonts w:eastAsia="Times New Roman"/>
          <w:sz w:val="20"/>
          <w:szCs w:val="20"/>
          <w:lang w:eastAsia="en-AU"/>
        </w:rPr>
      </w:pPr>
      <w:r w:rsidRPr="00560488">
        <w:rPr>
          <w:sz w:val="20"/>
          <w:szCs w:val="20"/>
        </w:rPr>
        <w:t>A minority reported use of both vehicle and driver performance monitoring (</w:t>
      </w:r>
      <w:r w:rsidR="00161887" w:rsidRPr="00560488">
        <w:rPr>
          <w:sz w:val="20"/>
          <w:szCs w:val="20"/>
        </w:rPr>
        <w:t>e.g.</w:t>
      </w:r>
      <w:r w:rsidR="007C6018" w:rsidRPr="00560488">
        <w:rPr>
          <w:sz w:val="20"/>
          <w:szCs w:val="20"/>
        </w:rPr>
        <w:t xml:space="preserve"> </w:t>
      </w:r>
      <w:r w:rsidRPr="00560488">
        <w:rPr>
          <w:sz w:val="20"/>
          <w:szCs w:val="20"/>
        </w:rPr>
        <w:t>fatigue). Some said they monitor a subset of the fleet</w:t>
      </w:r>
      <w:r w:rsidR="007C6018" w:rsidRPr="00560488">
        <w:rPr>
          <w:sz w:val="20"/>
          <w:szCs w:val="20"/>
        </w:rPr>
        <w:t xml:space="preserve"> only</w:t>
      </w:r>
      <w:r w:rsidRPr="00560488">
        <w:rPr>
          <w:sz w:val="20"/>
          <w:szCs w:val="20"/>
        </w:rPr>
        <w:t xml:space="preserve">; others said </w:t>
      </w:r>
      <w:r w:rsidR="007C6018" w:rsidRPr="00560488">
        <w:rPr>
          <w:sz w:val="20"/>
          <w:szCs w:val="20"/>
        </w:rPr>
        <w:t>they use it</w:t>
      </w:r>
      <w:r w:rsidRPr="00560488">
        <w:rPr>
          <w:sz w:val="20"/>
          <w:szCs w:val="20"/>
        </w:rPr>
        <w:t xml:space="preserve"> ‘</w:t>
      </w:r>
      <w:r w:rsidRPr="00560488">
        <w:rPr>
          <w:i/>
          <w:sz w:val="20"/>
          <w:szCs w:val="20"/>
        </w:rPr>
        <w:t>predominantly’</w:t>
      </w:r>
      <w:r w:rsidRPr="00560488">
        <w:rPr>
          <w:sz w:val="20"/>
          <w:szCs w:val="20"/>
        </w:rPr>
        <w:t xml:space="preserve">; some said </w:t>
      </w:r>
      <w:r w:rsidR="00093802" w:rsidRPr="00560488">
        <w:rPr>
          <w:sz w:val="20"/>
          <w:szCs w:val="20"/>
        </w:rPr>
        <w:t xml:space="preserve">its </w:t>
      </w:r>
      <w:r w:rsidRPr="00560488">
        <w:rPr>
          <w:sz w:val="20"/>
          <w:szCs w:val="20"/>
        </w:rPr>
        <w:t xml:space="preserve">only </w:t>
      </w:r>
      <w:r w:rsidR="00093802" w:rsidRPr="00560488">
        <w:rPr>
          <w:sz w:val="20"/>
          <w:szCs w:val="20"/>
        </w:rPr>
        <w:t xml:space="preserve">used </w:t>
      </w:r>
      <w:r w:rsidRPr="00560488">
        <w:rPr>
          <w:sz w:val="20"/>
          <w:szCs w:val="20"/>
        </w:rPr>
        <w:t>on the</w:t>
      </w:r>
      <w:r w:rsidR="007C6018" w:rsidRPr="00560488">
        <w:rPr>
          <w:sz w:val="20"/>
          <w:szCs w:val="20"/>
        </w:rPr>
        <w:t>ir</w:t>
      </w:r>
      <w:r w:rsidRPr="00560488">
        <w:rPr>
          <w:sz w:val="20"/>
          <w:szCs w:val="20"/>
        </w:rPr>
        <w:t xml:space="preserve"> newest trucks; others only</w:t>
      </w:r>
      <w:r w:rsidRPr="00560488">
        <w:rPr>
          <w:rFonts w:eastAsia="Times New Roman"/>
          <w:sz w:val="20"/>
          <w:szCs w:val="20"/>
          <w:lang w:eastAsia="en-AU"/>
        </w:rPr>
        <w:t xml:space="preserve"> </w:t>
      </w:r>
      <w:r w:rsidR="00093802" w:rsidRPr="00560488">
        <w:rPr>
          <w:rFonts w:eastAsia="Times New Roman"/>
          <w:sz w:val="20"/>
          <w:szCs w:val="20"/>
          <w:lang w:eastAsia="en-AU"/>
        </w:rPr>
        <w:t xml:space="preserve">use it for </w:t>
      </w:r>
      <w:r w:rsidRPr="00560488">
        <w:rPr>
          <w:rFonts w:eastAsia="Times New Roman"/>
          <w:sz w:val="20"/>
          <w:szCs w:val="20"/>
          <w:lang w:eastAsia="en-AU"/>
        </w:rPr>
        <w:t>articulated vehicles doing linehaul.</w:t>
      </w:r>
    </w:p>
    <w:p w:rsidR="006B3458" w:rsidRPr="00560488" w:rsidRDefault="006B3458" w:rsidP="00F56A53">
      <w:pPr>
        <w:rPr>
          <w:rFonts w:eastAsia="Times New Roman"/>
          <w:sz w:val="20"/>
          <w:szCs w:val="20"/>
          <w:lang w:eastAsia="en-AU"/>
        </w:rPr>
      </w:pPr>
    </w:p>
    <w:p w:rsidR="006B3458" w:rsidRPr="00560488" w:rsidRDefault="006B3458" w:rsidP="00F56A53">
      <w:pPr>
        <w:rPr>
          <w:rFonts w:eastAsia="Times New Roman"/>
          <w:sz w:val="20"/>
          <w:szCs w:val="20"/>
          <w:lang w:eastAsia="en-AU"/>
        </w:rPr>
      </w:pPr>
      <w:r w:rsidRPr="00560488">
        <w:rPr>
          <w:rFonts w:eastAsia="Times New Roman"/>
          <w:b/>
          <w:sz w:val="20"/>
          <w:szCs w:val="20"/>
          <w:lang w:eastAsia="en-AU"/>
        </w:rPr>
        <w:t>Declared u</w:t>
      </w:r>
      <w:r w:rsidRPr="00560488">
        <w:rPr>
          <w:rFonts w:eastAsia="Times New Roman"/>
          <w:b/>
          <w:bCs/>
          <w:sz w:val="20"/>
          <w:szCs w:val="20"/>
          <w:lang w:eastAsia="en-AU"/>
        </w:rPr>
        <w:t xml:space="preserve">se of </w:t>
      </w:r>
      <w:r w:rsidRPr="00560488">
        <w:rPr>
          <w:rFonts w:eastAsia="Times New Roman"/>
          <w:b/>
          <w:sz w:val="20"/>
          <w:szCs w:val="20"/>
          <w:lang w:eastAsia="en-AU"/>
        </w:rPr>
        <w:t>sub-contractors</w:t>
      </w:r>
      <w:r w:rsidR="00F6794F" w:rsidRPr="00560488">
        <w:rPr>
          <w:rFonts w:eastAsia="Times New Roman"/>
          <w:b/>
          <w:sz w:val="20"/>
          <w:szCs w:val="20"/>
          <w:lang w:eastAsia="en-AU"/>
        </w:rPr>
        <w:t xml:space="preserve">: </w:t>
      </w:r>
      <w:r w:rsidRPr="00560488">
        <w:rPr>
          <w:rFonts w:eastAsia="Times New Roman"/>
          <w:sz w:val="20"/>
          <w:szCs w:val="20"/>
          <w:lang w:eastAsia="en-AU"/>
        </w:rPr>
        <w:t xml:space="preserve">Most respondents stated they did not use sub-contractors. Others said they use them rarely or only for limited journeys, such as coast-to-coast operations, </w:t>
      </w:r>
      <w:r w:rsidR="00F6794F" w:rsidRPr="00560488">
        <w:rPr>
          <w:rFonts w:eastAsia="Times New Roman"/>
          <w:sz w:val="20"/>
          <w:szCs w:val="20"/>
          <w:lang w:eastAsia="en-AU"/>
        </w:rPr>
        <w:t>ex-</w:t>
      </w:r>
      <w:r w:rsidRPr="00560488">
        <w:rPr>
          <w:rFonts w:eastAsia="Times New Roman"/>
          <w:sz w:val="20"/>
          <w:szCs w:val="20"/>
          <w:lang w:eastAsia="en-AU"/>
        </w:rPr>
        <w:t>Darwin to all other capitals or only for overloads between adjacent capitals.</w:t>
      </w:r>
    </w:p>
    <w:p w:rsidR="006B3458" w:rsidRPr="00560488" w:rsidRDefault="006B3458" w:rsidP="00F56A53">
      <w:pPr>
        <w:ind w:left="720"/>
        <w:rPr>
          <w:rFonts w:asciiTheme="minorHAnsi" w:hAnsiTheme="minorHAnsi"/>
          <w:b/>
          <w:sz w:val="20"/>
          <w:szCs w:val="20"/>
        </w:rPr>
      </w:pPr>
    </w:p>
    <w:p w:rsidR="00A26CD2" w:rsidRPr="00560488" w:rsidRDefault="00A26CD2" w:rsidP="00F56A53">
      <w:pPr>
        <w:rPr>
          <w:rFonts w:asciiTheme="minorHAnsi" w:hAnsiTheme="minorHAnsi"/>
          <w:sz w:val="20"/>
          <w:szCs w:val="20"/>
        </w:rPr>
      </w:pPr>
    </w:p>
    <w:p w:rsidR="00EC50BE" w:rsidRPr="00560488" w:rsidRDefault="00EC50BE" w:rsidP="00F56A53">
      <w:pPr>
        <w:rPr>
          <w:rFonts w:asciiTheme="minorHAnsi" w:hAnsiTheme="minorHAnsi"/>
          <w:sz w:val="20"/>
          <w:szCs w:val="20"/>
        </w:rPr>
      </w:pPr>
      <w:r w:rsidRPr="00560488">
        <w:rPr>
          <w:rFonts w:asciiTheme="minorHAnsi" w:hAnsiTheme="minorHAnsi"/>
          <w:sz w:val="20"/>
          <w:szCs w:val="20"/>
        </w:rPr>
        <w:br w:type="page"/>
      </w:r>
    </w:p>
    <w:p w:rsidR="00EC50BE" w:rsidRPr="00212259" w:rsidRDefault="00E41301" w:rsidP="00F56A53">
      <w:pPr>
        <w:jc w:val="right"/>
        <w:rPr>
          <w:b/>
        </w:rPr>
      </w:pPr>
      <w:r w:rsidRPr="00212259">
        <w:rPr>
          <w:b/>
        </w:rPr>
        <w:lastRenderedPageBreak/>
        <w:t xml:space="preserve">ATTACHMENT </w:t>
      </w:r>
      <w:r w:rsidR="00EC50BE" w:rsidRPr="00212259">
        <w:rPr>
          <w:b/>
        </w:rPr>
        <w:t>B</w:t>
      </w:r>
    </w:p>
    <w:p w:rsidR="00A26CD2" w:rsidRPr="00560488" w:rsidRDefault="00A26CD2" w:rsidP="00F56A53">
      <w:pPr>
        <w:rPr>
          <w:rFonts w:asciiTheme="minorHAnsi" w:hAnsiTheme="minorHAnsi"/>
          <w:sz w:val="20"/>
          <w:szCs w:val="20"/>
        </w:rPr>
      </w:pPr>
    </w:p>
    <w:p w:rsidR="00EC50BE" w:rsidRPr="00560488" w:rsidRDefault="00442188" w:rsidP="00F56A53">
      <w:pPr>
        <w:pStyle w:val="Heading1"/>
        <w:numPr>
          <w:ilvl w:val="0"/>
          <w:numId w:val="0"/>
        </w:numPr>
        <w:jc w:val="both"/>
        <w:rPr>
          <w:rFonts w:asciiTheme="minorHAnsi" w:hAnsiTheme="minorHAnsi"/>
          <w:color w:val="auto"/>
          <w:sz w:val="24"/>
          <w:szCs w:val="24"/>
        </w:rPr>
      </w:pPr>
      <w:bookmarkStart w:id="7" w:name="_Toc397612362"/>
      <w:bookmarkStart w:id="8" w:name="_Toc397613461"/>
      <w:bookmarkStart w:id="9" w:name="_Toc398126244"/>
      <w:r w:rsidRPr="00560488">
        <w:rPr>
          <w:rFonts w:asciiTheme="minorHAnsi" w:hAnsiTheme="minorHAnsi"/>
          <w:color w:val="auto"/>
          <w:sz w:val="24"/>
          <w:szCs w:val="24"/>
        </w:rPr>
        <w:t xml:space="preserve">SURVEY OF </w:t>
      </w:r>
      <w:r w:rsidR="00F425BA" w:rsidRPr="00560488">
        <w:rPr>
          <w:rFonts w:asciiTheme="minorHAnsi" w:hAnsiTheme="minorHAnsi"/>
          <w:color w:val="auto"/>
          <w:sz w:val="24"/>
          <w:szCs w:val="24"/>
        </w:rPr>
        <w:t xml:space="preserve">THE </w:t>
      </w:r>
      <w:r w:rsidRPr="00560488">
        <w:rPr>
          <w:rFonts w:asciiTheme="minorHAnsi" w:hAnsiTheme="minorHAnsi"/>
          <w:color w:val="auto"/>
          <w:sz w:val="24"/>
          <w:szCs w:val="24"/>
        </w:rPr>
        <w:t>DEFECT CLEARANCE PROCESS</w:t>
      </w:r>
      <w:bookmarkEnd w:id="7"/>
      <w:bookmarkEnd w:id="8"/>
      <w:bookmarkEnd w:id="9"/>
      <w:r w:rsidRPr="00560488">
        <w:rPr>
          <w:rFonts w:asciiTheme="minorHAnsi" w:hAnsiTheme="minorHAnsi"/>
          <w:color w:val="auto"/>
          <w:sz w:val="24"/>
          <w:szCs w:val="24"/>
        </w:rPr>
        <w:t xml:space="preserve"> </w:t>
      </w:r>
    </w:p>
    <w:p w:rsidR="00F425BA" w:rsidRPr="00560488" w:rsidRDefault="00F425BA" w:rsidP="00F56A53">
      <w:pPr>
        <w:rPr>
          <w:rFonts w:asciiTheme="minorHAnsi" w:hAnsiTheme="minorHAnsi" w:cs="Arial"/>
          <w:sz w:val="20"/>
          <w:szCs w:val="20"/>
        </w:rPr>
      </w:pPr>
    </w:p>
    <w:p w:rsidR="00EC50BE" w:rsidRPr="00560488" w:rsidRDefault="00EC50BE" w:rsidP="00F56A53">
      <w:pPr>
        <w:rPr>
          <w:rFonts w:asciiTheme="minorHAnsi" w:hAnsiTheme="minorHAnsi" w:cs="Arial"/>
          <w:sz w:val="20"/>
          <w:szCs w:val="20"/>
        </w:rPr>
      </w:pPr>
      <w:r w:rsidRPr="00560488">
        <w:rPr>
          <w:rFonts w:asciiTheme="minorHAnsi" w:hAnsiTheme="minorHAnsi" w:cs="Arial"/>
          <w:sz w:val="20"/>
          <w:szCs w:val="20"/>
        </w:rPr>
        <w:t xml:space="preserve">The ATA sought </w:t>
      </w:r>
      <w:r w:rsidR="00F425BA" w:rsidRPr="00560488">
        <w:rPr>
          <w:rFonts w:asciiTheme="minorHAnsi" w:hAnsiTheme="minorHAnsi" w:cs="Arial"/>
          <w:sz w:val="20"/>
          <w:szCs w:val="20"/>
        </w:rPr>
        <w:t xml:space="preserve">views of </w:t>
      </w:r>
      <w:r w:rsidRPr="00560488">
        <w:rPr>
          <w:rFonts w:asciiTheme="minorHAnsi" w:hAnsiTheme="minorHAnsi" w:cs="Arial"/>
          <w:sz w:val="20"/>
          <w:szCs w:val="20"/>
        </w:rPr>
        <w:t xml:space="preserve">operators on </w:t>
      </w:r>
      <w:r w:rsidR="00C61AA1" w:rsidRPr="00560488">
        <w:rPr>
          <w:rFonts w:asciiTheme="minorHAnsi" w:hAnsiTheme="minorHAnsi" w:cs="Arial"/>
          <w:sz w:val="20"/>
          <w:szCs w:val="20"/>
        </w:rPr>
        <w:t xml:space="preserve">the </w:t>
      </w:r>
      <w:r w:rsidRPr="00560488">
        <w:rPr>
          <w:rFonts w:asciiTheme="minorHAnsi" w:hAnsiTheme="minorHAnsi" w:cs="Arial"/>
          <w:sz w:val="20"/>
          <w:szCs w:val="20"/>
        </w:rPr>
        <w:t xml:space="preserve">defect clearance processes through an online survey </w:t>
      </w:r>
      <w:r w:rsidR="00C61AA1" w:rsidRPr="00560488">
        <w:rPr>
          <w:rFonts w:asciiTheme="minorHAnsi" w:hAnsiTheme="minorHAnsi" w:cs="Arial"/>
          <w:sz w:val="20"/>
          <w:szCs w:val="20"/>
        </w:rPr>
        <w:t xml:space="preserve">which closed on </w:t>
      </w:r>
      <w:r w:rsidR="00C61AA1" w:rsidRPr="00560488">
        <w:rPr>
          <w:rFonts w:asciiTheme="minorHAnsi" w:hAnsiTheme="minorHAnsi" w:cs="Arial"/>
          <w:sz w:val="20"/>
          <w:szCs w:val="20"/>
        </w:rPr>
        <w:br/>
        <w:t>8 August 2014</w:t>
      </w:r>
      <w:r w:rsidRPr="00560488">
        <w:rPr>
          <w:rFonts w:asciiTheme="minorHAnsi" w:hAnsiTheme="minorHAnsi" w:cs="Arial"/>
          <w:sz w:val="20"/>
          <w:szCs w:val="20"/>
        </w:rPr>
        <w:t xml:space="preserve">. The summary below reflects qualitative </w:t>
      </w:r>
      <w:r w:rsidR="00C61AA1" w:rsidRPr="00560488">
        <w:rPr>
          <w:rFonts w:asciiTheme="minorHAnsi" w:hAnsiTheme="minorHAnsi" w:cs="Arial"/>
          <w:sz w:val="20"/>
          <w:szCs w:val="20"/>
        </w:rPr>
        <w:t xml:space="preserve">survey </w:t>
      </w:r>
      <w:r w:rsidRPr="00560488">
        <w:rPr>
          <w:rFonts w:asciiTheme="minorHAnsi" w:hAnsiTheme="minorHAnsi" w:cs="Arial"/>
          <w:sz w:val="20"/>
          <w:szCs w:val="20"/>
        </w:rPr>
        <w:t>findings.</w:t>
      </w:r>
    </w:p>
    <w:p w:rsidR="00EC50BE" w:rsidRPr="00560488" w:rsidRDefault="00EC50BE" w:rsidP="00F56A53">
      <w:pPr>
        <w:rPr>
          <w:rFonts w:asciiTheme="minorHAnsi" w:hAnsiTheme="minorHAnsi" w:cs="Arial"/>
          <w:sz w:val="20"/>
          <w:szCs w:val="20"/>
        </w:rPr>
      </w:pPr>
    </w:p>
    <w:p w:rsidR="00EC50BE" w:rsidRPr="00560488" w:rsidRDefault="00EC50BE" w:rsidP="00F56A53">
      <w:pPr>
        <w:rPr>
          <w:rFonts w:asciiTheme="minorHAnsi" w:hAnsiTheme="minorHAnsi" w:cs="Arial"/>
          <w:sz w:val="20"/>
          <w:szCs w:val="20"/>
        </w:rPr>
      </w:pPr>
      <w:r w:rsidRPr="00560488">
        <w:rPr>
          <w:rFonts w:asciiTheme="minorHAnsi" w:hAnsiTheme="minorHAnsi" w:cs="Arial"/>
          <w:i/>
          <w:sz w:val="20"/>
          <w:szCs w:val="20"/>
        </w:rPr>
        <w:t>Defect categorisation</w:t>
      </w:r>
      <w:r w:rsidRPr="00560488">
        <w:rPr>
          <w:rFonts w:asciiTheme="minorHAnsi" w:hAnsiTheme="minorHAnsi" w:cs="Arial"/>
          <w:sz w:val="20"/>
          <w:szCs w:val="20"/>
        </w:rPr>
        <w:t xml:space="preserve"> </w:t>
      </w:r>
    </w:p>
    <w:p w:rsidR="00EC50BE" w:rsidRPr="00560488" w:rsidRDefault="00EC50BE" w:rsidP="00F56A53">
      <w:pPr>
        <w:rPr>
          <w:rFonts w:asciiTheme="minorHAnsi" w:hAnsiTheme="minorHAnsi" w:cs="Arial"/>
          <w:sz w:val="20"/>
          <w:szCs w:val="20"/>
        </w:rPr>
      </w:pPr>
      <w:r w:rsidRPr="00560488">
        <w:rPr>
          <w:rFonts w:asciiTheme="minorHAnsi" w:hAnsiTheme="minorHAnsi" w:cs="Arial"/>
          <w:sz w:val="20"/>
          <w:szCs w:val="20"/>
        </w:rPr>
        <w:t xml:space="preserve">The survey findings found that categorisation of defects is a key issue for industry. Some operators reported spending inordinate time and money identifying, attending to and clearing minor matters that in the past would have merely attracted a formal warning. </w:t>
      </w:r>
    </w:p>
    <w:p w:rsidR="00EC50BE" w:rsidRPr="00560488" w:rsidRDefault="00EC50BE" w:rsidP="00F56A53">
      <w:pPr>
        <w:rPr>
          <w:rFonts w:asciiTheme="minorHAnsi" w:hAnsiTheme="minorHAnsi" w:cs="Arial"/>
          <w:sz w:val="20"/>
          <w:szCs w:val="20"/>
        </w:rPr>
      </w:pPr>
    </w:p>
    <w:p w:rsidR="00EC50BE" w:rsidRPr="00560488" w:rsidRDefault="00EC50BE" w:rsidP="00F56A53">
      <w:pPr>
        <w:rPr>
          <w:rFonts w:asciiTheme="minorHAnsi" w:hAnsiTheme="minorHAnsi" w:cs="Arial"/>
          <w:sz w:val="20"/>
          <w:szCs w:val="20"/>
        </w:rPr>
      </w:pPr>
      <w:r w:rsidRPr="00560488">
        <w:rPr>
          <w:rFonts w:asciiTheme="minorHAnsi" w:hAnsiTheme="minorHAnsi" w:cs="Arial"/>
          <w:sz w:val="20"/>
          <w:szCs w:val="20"/>
        </w:rPr>
        <w:t xml:space="preserve">Other operators have received major defects notices for minor issues.  Some expensive activities have been undertaken to address apparent major defects which were later downgraded to minor defects. References on the defect notice itself to the precise compliance rule that has been breached or corresponding section of the HVIM is welcomed. </w:t>
      </w:r>
    </w:p>
    <w:p w:rsidR="00EC50BE" w:rsidRPr="00560488" w:rsidRDefault="00EC50BE" w:rsidP="00F56A53">
      <w:pPr>
        <w:rPr>
          <w:rFonts w:asciiTheme="minorHAnsi" w:hAnsiTheme="minorHAnsi" w:cs="Arial"/>
          <w:sz w:val="20"/>
          <w:szCs w:val="20"/>
        </w:rPr>
      </w:pPr>
    </w:p>
    <w:p w:rsidR="00EC50BE" w:rsidRPr="00560488" w:rsidRDefault="00EC50BE" w:rsidP="00F56A53">
      <w:pPr>
        <w:rPr>
          <w:rFonts w:asciiTheme="minorHAnsi" w:hAnsiTheme="minorHAnsi" w:cs="Arial"/>
          <w:sz w:val="20"/>
          <w:szCs w:val="20"/>
        </w:rPr>
      </w:pPr>
      <w:r w:rsidRPr="00560488">
        <w:rPr>
          <w:rFonts w:asciiTheme="minorHAnsi" w:hAnsiTheme="minorHAnsi" w:cs="Arial"/>
          <w:sz w:val="20"/>
          <w:szCs w:val="20"/>
        </w:rPr>
        <w:t xml:space="preserve">There is little consistency in the way roadside inspections are undertaken from state to state or even region to region. There should be consistent roadworthiness requirements, interpretations, administrative procedures and regular inspection requirements across jurisdictions.   </w:t>
      </w:r>
    </w:p>
    <w:p w:rsidR="00EC50BE" w:rsidRPr="00560488" w:rsidRDefault="00EC50BE" w:rsidP="00F56A53">
      <w:pPr>
        <w:rPr>
          <w:rFonts w:asciiTheme="minorHAnsi" w:hAnsiTheme="minorHAnsi" w:cs="Arial"/>
          <w:sz w:val="20"/>
          <w:szCs w:val="20"/>
        </w:rPr>
      </w:pPr>
    </w:p>
    <w:p w:rsidR="00EC50BE" w:rsidRPr="00560488" w:rsidRDefault="00EC50BE" w:rsidP="00F56A53">
      <w:pPr>
        <w:rPr>
          <w:rFonts w:asciiTheme="minorHAnsi" w:hAnsiTheme="minorHAnsi" w:cs="Arial"/>
          <w:sz w:val="20"/>
          <w:szCs w:val="20"/>
        </w:rPr>
      </w:pPr>
      <w:r w:rsidRPr="00560488">
        <w:rPr>
          <w:rFonts w:asciiTheme="minorHAnsi" w:hAnsiTheme="minorHAnsi" w:cs="Arial"/>
          <w:sz w:val="20"/>
          <w:szCs w:val="20"/>
        </w:rPr>
        <w:t>The time with which to comply with a defect notice, and the selection of an HVIS or HVAIS by an authorised officer does appear to be predictable or based on any risk rating or safety outcome. The feedback notes the process for clearing defects can be both costly and tedious for operators. A simple self-assessment procedure for clearing minor defect notices is welcomed by industry.</w:t>
      </w:r>
    </w:p>
    <w:p w:rsidR="00EC50BE" w:rsidRPr="00560488" w:rsidRDefault="00EC50BE" w:rsidP="00F56A53">
      <w:pPr>
        <w:rPr>
          <w:rFonts w:asciiTheme="minorHAnsi" w:hAnsiTheme="minorHAnsi" w:cs="Arial"/>
          <w:sz w:val="20"/>
          <w:szCs w:val="20"/>
        </w:rPr>
      </w:pPr>
    </w:p>
    <w:p w:rsidR="00EC50BE" w:rsidRPr="00560488" w:rsidRDefault="00EC50BE" w:rsidP="00F56A53">
      <w:pPr>
        <w:rPr>
          <w:rFonts w:asciiTheme="minorHAnsi" w:hAnsiTheme="minorHAnsi" w:cs="Arial"/>
          <w:i/>
          <w:sz w:val="20"/>
          <w:szCs w:val="20"/>
        </w:rPr>
      </w:pPr>
      <w:r w:rsidRPr="00560488">
        <w:rPr>
          <w:rFonts w:asciiTheme="minorHAnsi" w:hAnsiTheme="minorHAnsi" w:cs="Arial"/>
          <w:i/>
          <w:sz w:val="20"/>
          <w:szCs w:val="20"/>
        </w:rPr>
        <w:t>Clearance and Self-clearance</w:t>
      </w:r>
    </w:p>
    <w:p w:rsidR="00EC50BE" w:rsidRPr="00560488" w:rsidRDefault="00EC50BE" w:rsidP="00F56A53">
      <w:pPr>
        <w:rPr>
          <w:rFonts w:asciiTheme="minorHAnsi" w:hAnsiTheme="minorHAnsi" w:cs="Arial"/>
          <w:sz w:val="20"/>
          <w:szCs w:val="20"/>
        </w:rPr>
      </w:pPr>
      <w:r w:rsidRPr="00560488">
        <w:rPr>
          <w:rFonts w:asciiTheme="minorHAnsi" w:hAnsiTheme="minorHAnsi" w:cs="Arial"/>
          <w:sz w:val="20"/>
          <w:szCs w:val="20"/>
        </w:rPr>
        <w:t xml:space="preserve">The administrative processes of road agencies after a defect is cleared is another problem encountered by operators. Clearance is often inadequately communicated between jurisdictions and results in further unnecessary roadside delays. It would be more efficient, easier and economical for operators to be able to log into NHVR/road agencies defect systems online to clear minor defects themselves rather than the current process which requires a multi-step paperwork process for confirming the associated repair.  A unique code (e.g. an Area Location Code (ALC) could be created for each vehicle component. </w:t>
      </w:r>
    </w:p>
    <w:p w:rsidR="00EC50BE" w:rsidRPr="00560488" w:rsidRDefault="00EC50BE" w:rsidP="00F56A53">
      <w:pPr>
        <w:rPr>
          <w:rFonts w:asciiTheme="minorHAnsi" w:hAnsiTheme="minorHAnsi" w:cs="Arial"/>
          <w:sz w:val="20"/>
          <w:szCs w:val="20"/>
        </w:rPr>
      </w:pPr>
    </w:p>
    <w:p w:rsidR="00EC50BE" w:rsidRPr="00560488" w:rsidRDefault="00EC50BE" w:rsidP="00F56A53">
      <w:pPr>
        <w:rPr>
          <w:rFonts w:asciiTheme="minorHAnsi" w:hAnsiTheme="minorHAnsi" w:cs="Arial"/>
          <w:i/>
          <w:sz w:val="20"/>
          <w:szCs w:val="20"/>
        </w:rPr>
      </w:pPr>
      <w:r w:rsidRPr="00560488">
        <w:rPr>
          <w:rFonts w:asciiTheme="minorHAnsi" w:hAnsiTheme="minorHAnsi" w:cs="Arial"/>
          <w:i/>
          <w:sz w:val="20"/>
          <w:szCs w:val="20"/>
        </w:rPr>
        <w:t>Roller Brake Testing (RBT)</w:t>
      </w:r>
    </w:p>
    <w:p w:rsidR="00EC50BE" w:rsidRPr="00560488" w:rsidRDefault="00EC50BE" w:rsidP="00F56A53">
      <w:pPr>
        <w:rPr>
          <w:rFonts w:asciiTheme="minorHAnsi" w:hAnsiTheme="minorHAnsi" w:cs="Arial"/>
          <w:sz w:val="20"/>
          <w:szCs w:val="20"/>
        </w:rPr>
      </w:pPr>
      <w:r w:rsidRPr="00560488">
        <w:rPr>
          <w:rFonts w:asciiTheme="minorHAnsi" w:hAnsiTheme="minorHAnsi" w:cs="Arial"/>
          <w:sz w:val="20"/>
          <w:szCs w:val="20"/>
        </w:rPr>
        <w:t>There is no consistency in the way that roller brake tests are conducted at inspection stations. There are issues with random intercept brake test results and the absence of test printouts for the driver, particularly in the case of test fails. Until such time as there is a national standard that includes a minimum axle weight, the weight on each tested axle will need to be recorded. In any future standard, a minimum axle weight, the axle weight and how it was achieved (loaded vehicle or external axle force) should be recorded on the defect.</w:t>
      </w:r>
    </w:p>
    <w:p w:rsidR="00EC50BE" w:rsidRPr="00560488" w:rsidRDefault="00EC50BE" w:rsidP="00F56A53">
      <w:pPr>
        <w:rPr>
          <w:rFonts w:asciiTheme="minorHAnsi" w:hAnsiTheme="minorHAnsi" w:cs="Arial"/>
          <w:sz w:val="20"/>
          <w:szCs w:val="20"/>
        </w:rPr>
      </w:pPr>
    </w:p>
    <w:p w:rsidR="00EC50BE" w:rsidRPr="00560488" w:rsidRDefault="00EC50BE" w:rsidP="00F56A53">
      <w:pPr>
        <w:rPr>
          <w:rFonts w:asciiTheme="minorHAnsi" w:hAnsiTheme="minorHAnsi" w:cs="Arial"/>
          <w:i/>
          <w:sz w:val="20"/>
          <w:szCs w:val="20"/>
        </w:rPr>
      </w:pPr>
      <w:r w:rsidRPr="00560488">
        <w:rPr>
          <w:rFonts w:asciiTheme="minorHAnsi" w:hAnsiTheme="minorHAnsi" w:cs="Arial"/>
          <w:i/>
          <w:sz w:val="20"/>
          <w:szCs w:val="20"/>
        </w:rPr>
        <w:t>Safety Risk Rating</w:t>
      </w:r>
    </w:p>
    <w:p w:rsidR="00EC50BE" w:rsidRPr="00560488" w:rsidRDefault="00EC50BE" w:rsidP="00F56A53">
      <w:pPr>
        <w:rPr>
          <w:rFonts w:asciiTheme="minorHAnsi" w:hAnsiTheme="minorHAnsi" w:cs="Arial"/>
          <w:sz w:val="20"/>
          <w:szCs w:val="20"/>
        </w:rPr>
      </w:pPr>
      <w:r w:rsidRPr="00560488">
        <w:rPr>
          <w:rFonts w:asciiTheme="minorHAnsi" w:hAnsiTheme="minorHAnsi" w:cs="Arial"/>
          <w:sz w:val="20"/>
          <w:szCs w:val="20"/>
        </w:rPr>
        <w:t>Industry feedback also suggests it would be a good idea to consider including a safety risk rating with each defect. For example, a faded registration plate does not pose a road safety risk and since plate replacement is a minimum of 21 days, any stipulated defect clearance requirement should be removed. A risk rating can form the basis of a consistent, accountable defect categorisation process.</w:t>
      </w:r>
    </w:p>
    <w:p w:rsidR="00EC50BE" w:rsidRPr="00560488" w:rsidRDefault="00EC50BE" w:rsidP="00F56A53">
      <w:pPr>
        <w:rPr>
          <w:rFonts w:asciiTheme="minorHAnsi" w:hAnsiTheme="minorHAnsi" w:cs="Arial"/>
          <w:i/>
          <w:sz w:val="20"/>
          <w:szCs w:val="20"/>
        </w:rPr>
      </w:pPr>
    </w:p>
    <w:p w:rsidR="00EC50BE" w:rsidRPr="00560488" w:rsidRDefault="00EC50BE" w:rsidP="00F56A53">
      <w:pPr>
        <w:rPr>
          <w:rFonts w:asciiTheme="minorHAnsi" w:hAnsiTheme="minorHAnsi" w:cs="Arial"/>
          <w:i/>
          <w:sz w:val="20"/>
          <w:szCs w:val="20"/>
        </w:rPr>
      </w:pPr>
      <w:r w:rsidRPr="00560488">
        <w:rPr>
          <w:rFonts w:asciiTheme="minorHAnsi" w:hAnsiTheme="minorHAnsi" w:cs="Arial"/>
          <w:i/>
          <w:sz w:val="20"/>
          <w:szCs w:val="20"/>
        </w:rPr>
        <w:t xml:space="preserve">Record of Inspection cards </w:t>
      </w:r>
    </w:p>
    <w:p w:rsidR="00EC50BE" w:rsidRPr="00560488" w:rsidRDefault="00F419F4" w:rsidP="00F56A53">
      <w:pPr>
        <w:rPr>
          <w:rFonts w:asciiTheme="minorHAnsi" w:hAnsiTheme="minorHAnsi" w:cs="Arial"/>
          <w:sz w:val="20"/>
          <w:szCs w:val="20"/>
        </w:rPr>
      </w:pPr>
      <w:r w:rsidRPr="00560488">
        <w:rPr>
          <w:rFonts w:asciiTheme="minorHAnsi" w:hAnsiTheme="minorHAnsi" w:cs="Arial"/>
          <w:sz w:val="20"/>
          <w:szCs w:val="20"/>
        </w:rPr>
        <w:t>Finally, t</w:t>
      </w:r>
      <w:r w:rsidR="00EC50BE" w:rsidRPr="00560488">
        <w:rPr>
          <w:rFonts w:asciiTheme="minorHAnsi" w:hAnsiTheme="minorHAnsi" w:cs="Arial"/>
          <w:sz w:val="20"/>
          <w:szCs w:val="20"/>
        </w:rPr>
        <w:t>he use of ‘Record of Inspection’ cards was noted in one state</w:t>
      </w:r>
      <w:r w:rsidRPr="00560488">
        <w:rPr>
          <w:rFonts w:asciiTheme="minorHAnsi" w:hAnsiTheme="minorHAnsi" w:cs="Arial"/>
          <w:sz w:val="20"/>
          <w:szCs w:val="20"/>
        </w:rPr>
        <w:t xml:space="preserve"> by a respondent</w:t>
      </w:r>
      <w:r w:rsidR="00EC50BE" w:rsidRPr="00560488">
        <w:rPr>
          <w:rFonts w:asciiTheme="minorHAnsi" w:hAnsiTheme="minorHAnsi" w:cs="Arial"/>
          <w:sz w:val="20"/>
          <w:szCs w:val="20"/>
        </w:rPr>
        <w:t xml:space="preserve">. These </w:t>
      </w:r>
      <w:r w:rsidRPr="00560488">
        <w:rPr>
          <w:rFonts w:asciiTheme="minorHAnsi" w:hAnsiTheme="minorHAnsi" w:cs="Arial"/>
          <w:sz w:val="20"/>
          <w:szCs w:val="20"/>
        </w:rPr>
        <w:t xml:space="preserve">cards </w:t>
      </w:r>
      <w:r w:rsidR="00EC50BE" w:rsidRPr="00560488">
        <w:rPr>
          <w:rFonts w:asciiTheme="minorHAnsi" w:hAnsiTheme="minorHAnsi" w:cs="Arial"/>
          <w:sz w:val="20"/>
          <w:szCs w:val="20"/>
        </w:rPr>
        <w:t xml:space="preserve">are </w:t>
      </w:r>
      <w:r w:rsidRPr="00560488">
        <w:rPr>
          <w:rFonts w:asciiTheme="minorHAnsi" w:hAnsiTheme="minorHAnsi" w:cs="Arial"/>
          <w:sz w:val="20"/>
          <w:szCs w:val="20"/>
        </w:rPr>
        <w:t xml:space="preserve">to be </w:t>
      </w:r>
      <w:r w:rsidR="00EC50BE" w:rsidRPr="00560488">
        <w:rPr>
          <w:rFonts w:asciiTheme="minorHAnsi" w:hAnsiTheme="minorHAnsi" w:cs="Arial"/>
          <w:sz w:val="20"/>
          <w:szCs w:val="20"/>
        </w:rPr>
        <w:t xml:space="preserve">presented by drivers at the next random or </w:t>
      </w:r>
      <w:r w:rsidRPr="00560488">
        <w:rPr>
          <w:rFonts w:asciiTheme="minorHAnsi" w:hAnsiTheme="minorHAnsi" w:cs="Arial"/>
          <w:sz w:val="20"/>
          <w:szCs w:val="20"/>
        </w:rPr>
        <w:t>s</w:t>
      </w:r>
      <w:r w:rsidR="00EC50BE" w:rsidRPr="00560488">
        <w:rPr>
          <w:rFonts w:asciiTheme="minorHAnsi" w:hAnsiTheme="minorHAnsi" w:cs="Arial"/>
          <w:sz w:val="20"/>
          <w:szCs w:val="20"/>
        </w:rPr>
        <w:t xml:space="preserve">ubsequent intercept. Industry </w:t>
      </w:r>
      <w:r w:rsidRPr="00560488">
        <w:rPr>
          <w:rFonts w:asciiTheme="minorHAnsi" w:hAnsiTheme="minorHAnsi" w:cs="Arial"/>
          <w:sz w:val="20"/>
          <w:szCs w:val="20"/>
        </w:rPr>
        <w:t>ask</w:t>
      </w:r>
      <w:r w:rsidR="00EC50BE" w:rsidRPr="00560488">
        <w:rPr>
          <w:rFonts w:asciiTheme="minorHAnsi" w:hAnsiTheme="minorHAnsi" w:cs="Arial"/>
          <w:sz w:val="20"/>
          <w:szCs w:val="20"/>
        </w:rPr>
        <w:t xml:space="preserve"> why the</w:t>
      </w:r>
      <w:r w:rsidRPr="00560488">
        <w:rPr>
          <w:rFonts w:asciiTheme="minorHAnsi" w:hAnsiTheme="minorHAnsi" w:cs="Arial"/>
          <w:sz w:val="20"/>
          <w:szCs w:val="20"/>
        </w:rPr>
        <w:t>se</w:t>
      </w:r>
      <w:r w:rsidR="00EC50BE" w:rsidRPr="00560488">
        <w:rPr>
          <w:rFonts w:asciiTheme="minorHAnsi" w:hAnsiTheme="minorHAnsi" w:cs="Arial"/>
          <w:sz w:val="20"/>
          <w:szCs w:val="20"/>
        </w:rPr>
        <w:t xml:space="preserve"> are </w:t>
      </w:r>
      <w:r w:rsidRPr="00560488">
        <w:rPr>
          <w:rFonts w:asciiTheme="minorHAnsi" w:hAnsiTheme="minorHAnsi" w:cs="Arial"/>
          <w:sz w:val="20"/>
          <w:szCs w:val="20"/>
        </w:rPr>
        <w:t>need</w:t>
      </w:r>
      <w:r w:rsidR="00EC50BE" w:rsidRPr="00560488">
        <w:rPr>
          <w:rFonts w:asciiTheme="minorHAnsi" w:hAnsiTheme="minorHAnsi" w:cs="Arial"/>
          <w:sz w:val="20"/>
          <w:szCs w:val="20"/>
        </w:rPr>
        <w:t xml:space="preserve">ed. </w:t>
      </w:r>
    </w:p>
    <w:p w:rsidR="00EC50BE" w:rsidRPr="00560488" w:rsidRDefault="00EC50BE" w:rsidP="00F56A53">
      <w:pPr>
        <w:rPr>
          <w:rFonts w:asciiTheme="minorHAnsi" w:hAnsiTheme="minorHAnsi" w:cs="Arial"/>
          <w:sz w:val="20"/>
          <w:szCs w:val="20"/>
        </w:rPr>
      </w:pPr>
    </w:p>
    <w:p w:rsidR="00EC50BE" w:rsidRPr="00560488" w:rsidRDefault="00EC50BE" w:rsidP="00F56A53">
      <w:pPr>
        <w:rPr>
          <w:rFonts w:asciiTheme="minorHAnsi" w:hAnsiTheme="minorHAnsi"/>
          <w:sz w:val="20"/>
          <w:szCs w:val="20"/>
        </w:rPr>
      </w:pPr>
    </w:p>
    <w:sectPr w:rsidR="00EC50BE" w:rsidRPr="00560488" w:rsidSect="00CE77AE">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567" w:left="1134" w:header="703" w:footer="2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D86" w:rsidRDefault="00BD4D86" w:rsidP="000F3D9F">
      <w:r>
        <w:separator/>
      </w:r>
    </w:p>
  </w:endnote>
  <w:endnote w:type="continuationSeparator" w:id="0">
    <w:p w:rsidR="00BD4D86" w:rsidRDefault="00BD4D86" w:rsidP="000F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25C" w:rsidRDefault="002972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86" w:rsidRPr="0062031D" w:rsidRDefault="00BD4D86" w:rsidP="0062031D">
    <w:pPr>
      <w:ind w:right="-426"/>
      <w:jc w:val="center"/>
      <w:rPr>
        <w:rFonts w:ascii="Arial" w:hAnsi="Arial" w:cs="Arial"/>
        <w:smallCaps/>
        <w:noProof/>
        <w:sz w:val="18"/>
        <w:szCs w:val="18"/>
        <w:lang w:eastAsia="en-AU"/>
      </w:rPr>
    </w:pPr>
    <w:r>
      <w:rPr>
        <w:rFonts w:ascii="Arial" w:hAnsi="Arial" w:cs="Arial"/>
        <w:color w:val="17365D"/>
        <w:sz w:val="18"/>
        <w:szCs w:val="18"/>
      </w:rPr>
      <w:t xml:space="preserve"> </w:t>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sidRPr="0062031D">
      <w:rPr>
        <w:rFonts w:ascii="Arial" w:hAnsi="Arial" w:cs="Arial"/>
        <w:color w:val="17365D"/>
        <w:sz w:val="18"/>
        <w:szCs w:val="18"/>
      </w:rPr>
      <w:t xml:space="preserve"> </w:t>
    </w:r>
    <w:r w:rsidRPr="0062031D">
      <w:rPr>
        <w:rFonts w:ascii="Arial" w:hAnsi="Arial" w:cs="Arial"/>
        <w:smallCaps/>
        <w:noProof/>
        <w:sz w:val="18"/>
        <w:szCs w:val="18"/>
        <w:lang w:eastAsia="en-AU"/>
      </w:rPr>
      <w:drawing>
        <wp:inline distT="0" distB="0" distL="0" distR="0">
          <wp:extent cx="1951355" cy="846455"/>
          <wp:effectExtent l="19050" t="0" r="0" b="0"/>
          <wp:docPr id="2" name="Picture 2"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BD4D86" w:rsidRPr="0062031D" w:rsidRDefault="00BD4D86" w:rsidP="0062031D">
    <w:pPr>
      <w:ind w:right="-426"/>
      <w:jc w:val="right"/>
      <w:rPr>
        <w:rFonts w:ascii="Arial" w:hAnsi="Arial" w:cs="Arial"/>
        <w:smallCaps/>
        <w:noProof/>
        <w:sz w:val="18"/>
        <w:szCs w:val="18"/>
        <w:lang w:eastAsia="en-AU"/>
      </w:rPr>
    </w:pPr>
    <w:r w:rsidRPr="0062031D">
      <w:rPr>
        <w:rFonts w:ascii="Arial" w:hAnsi="Arial" w:cs="Arial"/>
        <w:smallCaps/>
        <w:noProof/>
        <w:sz w:val="18"/>
        <w:szCs w:val="18"/>
        <w:lang w:eastAsia="en-AU"/>
      </w:rPr>
      <w:t>Minter Ellison Building, 25 National Circuit, Forrest ACT 2603</w:t>
    </w:r>
  </w:p>
  <w:p w:rsidR="00BD4D86" w:rsidRPr="0062031D" w:rsidRDefault="00BD4D86" w:rsidP="0062031D">
    <w:pPr>
      <w:ind w:right="-426"/>
      <w:jc w:val="right"/>
      <w:rPr>
        <w:rFonts w:ascii="Arial" w:hAnsi="Arial" w:cs="Arial"/>
        <w:smallCaps/>
        <w:noProof/>
        <w:sz w:val="18"/>
        <w:szCs w:val="18"/>
        <w:lang w:eastAsia="en-AU"/>
      </w:rPr>
    </w:pPr>
    <w:r w:rsidRPr="0062031D">
      <w:rPr>
        <w:rFonts w:ascii="Arial" w:hAnsi="Arial" w:cs="Arial"/>
        <w:b/>
        <w:smallCaps/>
        <w:noProof/>
        <w:sz w:val="18"/>
        <w:szCs w:val="18"/>
        <w:lang w:eastAsia="en-AU"/>
      </w:rPr>
      <w:t>P</w:t>
    </w:r>
    <w:r w:rsidRPr="0062031D">
      <w:rPr>
        <w:rFonts w:ascii="Arial" w:hAnsi="Arial" w:cs="Arial"/>
        <w:smallCaps/>
        <w:noProof/>
        <w:sz w:val="18"/>
        <w:szCs w:val="18"/>
        <w:lang w:eastAsia="en-AU"/>
      </w:rPr>
      <w:t xml:space="preserve"> 02 6253 6900 </w:t>
    </w:r>
    <w:r w:rsidRPr="0062031D">
      <w:rPr>
        <w:rFonts w:ascii="Arial" w:hAnsi="Arial" w:cs="Arial"/>
        <w:b/>
        <w:smallCaps/>
        <w:noProof/>
        <w:sz w:val="18"/>
        <w:szCs w:val="18"/>
        <w:lang w:eastAsia="en-AU"/>
      </w:rPr>
      <w:t>F</w:t>
    </w:r>
    <w:r w:rsidRPr="0062031D">
      <w:rPr>
        <w:rFonts w:ascii="Arial" w:hAnsi="Arial" w:cs="Arial"/>
        <w:smallCaps/>
        <w:noProof/>
        <w:sz w:val="18"/>
        <w:szCs w:val="18"/>
        <w:lang w:eastAsia="en-AU"/>
      </w:rPr>
      <w:t xml:space="preserve"> 02 6253 6999 </w:t>
    </w:r>
    <w:r w:rsidRPr="0062031D">
      <w:rPr>
        <w:rFonts w:ascii="Arial" w:hAnsi="Arial" w:cs="Arial"/>
        <w:b/>
        <w:smallCaps/>
        <w:noProof/>
        <w:sz w:val="18"/>
        <w:szCs w:val="18"/>
        <w:lang w:eastAsia="en-AU"/>
      </w:rPr>
      <w:t>E</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ata@truck.net.au</w:t>
    </w:r>
    <w:r w:rsidRPr="0062031D">
      <w:rPr>
        <w:rFonts w:ascii="Arial" w:hAnsi="Arial" w:cs="Arial"/>
        <w:b/>
        <w:smallCaps/>
        <w:noProof/>
        <w:sz w:val="18"/>
        <w:szCs w:val="18"/>
        <w:lang w:eastAsia="en-AU"/>
      </w:rPr>
      <w:t xml:space="preserve"> W</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www.truck.net.au</w:t>
    </w:r>
  </w:p>
  <w:p w:rsidR="00BD4D86" w:rsidRPr="00E8056B" w:rsidRDefault="00BD4D86" w:rsidP="0062031D">
    <w:pPr>
      <w:ind w:right="-426"/>
      <w:jc w:val="right"/>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86" w:rsidRDefault="00BD4D86">
    <w:pPr>
      <w:pStyle w:val="Footer"/>
      <w:jc w:val="right"/>
    </w:pPr>
    <w:r>
      <w:fldChar w:fldCharType="begin"/>
    </w:r>
    <w:r>
      <w:instrText xml:space="preserve"> PAGE   \* MERGEFORMAT </w:instrText>
    </w:r>
    <w:r>
      <w:fldChar w:fldCharType="separate"/>
    </w:r>
    <w:r>
      <w:rPr>
        <w:noProof/>
      </w:rPr>
      <w:t>7</w:t>
    </w:r>
    <w:r>
      <w:rPr>
        <w:noProof/>
      </w:rPr>
      <w:fldChar w:fldCharType="end"/>
    </w:r>
  </w:p>
  <w:p w:rsidR="00BD4D86" w:rsidRDefault="00BD4D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86" w:rsidRDefault="00BD4D8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insideH w:val="single" w:sz="4" w:space="0" w:color="000000"/>
      </w:tblBorders>
      <w:tblLook w:val="04A0" w:firstRow="1" w:lastRow="0" w:firstColumn="1" w:lastColumn="0" w:noHBand="0" w:noVBand="1"/>
    </w:tblPr>
    <w:tblGrid>
      <w:gridCol w:w="6237"/>
      <w:gridCol w:w="3401"/>
    </w:tblGrid>
    <w:tr w:rsidR="00BD4D86" w:rsidRPr="00730329" w:rsidTr="004405E7">
      <w:trPr>
        <w:trHeight w:val="278"/>
      </w:trPr>
      <w:tc>
        <w:tcPr>
          <w:tcW w:w="6237" w:type="dxa"/>
          <w:vAlign w:val="center"/>
        </w:tcPr>
        <w:p w:rsidR="00BD4D86" w:rsidRPr="00730329" w:rsidRDefault="00BD4D86" w:rsidP="0029725C">
          <w:pPr>
            <w:pStyle w:val="Footer"/>
            <w:rPr>
              <w:rFonts w:asciiTheme="minorHAnsi" w:hAnsiTheme="minorHAnsi" w:cs="Arial"/>
              <w:i/>
              <w:sz w:val="16"/>
              <w:szCs w:val="16"/>
            </w:rPr>
          </w:pPr>
          <w:r w:rsidRPr="00730329">
            <w:rPr>
              <w:rFonts w:asciiTheme="minorHAnsi" w:hAnsiTheme="minorHAnsi" w:cs="Arial"/>
              <w:i/>
              <w:sz w:val="16"/>
              <w:szCs w:val="16"/>
            </w:rPr>
            <w:t>ATA Submission: Heavy Vehicle Roadworthiness Review – Phase 2 integrity review</w:t>
          </w:r>
          <w:r w:rsidR="00523D04">
            <w:rPr>
              <w:rFonts w:asciiTheme="minorHAnsi" w:hAnsiTheme="minorHAnsi" w:cs="Arial"/>
              <w:i/>
              <w:sz w:val="16"/>
              <w:szCs w:val="16"/>
            </w:rPr>
            <w:t xml:space="preserve"> 19.0</w:t>
          </w:r>
          <w:r w:rsidR="0029725C">
            <w:rPr>
              <w:rFonts w:asciiTheme="minorHAnsi" w:hAnsiTheme="minorHAnsi" w:cs="Arial"/>
              <w:i/>
              <w:sz w:val="16"/>
              <w:szCs w:val="16"/>
            </w:rPr>
            <w:t>9</w:t>
          </w:r>
          <w:r w:rsidR="00523D04">
            <w:rPr>
              <w:rFonts w:asciiTheme="minorHAnsi" w:hAnsiTheme="minorHAnsi" w:cs="Arial"/>
              <w:i/>
              <w:sz w:val="16"/>
              <w:szCs w:val="16"/>
            </w:rPr>
            <w:t>.14</w:t>
          </w:r>
          <w:r w:rsidRPr="00730329">
            <w:rPr>
              <w:rFonts w:asciiTheme="minorHAnsi" w:hAnsiTheme="minorHAnsi" w:cs="Arial"/>
              <w:i/>
              <w:sz w:val="16"/>
              <w:szCs w:val="16"/>
            </w:rPr>
            <w:t xml:space="preserve"> </w:t>
          </w:r>
        </w:p>
      </w:tc>
      <w:tc>
        <w:tcPr>
          <w:tcW w:w="3401" w:type="dxa"/>
          <w:vAlign w:val="center"/>
        </w:tcPr>
        <w:p w:rsidR="00BD4D86" w:rsidRPr="00730329" w:rsidRDefault="00BD4D86" w:rsidP="00D735FF">
          <w:pPr>
            <w:pStyle w:val="Footer"/>
            <w:jc w:val="right"/>
            <w:rPr>
              <w:rFonts w:ascii="Arial" w:hAnsi="Arial" w:cs="Arial"/>
              <w:sz w:val="16"/>
              <w:szCs w:val="16"/>
            </w:rPr>
          </w:pPr>
          <w:r w:rsidRPr="00730329">
            <w:rPr>
              <w:rFonts w:ascii="Arial" w:hAnsi="Arial" w:cs="Arial"/>
              <w:sz w:val="16"/>
              <w:szCs w:val="16"/>
            </w:rPr>
            <w:t xml:space="preserve">Page </w:t>
          </w:r>
          <w:r w:rsidRPr="00730329">
            <w:rPr>
              <w:rFonts w:ascii="Arial" w:hAnsi="Arial" w:cs="Arial"/>
              <w:sz w:val="16"/>
              <w:szCs w:val="16"/>
            </w:rPr>
            <w:fldChar w:fldCharType="begin"/>
          </w:r>
          <w:r w:rsidRPr="00730329">
            <w:rPr>
              <w:rFonts w:ascii="Arial" w:hAnsi="Arial" w:cs="Arial"/>
              <w:sz w:val="16"/>
              <w:szCs w:val="16"/>
            </w:rPr>
            <w:instrText xml:space="preserve"> PAGE   \* MERGEFORMAT </w:instrText>
          </w:r>
          <w:r w:rsidRPr="00730329">
            <w:rPr>
              <w:rFonts w:ascii="Arial" w:hAnsi="Arial" w:cs="Arial"/>
              <w:sz w:val="16"/>
              <w:szCs w:val="16"/>
            </w:rPr>
            <w:fldChar w:fldCharType="separate"/>
          </w:r>
          <w:r w:rsidR="00DA557E">
            <w:rPr>
              <w:rFonts w:ascii="Arial" w:hAnsi="Arial" w:cs="Arial"/>
              <w:noProof/>
              <w:sz w:val="16"/>
              <w:szCs w:val="16"/>
            </w:rPr>
            <w:t>9</w:t>
          </w:r>
          <w:r w:rsidRPr="00730329">
            <w:rPr>
              <w:rFonts w:ascii="Arial" w:hAnsi="Arial" w:cs="Arial"/>
              <w:sz w:val="16"/>
              <w:szCs w:val="16"/>
            </w:rPr>
            <w:fldChar w:fldCharType="end"/>
          </w:r>
        </w:p>
      </w:tc>
    </w:tr>
  </w:tbl>
  <w:p w:rsidR="00BD4D86" w:rsidRPr="00A91411" w:rsidRDefault="00BD4D86">
    <w:pP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86" w:rsidRDefault="00BD4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D86" w:rsidRDefault="00BD4D86" w:rsidP="000F3D9F">
      <w:r>
        <w:separator/>
      </w:r>
    </w:p>
  </w:footnote>
  <w:footnote w:type="continuationSeparator" w:id="0">
    <w:p w:rsidR="00BD4D86" w:rsidRDefault="00BD4D86" w:rsidP="000F3D9F">
      <w:r>
        <w:continuationSeparator/>
      </w:r>
    </w:p>
  </w:footnote>
  <w:footnote w:id="1">
    <w:p w:rsidR="00827AAF" w:rsidRPr="00C805CF" w:rsidRDefault="00827AAF" w:rsidP="00827AAF">
      <w:pPr>
        <w:pStyle w:val="FootnoteText"/>
        <w:rPr>
          <w:sz w:val="16"/>
          <w:szCs w:val="16"/>
        </w:rPr>
      </w:pPr>
      <w:r w:rsidRPr="00C805CF">
        <w:rPr>
          <w:rStyle w:val="FootnoteReference"/>
          <w:sz w:val="16"/>
          <w:szCs w:val="16"/>
        </w:rPr>
        <w:footnoteRef/>
      </w:r>
      <w:r w:rsidRPr="00C805CF">
        <w:rPr>
          <w:sz w:val="16"/>
          <w:szCs w:val="16"/>
        </w:rPr>
        <w:t xml:space="preserve"> </w:t>
      </w:r>
      <w:r w:rsidR="002E3F4A">
        <w:rPr>
          <w:sz w:val="16"/>
          <w:szCs w:val="16"/>
        </w:rPr>
        <w:t>M</w:t>
      </w:r>
      <w:r w:rsidRPr="00C805CF">
        <w:rPr>
          <w:sz w:val="16"/>
          <w:szCs w:val="16"/>
        </w:rPr>
        <w:t xml:space="preserve">any other considerations </w:t>
      </w:r>
      <w:r w:rsidR="00E5783E">
        <w:rPr>
          <w:sz w:val="16"/>
          <w:szCs w:val="16"/>
        </w:rPr>
        <w:t>may</w:t>
      </w:r>
      <w:r w:rsidRPr="00C805CF">
        <w:rPr>
          <w:sz w:val="16"/>
          <w:szCs w:val="16"/>
        </w:rPr>
        <w:t xml:space="preserve"> influence choice</w:t>
      </w:r>
      <w:r w:rsidR="00E5783E">
        <w:rPr>
          <w:sz w:val="16"/>
          <w:szCs w:val="16"/>
        </w:rPr>
        <w:t>s</w:t>
      </w:r>
      <w:r w:rsidRPr="00C805CF">
        <w:rPr>
          <w:sz w:val="16"/>
          <w:szCs w:val="16"/>
        </w:rPr>
        <w:t xml:space="preserve"> and those noted by </w:t>
      </w:r>
      <w:r w:rsidR="00E5783E">
        <w:rPr>
          <w:sz w:val="16"/>
          <w:szCs w:val="16"/>
        </w:rPr>
        <w:t xml:space="preserve">survey </w:t>
      </w:r>
      <w:r w:rsidRPr="00C805CF">
        <w:rPr>
          <w:sz w:val="16"/>
          <w:szCs w:val="16"/>
        </w:rPr>
        <w:t>respondents are</w:t>
      </w:r>
      <w:r w:rsidR="002E3F4A">
        <w:rPr>
          <w:sz w:val="16"/>
          <w:szCs w:val="16"/>
        </w:rPr>
        <w:t xml:space="preserve"> also</w:t>
      </w:r>
      <w:r w:rsidRPr="00C805CF">
        <w:rPr>
          <w:sz w:val="16"/>
          <w:szCs w:val="16"/>
        </w:rPr>
        <w:t xml:space="preserve"> included at Attachment A.</w:t>
      </w:r>
    </w:p>
  </w:footnote>
  <w:footnote w:id="2">
    <w:p w:rsidR="00483942" w:rsidRPr="00C805CF" w:rsidRDefault="00483942" w:rsidP="00483942">
      <w:pPr>
        <w:pStyle w:val="FootnoteText"/>
        <w:rPr>
          <w:sz w:val="16"/>
          <w:szCs w:val="16"/>
        </w:rPr>
      </w:pPr>
      <w:r w:rsidRPr="00C805CF">
        <w:rPr>
          <w:rStyle w:val="FootnoteReference"/>
          <w:sz w:val="16"/>
          <w:szCs w:val="16"/>
        </w:rPr>
        <w:footnoteRef/>
      </w:r>
      <w:r w:rsidRPr="00C805CF">
        <w:rPr>
          <w:sz w:val="16"/>
          <w:szCs w:val="16"/>
        </w:rPr>
        <w:t xml:space="preserve"> It must be stressed that this list represents eight safety critical elements of a vehicle identified by the NTC TWG as requiring mandatory attention during inspections and maintenance routines, but they are </w:t>
      </w:r>
      <w:r w:rsidRPr="00C805CF">
        <w:rPr>
          <w:sz w:val="16"/>
          <w:szCs w:val="16"/>
          <w:u w:val="single"/>
        </w:rPr>
        <w:t>not</w:t>
      </w:r>
      <w:r w:rsidRPr="00C805CF">
        <w:rPr>
          <w:sz w:val="16"/>
          <w:szCs w:val="16"/>
        </w:rPr>
        <w:t xml:space="preserve"> the only elements needed to assess roadworthiness. Other important elements also require inspection and maintenance and their requirements are included in the draft HVIM.</w:t>
      </w:r>
    </w:p>
  </w:footnote>
  <w:footnote w:id="3">
    <w:p w:rsidR="00BD4D86" w:rsidRPr="00C805CF" w:rsidRDefault="00BD4D86" w:rsidP="001B7BD7">
      <w:pPr>
        <w:pStyle w:val="FootnoteText"/>
        <w:rPr>
          <w:sz w:val="16"/>
          <w:szCs w:val="16"/>
        </w:rPr>
      </w:pPr>
      <w:r>
        <w:rPr>
          <w:rStyle w:val="FootnoteReference"/>
        </w:rPr>
        <w:footnoteRef/>
      </w:r>
      <w:r>
        <w:t xml:space="preserve"> </w:t>
      </w:r>
      <w:r w:rsidRPr="00C805CF">
        <w:rPr>
          <w:sz w:val="16"/>
          <w:szCs w:val="16"/>
        </w:rPr>
        <w:t>‘</w:t>
      </w:r>
      <w:r w:rsidRPr="00C805CF">
        <w:rPr>
          <w:i/>
          <w:sz w:val="16"/>
          <w:szCs w:val="16"/>
        </w:rPr>
        <w:t>Opportunity 25: consider developing a standardised brake test procedure’</w:t>
      </w:r>
      <w:r w:rsidRPr="00C805CF">
        <w:rPr>
          <w:sz w:val="16"/>
          <w:szCs w:val="16"/>
        </w:rPr>
        <w:t>. Phase 2 report, page 54.</w:t>
      </w:r>
    </w:p>
  </w:footnote>
  <w:footnote w:id="4">
    <w:p w:rsidR="00BD4D86" w:rsidRPr="00952C60" w:rsidRDefault="00BD4D86" w:rsidP="005B3C24">
      <w:pPr>
        <w:pStyle w:val="FootnoteText"/>
        <w:rPr>
          <w:rFonts w:asciiTheme="minorHAnsi" w:hAnsiTheme="minorHAnsi"/>
          <w:sz w:val="16"/>
          <w:szCs w:val="16"/>
        </w:rPr>
      </w:pPr>
      <w:r w:rsidRPr="005B382E">
        <w:rPr>
          <w:rStyle w:val="FootnoteReference"/>
          <w:rFonts w:asciiTheme="minorHAnsi" w:hAnsiTheme="minorHAnsi"/>
          <w:sz w:val="16"/>
          <w:szCs w:val="16"/>
        </w:rPr>
        <w:footnoteRef/>
      </w:r>
      <w:r w:rsidRPr="005B382E">
        <w:rPr>
          <w:rFonts w:asciiTheme="minorHAnsi" w:hAnsiTheme="minorHAnsi"/>
          <w:sz w:val="16"/>
          <w:szCs w:val="16"/>
        </w:rPr>
        <w:t xml:space="preserve">  NTC stakeholder brief on chain of responsibility and vehicle standards.</w:t>
      </w:r>
      <w:r w:rsidRPr="00532695">
        <w:rPr>
          <w:rFonts w:asciiTheme="minorHAnsi" w:hAnsiTheme="minorHAnsi"/>
          <w:sz w:val="16"/>
          <w:szCs w:val="16"/>
        </w:rPr>
        <w:t xml:space="preserve"> </w:t>
      </w:r>
      <w:r w:rsidRPr="005B382E">
        <w:rPr>
          <w:rFonts w:asciiTheme="minorHAnsi" w:hAnsiTheme="minorHAnsi"/>
          <w:sz w:val="16"/>
          <w:szCs w:val="16"/>
        </w:rPr>
        <w:t>2014</w:t>
      </w:r>
    </w:p>
  </w:footnote>
  <w:footnote w:id="5">
    <w:p w:rsidR="00BD4D86" w:rsidRPr="00952C60" w:rsidRDefault="00BD4D86" w:rsidP="00241F2E">
      <w:pPr>
        <w:pStyle w:val="FootnoteText"/>
        <w:rPr>
          <w:rFonts w:asciiTheme="minorHAnsi" w:hAnsiTheme="minorHAnsi" w:cs="Arial"/>
          <w:sz w:val="16"/>
          <w:szCs w:val="16"/>
        </w:rPr>
      </w:pPr>
      <w:r w:rsidRPr="00952C60">
        <w:rPr>
          <w:rStyle w:val="FootnoteReference"/>
          <w:rFonts w:asciiTheme="minorHAnsi" w:hAnsiTheme="minorHAnsi" w:cs="Arial"/>
          <w:sz w:val="16"/>
          <w:szCs w:val="16"/>
        </w:rPr>
        <w:footnoteRef/>
      </w:r>
      <w:r w:rsidRPr="00952C60">
        <w:rPr>
          <w:rFonts w:asciiTheme="minorHAnsi" w:hAnsiTheme="minorHAnsi" w:cs="Arial"/>
          <w:sz w:val="16"/>
          <w:szCs w:val="16"/>
        </w:rPr>
        <w:t xml:space="preserve"> NTC, </w:t>
      </w:r>
      <w:r w:rsidRPr="00952C60">
        <w:rPr>
          <w:rFonts w:asciiTheme="minorHAnsi" w:hAnsiTheme="minorHAnsi" w:cs="Arial"/>
          <w:i/>
          <w:sz w:val="16"/>
          <w:szCs w:val="16"/>
        </w:rPr>
        <w:t>Heavy vehicle roadworthiness review: phase one: report of current practice</w:t>
      </w:r>
      <w:r w:rsidRPr="00952C60">
        <w:rPr>
          <w:rFonts w:asciiTheme="minorHAnsi" w:hAnsiTheme="minorHAnsi" w:cs="Arial"/>
          <w:sz w:val="16"/>
          <w:szCs w:val="16"/>
        </w:rPr>
        <w:t>. July 2014, p13.</w:t>
      </w:r>
    </w:p>
  </w:footnote>
  <w:footnote w:id="6">
    <w:p w:rsidR="00BD4D86" w:rsidRPr="00193677" w:rsidRDefault="00BD4D86" w:rsidP="00241F2E">
      <w:pPr>
        <w:pStyle w:val="FootnoteText"/>
        <w:rPr>
          <w:rFonts w:asciiTheme="minorHAnsi" w:hAnsiTheme="minorHAnsi" w:cs="Arial"/>
          <w:sz w:val="16"/>
          <w:szCs w:val="16"/>
        </w:rPr>
      </w:pPr>
      <w:r w:rsidRPr="00952C60">
        <w:rPr>
          <w:rStyle w:val="FootnoteReference"/>
          <w:rFonts w:asciiTheme="minorHAnsi" w:hAnsiTheme="minorHAnsi" w:cs="Arial"/>
          <w:sz w:val="16"/>
          <w:szCs w:val="16"/>
        </w:rPr>
        <w:footnoteRef/>
      </w:r>
      <w:r w:rsidRPr="00952C60">
        <w:rPr>
          <w:rFonts w:asciiTheme="minorHAnsi" w:hAnsiTheme="minorHAnsi" w:cs="Arial"/>
          <w:sz w:val="16"/>
          <w:szCs w:val="16"/>
        </w:rPr>
        <w:t xml:space="preserve"> Brodie, L et al, “Heavy vehicle driver fatalities: learnings from fatal road crash investigations,” in </w:t>
      </w:r>
      <w:r w:rsidRPr="00952C60">
        <w:rPr>
          <w:rFonts w:asciiTheme="minorHAnsi" w:hAnsiTheme="minorHAnsi" w:cs="Arial"/>
          <w:i/>
          <w:sz w:val="16"/>
          <w:szCs w:val="16"/>
        </w:rPr>
        <w:t>Accident Analysis and Prevention</w:t>
      </w:r>
      <w:r w:rsidRPr="00952C60">
        <w:rPr>
          <w:rFonts w:asciiTheme="minorHAnsi" w:hAnsiTheme="minorHAnsi" w:cs="Arial"/>
          <w:sz w:val="16"/>
          <w:szCs w:val="16"/>
        </w:rPr>
        <w:t xml:space="preserve">, 41 (2009), </w:t>
      </w:r>
      <w:r w:rsidRPr="00193677">
        <w:rPr>
          <w:rFonts w:asciiTheme="minorHAnsi" w:hAnsiTheme="minorHAnsi" w:cs="Arial"/>
          <w:sz w:val="16"/>
          <w:szCs w:val="16"/>
        </w:rPr>
        <w:t>pp557-564.</w:t>
      </w:r>
    </w:p>
  </w:footnote>
  <w:footnote w:id="7">
    <w:p w:rsidR="00BD4D86" w:rsidRPr="00C805CF" w:rsidRDefault="00BD4D86" w:rsidP="00241F2E">
      <w:pPr>
        <w:pStyle w:val="FootnoteText"/>
        <w:rPr>
          <w:rFonts w:asciiTheme="minorHAnsi" w:hAnsiTheme="minorHAnsi" w:cs="Arial"/>
          <w:sz w:val="16"/>
          <w:szCs w:val="16"/>
        </w:rPr>
      </w:pPr>
      <w:r w:rsidRPr="00C805CF">
        <w:rPr>
          <w:rStyle w:val="FootnoteReference"/>
          <w:rFonts w:asciiTheme="minorHAnsi" w:hAnsiTheme="minorHAnsi" w:cs="Arial"/>
          <w:sz w:val="16"/>
          <w:szCs w:val="16"/>
        </w:rPr>
        <w:footnoteRef/>
      </w:r>
      <w:r w:rsidRPr="00C805CF">
        <w:rPr>
          <w:rFonts w:asciiTheme="minorHAnsi" w:hAnsiTheme="minorHAnsi" w:cs="Arial"/>
          <w:sz w:val="16"/>
          <w:szCs w:val="16"/>
        </w:rPr>
        <w:t xml:space="preserve"> McKnight, A and G Bahouth, “Analysis of Large Truck Rollover Crashes,” in </w:t>
      </w:r>
      <w:r w:rsidRPr="00C805CF">
        <w:rPr>
          <w:rFonts w:asciiTheme="minorHAnsi" w:hAnsiTheme="minorHAnsi" w:cs="Arial"/>
          <w:i/>
          <w:sz w:val="16"/>
          <w:szCs w:val="16"/>
        </w:rPr>
        <w:t>Traffic Injury Prevention</w:t>
      </w:r>
      <w:r w:rsidRPr="00C805CF">
        <w:rPr>
          <w:rFonts w:asciiTheme="minorHAnsi" w:hAnsiTheme="minorHAnsi" w:cs="Arial"/>
          <w:sz w:val="16"/>
          <w:szCs w:val="16"/>
        </w:rPr>
        <w:t xml:space="preserve">, 2009, 10:5, 421-426, DOI: 10.1080/15389580903135291. </w:t>
      </w:r>
    </w:p>
  </w:footnote>
  <w:footnote w:id="8">
    <w:p w:rsidR="00BD4D86" w:rsidRPr="00C805CF" w:rsidRDefault="00BD4D86" w:rsidP="00241F2E">
      <w:pPr>
        <w:pStyle w:val="FootnoteText"/>
        <w:rPr>
          <w:rFonts w:asciiTheme="minorHAnsi" w:hAnsiTheme="minorHAnsi" w:cs="Arial"/>
          <w:sz w:val="16"/>
          <w:szCs w:val="16"/>
        </w:rPr>
      </w:pPr>
      <w:r w:rsidRPr="00C805CF">
        <w:rPr>
          <w:rStyle w:val="FootnoteReference"/>
          <w:rFonts w:asciiTheme="minorHAnsi" w:hAnsiTheme="minorHAnsi" w:cs="Arial"/>
          <w:sz w:val="16"/>
          <w:szCs w:val="16"/>
        </w:rPr>
        <w:footnoteRef/>
      </w:r>
      <w:r w:rsidRPr="00C805CF">
        <w:rPr>
          <w:rFonts w:asciiTheme="minorHAnsi" w:hAnsiTheme="minorHAnsi" w:cs="Arial"/>
          <w:sz w:val="16"/>
          <w:szCs w:val="16"/>
        </w:rPr>
        <w:t xml:space="preserve"> For example, sections 60 and 89.</w:t>
      </w:r>
    </w:p>
  </w:footnote>
  <w:footnote w:id="9">
    <w:p w:rsidR="00BD4D86" w:rsidRPr="00C805CF" w:rsidRDefault="00BD4D86" w:rsidP="00241F2E">
      <w:pPr>
        <w:pStyle w:val="FootnoteText"/>
        <w:rPr>
          <w:rFonts w:asciiTheme="minorHAnsi" w:hAnsiTheme="minorHAnsi" w:cs="Arial"/>
          <w:sz w:val="16"/>
          <w:szCs w:val="16"/>
        </w:rPr>
      </w:pPr>
      <w:r w:rsidRPr="00C805CF">
        <w:rPr>
          <w:rStyle w:val="FootnoteReference"/>
          <w:rFonts w:asciiTheme="minorHAnsi" w:hAnsiTheme="minorHAnsi" w:cs="Arial"/>
          <w:sz w:val="16"/>
          <w:szCs w:val="16"/>
        </w:rPr>
        <w:footnoteRef/>
      </w:r>
      <w:r w:rsidRPr="00C805CF">
        <w:rPr>
          <w:rFonts w:asciiTheme="minorHAnsi" w:hAnsiTheme="minorHAnsi" w:cs="Arial"/>
          <w:sz w:val="16"/>
          <w:szCs w:val="16"/>
        </w:rPr>
        <w:t xml:space="preserve"> Commonwealth of Australia, </w:t>
      </w:r>
      <w:r w:rsidRPr="00C805CF">
        <w:rPr>
          <w:rFonts w:asciiTheme="minorHAnsi" w:hAnsiTheme="minorHAnsi" w:cs="Arial"/>
          <w:i/>
          <w:sz w:val="16"/>
          <w:szCs w:val="16"/>
        </w:rPr>
        <w:t>Australian Government guide to regulation</w:t>
      </w:r>
      <w:r w:rsidRPr="00C805CF">
        <w:rPr>
          <w:rFonts w:asciiTheme="minorHAnsi" w:hAnsiTheme="minorHAnsi" w:cs="Arial"/>
          <w:sz w:val="16"/>
          <w:szCs w:val="16"/>
        </w:rPr>
        <w:t>, p2. Available at www.cuttingredtape.gov.au</w:t>
      </w:r>
    </w:p>
  </w:footnote>
  <w:footnote w:id="10">
    <w:p w:rsidR="00BD4D86" w:rsidRPr="00C805CF" w:rsidRDefault="00BD4D86" w:rsidP="00241F2E">
      <w:pPr>
        <w:pStyle w:val="FootnoteText"/>
        <w:rPr>
          <w:rFonts w:ascii="Arial" w:hAnsi="Arial" w:cs="Arial"/>
          <w:sz w:val="16"/>
          <w:szCs w:val="16"/>
        </w:rPr>
      </w:pPr>
      <w:r w:rsidRPr="00C805CF">
        <w:rPr>
          <w:rStyle w:val="FootnoteReference"/>
          <w:rFonts w:asciiTheme="minorHAnsi" w:hAnsiTheme="minorHAnsi" w:cs="Arial"/>
          <w:sz w:val="16"/>
          <w:szCs w:val="16"/>
        </w:rPr>
        <w:footnoteRef/>
      </w:r>
      <w:r w:rsidRPr="00C805CF">
        <w:rPr>
          <w:rFonts w:asciiTheme="minorHAnsi" w:hAnsiTheme="minorHAnsi" w:cs="Arial"/>
          <w:sz w:val="16"/>
          <w:szCs w:val="16"/>
        </w:rPr>
        <w:t xml:space="preserve"> COAG, </w:t>
      </w:r>
      <w:r w:rsidRPr="00C805CF">
        <w:rPr>
          <w:rFonts w:asciiTheme="minorHAnsi" w:hAnsiTheme="minorHAnsi" w:cs="Arial"/>
          <w:i/>
          <w:sz w:val="16"/>
          <w:szCs w:val="16"/>
        </w:rPr>
        <w:t>Intergovernmental agreement on heavy vehicle regulatory reform</w:t>
      </w:r>
      <w:r w:rsidRPr="00C805CF">
        <w:rPr>
          <w:rFonts w:asciiTheme="minorHAnsi" w:hAnsiTheme="minorHAnsi" w:cs="Arial"/>
          <w:sz w:val="16"/>
          <w:szCs w:val="16"/>
        </w:rPr>
        <w:t>, 19 August 2011, par C4. Viewed 8 August 2014. &lt;</w:t>
      </w:r>
      <w:hyperlink r:id="rId1" w:history="1">
        <w:r w:rsidRPr="00C805CF">
          <w:rPr>
            <w:rStyle w:val="Hyperlink"/>
            <w:rFonts w:asciiTheme="minorHAnsi" w:hAnsiTheme="minorHAnsi" w:cs="Arial"/>
            <w:sz w:val="16"/>
            <w:szCs w:val="16"/>
          </w:rPr>
          <w:t>https://www.coag.gov.au/sites/default/files/NHVR%20IGA-19August%202011.pdf</w:t>
        </w:r>
      </w:hyperlink>
      <w:r w:rsidRPr="00C805CF">
        <w:rPr>
          <w:rFonts w:asciiTheme="minorHAnsi" w:hAnsiTheme="minorHAnsi" w:cs="Arial"/>
          <w:sz w:val="16"/>
          <w:szCs w:val="16"/>
        </w:rPr>
        <w:t>&gt;</w:t>
      </w:r>
    </w:p>
  </w:footnote>
  <w:footnote w:id="11">
    <w:p w:rsidR="00BD4D86" w:rsidRDefault="00BD4D86">
      <w:pPr>
        <w:pStyle w:val="FootnoteText"/>
      </w:pPr>
      <w:r>
        <w:rPr>
          <w:rStyle w:val="FootnoteReference"/>
        </w:rPr>
        <w:footnoteRef/>
      </w:r>
      <w:r>
        <w:t xml:space="preserve"> </w:t>
      </w:r>
      <w:r w:rsidRPr="00874C74">
        <w:rPr>
          <w:sz w:val="16"/>
          <w:szCs w:val="16"/>
        </w:rPr>
        <w:t>Formerly known as RABQSA.</w:t>
      </w:r>
    </w:p>
  </w:footnote>
  <w:footnote w:id="12">
    <w:p w:rsidR="007929AA" w:rsidRPr="00AC0738" w:rsidRDefault="007929AA" w:rsidP="007929AA">
      <w:pPr>
        <w:pStyle w:val="FootnoteText"/>
        <w:rPr>
          <w:sz w:val="16"/>
          <w:szCs w:val="16"/>
        </w:rPr>
      </w:pPr>
      <w:r w:rsidRPr="00AC0738">
        <w:rPr>
          <w:rStyle w:val="FootnoteReference"/>
          <w:sz w:val="16"/>
          <w:szCs w:val="16"/>
        </w:rPr>
        <w:footnoteRef/>
      </w:r>
      <w:r w:rsidRPr="00AC0738">
        <w:rPr>
          <w:sz w:val="16"/>
          <w:szCs w:val="16"/>
        </w:rPr>
        <w:t xml:space="preserve"> ATA survey of TruckSafe auditors. Closed 19 September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25C" w:rsidRDefault="002972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25C" w:rsidRDefault="002972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86" w:rsidRPr="00E8056B" w:rsidRDefault="00BD4D86"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BD4D86" w:rsidRDefault="00BD4D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86" w:rsidRDefault="00BD4D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86" w:rsidRPr="0062031D" w:rsidRDefault="00BD4D86" w:rsidP="0062031D">
    <w:pPr>
      <w:pStyle w:val="Header"/>
      <w:rPr>
        <w:rFonts w:ascii="Arial" w:hAnsi="Arial" w:cs="Arial"/>
        <w:color w:val="000064"/>
        <w:sz w:val="18"/>
        <w:szCs w:val="18"/>
      </w:rPr>
    </w:pPr>
    <w:r>
      <w:rPr>
        <w:rFonts w:ascii="Arial" w:hAnsi="Arial" w:cs="Arial"/>
        <w:color w:val="000064"/>
        <w:sz w:val="18"/>
        <w:szCs w:val="18"/>
      </w:rPr>
      <w:tab/>
    </w:r>
    <w:r>
      <w:rPr>
        <w:rFonts w:ascii="Arial" w:hAnsi="Arial" w:cs="Arial"/>
        <w:color w:val="000064"/>
        <w:sz w:val="18"/>
        <w:szCs w:val="18"/>
      </w:rPr>
      <w:tab/>
      <w:t xml:space="preserve">   </w:t>
    </w:r>
    <w:r w:rsidRPr="0062031D">
      <w:rPr>
        <w:rFonts w:ascii="Arial" w:hAnsi="Arial" w:cs="Arial"/>
        <w:color w:val="000064"/>
        <w:sz w:val="18"/>
        <w:szCs w:val="18"/>
      </w:rPr>
      <w:t xml:space="preserve">AUSTRALIAN TRUCKING </w:t>
    </w:r>
    <w:r w:rsidRPr="0062031D">
      <w:rPr>
        <w:rFonts w:ascii="Arial" w:hAnsi="Arial" w:cs="Arial"/>
        <w:color w:val="FF0000"/>
        <w:sz w:val="18"/>
        <w:szCs w:val="18"/>
      </w:rPr>
      <w:t>ASSOCIATION</w:t>
    </w:r>
  </w:p>
  <w:p w:rsidR="00BD4D86" w:rsidRPr="0062031D" w:rsidRDefault="00BD4D86" w:rsidP="0062031D">
    <w:pPr>
      <w:pStyle w:val="Header"/>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86" w:rsidRDefault="00BD4D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45A3"/>
    <w:multiLevelType w:val="hybridMultilevel"/>
    <w:tmpl w:val="6ED449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8846DB"/>
    <w:multiLevelType w:val="hybridMultilevel"/>
    <w:tmpl w:val="FE827B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4E08CF"/>
    <w:multiLevelType w:val="hybridMultilevel"/>
    <w:tmpl w:val="D0A4B2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C3D04CD"/>
    <w:multiLevelType w:val="hybridMultilevel"/>
    <w:tmpl w:val="C9B01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EFE0E17"/>
    <w:multiLevelType w:val="hybridMultilevel"/>
    <w:tmpl w:val="68E45444"/>
    <w:lvl w:ilvl="0" w:tplc="9214B1E0">
      <w:start w:val="2"/>
      <w:numFmt w:val="bullet"/>
      <w:lvlText w:val="•"/>
      <w:lvlJc w:val="left"/>
      <w:pPr>
        <w:ind w:left="720" w:hanging="72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4DD4942"/>
    <w:multiLevelType w:val="hybridMultilevel"/>
    <w:tmpl w:val="550AD3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2F032D"/>
    <w:multiLevelType w:val="hybridMultilevel"/>
    <w:tmpl w:val="FC48E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B1A0A58"/>
    <w:multiLevelType w:val="hybridMultilevel"/>
    <w:tmpl w:val="E9FCF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vanish w:val="0"/>
        <w:color w:val="000000"/>
        <w:sz w:val="20"/>
        <w:vertAlign w:val="base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nsid w:val="4A823159"/>
    <w:multiLevelType w:val="hybridMultilevel"/>
    <w:tmpl w:val="D9287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72036ED"/>
    <w:multiLevelType w:val="hybridMultilevel"/>
    <w:tmpl w:val="B404A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979370B"/>
    <w:multiLevelType w:val="hybridMultilevel"/>
    <w:tmpl w:val="B6209714"/>
    <w:lvl w:ilvl="0" w:tplc="28968E62">
      <w:start w:val="1"/>
      <w:numFmt w:val="bullet"/>
      <w:lvlText w:val=""/>
      <w:lvlJc w:val="left"/>
      <w:pPr>
        <w:ind w:left="227" w:hanging="22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C73008A"/>
    <w:multiLevelType w:val="hybridMultilevel"/>
    <w:tmpl w:val="1DC685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D554ED9"/>
    <w:multiLevelType w:val="multilevel"/>
    <w:tmpl w:val="652E1C90"/>
    <w:lvl w:ilvl="0">
      <w:start w:val="1"/>
      <w:numFmt w:val="decimal"/>
      <w:pStyle w:val="Heading1"/>
      <w:lvlText w:val="%1."/>
      <w:lvlJc w:val="left"/>
      <w:pPr>
        <w:ind w:left="502" w:hanging="360"/>
      </w:pPr>
      <w:rPr>
        <w:rFonts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66173AB6"/>
    <w:multiLevelType w:val="hybridMultilevel"/>
    <w:tmpl w:val="3E2A2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1837749"/>
    <w:multiLevelType w:val="hybridMultilevel"/>
    <w:tmpl w:val="EF8C8BB2"/>
    <w:lvl w:ilvl="0" w:tplc="FEB896A0">
      <w:start w:val="1"/>
      <w:numFmt w:val="bullet"/>
      <w:lvlText w:val=""/>
      <w:lvlJc w:val="left"/>
      <w:pPr>
        <w:ind w:left="170" w:hanging="17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6E173CF"/>
    <w:multiLevelType w:val="hybridMultilevel"/>
    <w:tmpl w:val="235A81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9226CA2"/>
    <w:multiLevelType w:val="hybridMultilevel"/>
    <w:tmpl w:val="C2361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A184D74"/>
    <w:multiLevelType w:val="hybridMultilevel"/>
    <w:tmpl w:val="3A3A4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AD918A2"/>
    <w:multiLevelType w:val="hybridMultilevel"/>
    <w:tmpl w:val="5C3E3D0A"/>
    <w:lvl w:ilvl="0" w:tplc="0C090001">
      <w:start w:val="1"/>
      <w:numFmt w:val="bullet"/>
      <w:lvlText w:val=""/>
      <w:lvlJc w:val="left"/>
      <w:pPr>
        <w:ind w:left="720" w:hanging="360"/>
      </w:pPr>
      <w:rPr>
        <w:rFonts w:ascii="Symbol" w:hAnsi="Symbol" w:hint="default"/>
      </w:rPr>
    </w:lvl>
    <w:lvl w:ilvl="1" w:tplc="276E1ACA">
      <w:numFmt w:val="bullet"/>
      <w:lvlText w:val="•"/>
      <w:lvlJc w:val="left"/>
      <w:pPr>
        <w:ind w:left="1800" w:hanging="720"/>
      </w:pPr>
      <w:rPr>
        <w:rFonts w:ascii="Calibri" w:eastAsia="Calibri"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4"/>
  </w:num>
  <w:num w:numId="5">
    <w:abstractNumId w:val="16"/>
  </w:num>
  <w:num w:numId="6">
    <w:abstractNumId w:val="1"/>
  </w:num>
  <w:num w:numId="7">
    <w:abstractNumId w:val="5"/>
  </w:num>
  <w:num w:numId="8">
    <w:abstractNumId w:val="19"/>
  </w:num>
  <w:num w:numId="9">
    <w:abstractNumId w:val="0"/>
  </w:num>
  <w:num w:numId="10">
    <w:abstractNumId w:val="9"/>
  </w:num>
  <w:num w:numId="11">
    <w:abstractNumId w:val="3"/>
  </w:num>
  <w:num w:numId="12">
    <w:abstractNumId w:val="2"/>
  </w:num>
  <w:num w:numId="13">
    <w:abstractNumId w:val="17"/>
  </w:num>
  <w:num w:numId="14">
    <w:abstractNumId w:val="18"/>
  </w:num>
  <w:num w:numId="15">
    <w:abstractNumId w:val="15"/>
  </w:num>
  <w:num w:numId="16">
    <w:abstractNumId w:val="12"/>
  </w:num>
  <w:num w:numId="17">
    <w:abstractNumId w:val="6"/>
  </w:num>
  <w:num w:numId="18">
    <w:abstractNumId w:val="10"/>
  </w:num>
  <w:num w:numId="19">
    <w:abstractNumId w:val="14"/>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C1627A"/>
    <w:rsid w:val="0000159D"/>
    <w:rsid w:val="00003A44"/>
    <w:rsid w:val="00004DB4"/>
    <w:rsid w:val="00005364"/>
    <w:rsid w:val="00005E0D"/>
    <w:rsid w:val="00011281"/>
    <w:rsid w:val="000118F7"/>
    <w:rsid w:val="00011D52"/>
    <w:rsid w:val="00014B23"/>
    <w:rsid w:val="000156D1"/>
    <w:rsid w:val="0002077F"/>
    <w:rsid w:val="000223CC"/>
    <w:rsid w:val="00023B28"/>
    <w:rsid w:val="00025C3E"/>
    <w:rsid w:val="00025E80"/>
    <w:rsid w:val="00035CFC"/>
    <w:rsid w:val="00040727"/>
    <w:rsid w:val="0004076B"/>
    <w:rsid w:val="00040876"/>
    <w:rsid w:val="00040D17"/>
    <w:rsid w:val="00040D26"/>
    <w:rsid w:val="0004142E"/>
    <w:rsid w:val="0004192B"/>
    <w:rsid w:val="00042244"/>
    <w:rsid w:val="00042462"/>
    <w:rsid w:val="00042746"/>
    <w:rsid w:val="000429A1"/>
    <w:rsid w:val="00043430"/>
    <w:rsid w:val="00043AF0"/>
    <w:rsid w:val="00044533"/>
    <w:rsid w:val="00046042"/>
    <w:rsid w:val="000462A3"/>
    <w:rsid w:val="00046DD6"/>
    <w:rsid w:val="000500EB"/>
    <w:rsid w:val="00050881"/>
    <w:rsid w:val="000509A2"/>
    <w:rsid w:val="00051A46"/>
    <w:rsid w:val="00052E9C"/>
    <w:rsid w:val="00054257"/>
    <w:rsid w:val="00056134"/>
    <w:rsid w:val="00056848"/>
    <w:rsid w:val="00056D01"/>
    <w:rsid w:val="000614BF"/>
    <w:rsid w:val="00061B8E"/>
    <w:rsid w:val="0006283B"/>
    <w:rsid w:val="000630C3"/>
    <w:rsid w:val="00063230"/>
    <w:rsid w:val="00063F90"/>
    <w:rsid w:val="00071425"/>
    <w:rsid w:val="00072EF4"/>
    <w:rsid w:val="00074841"/>
    <w:rsid w:val="0007542B"/>
    <w:rsid w:val="00075E7B"/>
    <w:rsid w:val="00076C90"/>
    <w:rsid w:val="00077BB8"/>
    <w:rsid w:val="00080037"/>
    <w:rsid w:val="00080193"/>
    <w:rsid w:val="00083C15"/>
    <w:rsid w:val="0008416D"/>
    <w:rsid w:val="000848A1"/>
    <w:rsid w:val="00085055"/>
    <w:rsid w:val="0008629A"/>
    <w:rsid w:val="000868C6"/>
    <w:rsid w:val="000875E7"/>
    <w:rsid w:val="00087761"/>
    <w:rsid w:val="00087CFB"/>
    <w:rsid w:val="00093802"/>
    <w:rsid w:val="000938E5"/>
    <w:rsid w:val="000942D5"/>
    <w:rsid w:val="00094F49"/>
    <w:rsid w:val="000951EF"/>
    <w:rsid w:val="00095C3B"/>
    <w:rsid w:val="000963BE"/>
    <w:rsid w:val="00096DFD"/>
    <w:rsid w:val="00097C7A"/>
    <w:rsid w:val="00097E4A"/>
    <w:rsid w:val="000A01A7"/>
    <w:rsid w:val="000A102A"/>
    <w:rsid w:val="000A151F"/>
    <w:rsid w:val="000A1CF6"/>
    <w:rsid w:val="000A2BCF"/>
    <w:rsid w:val="000A2F7E"/>
    <w:rsid w:val="000A3787"/>
    <w:rsid w:val="000A3F4E"/>
    <w:rsid w:val="000A4E76"/>
    <w:rsid w:val="000A4EB0"/>
    <w:rsid w:val="000A62F7"/>
    <w:rsid w:val="000A7880"/>
    <w:rsid w:val="000B069A"/>
    <w:rsid w:val="000B351D"/>
    <w:rsid w:val="000B4161"/>
    <w:rsid w:val="000B4942"/>
    <w:rsid w:val="000B586C"/>
    <w:rsid w:val="000B6571"/>
    <w:rsid w:val="000B6CAC"/>
    <w:rsid w:val="000B6D2A"/>
    <w:rsid w:val="000B773A"/>
    <w:rsid w:val="000B7D23"/>
    <w:rsid w:val="000B7FF1"/>
    <w:rsid w:val="000C01AC"/>
    <w:rsid w:val="000C0C35"/>
    <w:rsid w:val="000C15B7"/>
    <w:rsid w:val="000C19AA"/>
    <w:rsid w:val="000C2BBA"/>
    <w:rsid w:val="000C30F1"/>
    <w:rsid w:val="000C310A"/>
    <w:rsid w:val="000C58B5"/>
    <w:rsid w:val="000C594D"/>
    <w:rsid w:val="000C661A"/>
    <w:rsid w:val="000C7587"/>
    <w:rsid w:val="000C795C"/>
    <w:rsid w:val="000D0FE5"/>
    <w:rsid w:val="000D11F5"/>
    <w:rsid w:val="000D208F"/>
    <w:rsid w:val="000D274C"/>
    <w:rsid w:val="000D528B"/>
    <w:rsid w:val="000D6381"/>
    <w:rsid w:val="000D6454"/>
    <w:rsid w:val="000D7471"/>
    <w:rsid w:val="000D7ABD"/>
    <w:rsid w:val="000E1089"/>
    <w:rsid w:val="000E1741"/>
    <w:rsid w:val="000E2261"/>
    <w:rsid w:val="000E22A2"/>
    <w:rsid w:val="000E408F"/>
    <w:rsid w:val="000E514E"/>
    <w:rsid w:val="000E6262"/>
    <w:rsid w:val="000E67CA"/>
    <w:rsid w:val="000E7B14"/>
    <w:rsid w:val="000F00E9"/>
    <w:rsid w:val="000F0116"/>
    <w:rsid w:val="000F080E"/>
    <w:rsid w:val="000F0F7B"/>
    <w:rsid w:val="000F30FF"/>
    <w:rsid w:val="000F349D"/>
    <w:rsid w:val="000F3687"/>
    <w:rsid w:val="000F3D9F"/>
    <w:rsid w:val="000F4057"/>
    <w:rsid w:val="000F53C2"/>
    <w:rsid w:val="000F566E"/>
    <w:rsid w:val="000F6239"/>
    <w:rsid w:val="000F6FF4"/>
    <w:rsid w:val="000F7F6F"/>
    <w:rsid w:val="00100ED4"/>
    <w:rsid w:val="001016E8"/>
    <w:rsid w:val="001019C0"/>
    <w:rsid w:val="00101EAF"/>
    <w:rsid w:val="001023CB"/>
    <w:rsid w:val="001025C9"/>
    <w:rsid w:val="001071A4"/>
    <w:rsid w:val="0011043A"/>
    <w:rsid w:val="001104E3"/>
    <w:rsid w:val="00110610"/>
    <w:rsid w:val="001202C1"/>
    <w:rsid w:val="00121418"/>
    <w:rsid w:val="001217F7"/>
    <w:rsid w:val="00121A53"/>
    <w:rsid w:val="00121A86"/>
    <w:rsid w:val="00121E1A"/>
    <w:rsid w:val="00122558"/>
    <w:rsid w:val="00125795"/>
    <w:rsid w:val="0012626C"/>
    <w:rsid w:val="0012629D"/>
    <w:rsid w:val="00127712"/>
    <w:rsid w:val="0013041A"/>
    <w:rsid w:val="001332F2"/>
    <w:rsid w:val="00133E66"/>
    <w:rsid w:val="00134A9F"/>
    <w:rsid w:val="00135964"/>
    <w:rsid w:val="00136219"/>
    <w:rsid w:val="001368EB"/>
    <w:rsid w:val="0013765E"/>
    <w:rsid w:val="00137794"/>
    <w:rsid w:val="001402C3"/>
    <w:rsid w:val="001407A8"/>
    <w:rsid w:val="00141274"/>
    <w:rsid w:val="00142AFB"/>
    <w:rsid w:val="00143E6C"/>
    <w:rsid w:val="0014437E"/>
    <w:rsid w:val="00145022"/>
    <w:rsid w:val="00145A38"/>
    <w:rsid w:val="001463C2"/>
    <w:rsid w:val="0014683D"/>
    <w:rsid w:val="00146F12"/>
    <w:rsid w:val="00147146"/>
    <w:rsid w:val="001475F7"/>
    <w:rsid w:val="00150065"/>
    <w:rsid w:val="0015168F"/>
    <w:rsid w:val="00151950"/>
    <w:rsid w:val="00151F88"/>
    <w:rsid w:val="00152A71"/>
    <w:rsid w:val="001533EC"/>
    <w:rsid w:val="00153D10"/>
    <w:rsid w:val="001555C9"/>
    <w:rsid w:val="00155744"/>
    <w:rsid w:val="00155B97"/>
    <w:rsid w:val="00156060"/>
    <w:rsid w:val="001573A9"/>
    <w:rsid w:val="00160FE3"/>
    <w:rsid w:val="001611A8"/>
    <w:rsid w:val="001611AB"/>
    <w:rsid w:val="00161887"/>
    <w:rsid w:val="0016265F"/>
    <w:rsid w:val="00164A4D"/>
    <w:rsid w:val="00165C3E"/>
    <w:rsid w:val="00170107"/>
    <w:rsid w:val="00170FC2"/>
    <w:rsid w:val="0017277E"/>
    <w:rsid w:val="001727E8"/>
    <w:rsid w:val="00172D5B"/>
    <w:rsid w:val="00173804"/>
    <w:rsid w:val="00176342"/>
    <w:rsid w:val="00176848"/>
    <w:rsid w:val="001811B8"/>
    <w:rsid w:val="0018136A"/>
    <w:rsid w:val="001817F5"/>
    <w:rsid w:val="00182055"/>
    <w:rsid w:val="00182648"/>
    <w:rsid w:val="00183923"/>
    <w:rsid w:val="00184A28"/>
    <w:rsid w:val="00184B1F"/>
    <w:rsid w:val="00190284"/>
    <w:rsid w:val="00190504"/>
    <w:rsid w:val="001922E5"/>
    <w:rsid w:val="00193677"/>
    <w:rsid w:val="0019439D"/>
    <w:rsid w:val="001943BE"/>
    <w:rsid w:val="0019542E"/>
    <w:rsid w:val="00196CC5"/>
    <w:rsid w:val="001A024F"/>
    <w:rsid w:val="001A0DC3"/>
    <w:rsid w:val="001A1DEA"/>
    <w:rsid w:val="001A1ECF"/>
    <w:rsid w:val="001A2840"/>
    <w:rsid w:val="001A33CC"/>
    <w:rsid w:val="001A5755"/>
    <w:rsid w:val="001A5FE2"/>
    <w:rsid w:val="001A634F"/>
    <w:rsid w:val="001A6510"/>
    <w:rsid w:val="001A66A5"/>
    <w:rsid w:val="001A7BF4"/>
    <w:rsid w:val="001B0EEE"/>
    <w:rsid w:val="001B3E52"/>
    <w:rsid w:val="001B46F6"/>
    <w:rsid w:val="001B5564"/>
    <w:rsid w:val="001B6B29"/>
    <w:rsid w:val="001B7B44"/>
    <w:rsid w:val="001B7BD7"/>
    <w:rsid w:val="001C121B"/>
    <w:rsid w:val="001C125D"/>
    <w:rsid w:val="001C13A5"/>
    <w:rsid w:val="001C150C"/>
    <w:rsid w:val="001C3659"/>
    <w:rsid w:val="001C40BD"/>
    <w:rsid w:val="001C47C7"/>
    <w:rsid w:val="001C52FE"/>
    <w:rsid w:val="001C6757"/>
    <w:rsid w:val="001D038B"/>
    <w:rsid w:val="001D124B"/>
    <w:rsid w:val="001D15A1"/>
    <w:rsid w:val="001D1836"/>
    <w:rsid w:val="001D1A8A"/>
    <w:rsid w:val="001D3D04"/>
    <w:rsid w:val="001D46D2"/>
    <w:rsid w:val="001D50C7"/>
    <w:rsid w:val="001D5534"/>
    <w:rsid w:val="001D5BA0"/>
    <w:rsid w:val="001D77A8"/>
    <w:rsid w:val="001D7817"/>
    <w:rsid w:val="001E0A75"/>
    <w:rsid w:val="001E1665"/>
    <w:rsid w:val="001E232E"/>
    <w:rsid w:val="001E3126"/>
    <w:rsid w:val="001E65EF"/>
    <w:rsid w:val="001E6B93"/>
    <w:rsid w:val="001F024C"/>
    <w:rsid w:val="001F187C"/>
    <w:rsid w:val="001F2FD4"/>
    <w:rsid w:val="001F32AB"/>
    <w:rsid w:val="001F3F75"/>
    <w:rsid w:val="001F48F2"/>
    <w:rsid w:val="001F5A9B"/>
    <w:rsid w:val="001F5BCB"/>
    <w:rsid w:val="001F5CDF"/>
    <w:rsid w:val="00201A96"/>
    <w:rsid w:val="00202563"/>
    <w:rsid w:val="00202A6B"/>
    <w:rsid w:val="002041FF"/>
    <w:rsid w:val="00205D00"/>
    <w:rsid w:val="002062B2"/>
    <w:rsid w:val="0020679A"/>
    <w:rsid w:val="002076F2"/>
    <w:rsid w:val="0020791B"/>
    <w:rsid w:val="0020796A"/>
    <w:rsid w:val="00211742"/>
    <w:rsid w:val="0021180A"/>
    <w:rsid w:val="00212259"/>
    <w:rsid w:val="00212465"/>
    <w:rsid w:val="00212936"/>
    <w:rsid w:val="00213C59"/>
    <w:rsid w:val="002158C8"/>
    <w:rsid w:val="00215AB8"/>
    <w:rsid w:val="002167CF"/>
    <w:rsid w:val="00216CE6"/>
    <w:rsid w:val="00216FF8"/>
    <w:rsid w:val="002204E0"/>
    <w:rsid w:val="002208FB"/>
    <w:rsid w:val="00220E65"/>
    <w:rsid w:val="00222EBF"/>
    <w:rsid w:val="00223B89"/>
    <w:rsid w:val="00224606"/>
    <w:rsid w:val="00225056"/>
    <w:rsid w:val="00225F89"/>
    <w:rsid w:val="00230598"/>
    <w:rsid w:val="00230DC0"/>
    <w:rsid w:val="00230DFC"/>
    <w:rsid w:val="0023151A"/>
    <w:rsid w:val="002317DA"/>
    <w:rsid w:val="002327F8"/>
    <w:rsid w:val="0023296D"/>
    <w:rsid w:val="00235DCF"/>
    <w:rsid w:val="002374B4"/>
    <w:rsid w:val="00237706"/>
    <w:rsid w:val="00240467"/>
    <w:rsid w:val="00240532"/>
    <w:rsid w:val="00240760"/>
    <w:rsid w:val="00241C15"/>
    <w:rsid w:val="00241F2E"/>
    <w:rsid w:val="00243126"/>
    <w:rsid w:val="00243F7B"/>
    <w:rsid w:val="002440DC"/>
    <w:rsid w:val="00244543"/>
    <w:rsid w:val="00245CE4"/>
    <w:rsid w:val="002461AC"/>
    <w:rsid w:val="002473EE"/>
    <w:rsid w:val="002475BC"/>
    <w:rsid w:val="002502E0"/>
    <w:rsid w:val="002502EF"/>
    <w:rsid w:val="00250E06"/>
    <w:rsid w:val="00252BD7"/>
    <w:rsid w:val="0025356A"/>
    <w:rsid w:val="00253E0B"/>
    <w:rsid w:val="002543DF"/>
    <w:rsid w:val="002550E9"/>
    <w:rsid w:val="00256D40"/>
    <w:rsid w:val="0025722E"/>
    <w:rsid w:val="002578D6"/>
    <w:rsid w:val="002600A9"/>
    <w:rsid w:val="00260466"/>
    <w:rsid w:val="002627BA"/>
    <w:rsid w:val="00262C0A"/>
    <w:rsid w:val="0026620C"/>
    <w:rsid w:val="00266915"/>
    <w:rsid w:val="00267830"/>
    <w:rsid w:val="002728DE"/>
    <w:rsid w:val="00273325"/>
    <w:rsid w:val="0027346F"/>
    <w:rsid w:val="002739CE"/>
    <w:rsid w:val="002742EF"/>
    <w:rsid w:val="00274BA8"/>
    <w:rsid w:val="00275863"/>
    <w:rsid w:val="00276BAA"/>
    <w:rsid w:val="00277F32"/>
    <w:rsid w:val="0028006B"/>
    <w:rsid w:val="0028033C"/>
    <w:rsid w:val="002819AA"/>
    <w:rsid w:val="00281EFE"/>
    <w:rsid w:val="002821D5"/>
    <w:rsid w:val="00283532"/>
    <w:rsid w:val="00286DB5"/>
    <w:rsid w:val="002875B7"/>
    <w:rsid w:val="002901C1"/>
    <w:rsid w:val="0029330A"/>
    <w:rsid w:val="00294E3C"/>
    <w:rsid w:val="00295280"/>
    <w:rsid w:val="00296633"/>
    <w:rsid w:val="0029725C"/>
    <w:rsid w:val="002A00F5"/>
    <w:rsid w:val="002A010F"/>
    <w:rsid w:val="002A0424"/>
    <w:rsid w:val="002A237B"/>
    <w:rsid w:val="002A254F"/>
    <w:rsid w:val="002A43F0"/>
    <w:rsid w:val="002A455A"/>
    <w:rsid w:val="002A4859"/>
    <w:rsid w:val="002A4ACA"/>
    <w:rsid w:val="002A5A99"/>
    <w:rsid w:val="002B1F61"/>
    <w:rsid w:val="002B2136"/>
    <w:rsid w:val="002B2619"/>
    <w:rsid w:val="002B381D"/>
    <w:rsid w:val="002B391D"/>
    <w:rsid w:val="002B3AEF"/>
    <w:rsid w:val="002B5D65"/>
    <w:rsid w:val="002B618E"/>
    <w:rsid w:val="002B6CC2"/>
    <w:rsid w:val="002C0C38"/>
    <w:rsid w:val="002C15AF"/>
    <w:rsid w:val="002C1799"/>
    <w:rsid w:val="002C648B"/>
    <w:rsid w:val="002C6E2E"/>
    <w:rsid w:val="002C6F4E"/>
    <w:rsid w:val="002C7AB9"/>
    <w:rsid w:val="002C7D3E"/>
    <w:rsid w:val="002C7FF6"/>
    <w:rsid w:val="002D0AF6"/>
    <w:rsid w:val="002D1B39"/>
    <w:rsid w:val="002D23D4"/>
    <w:rsid w:val="002D592D"/>
    <w:rsid w:val="002D5D45"/>
    <w:rsid w:val="002D5F78"/>
    <w:rsid w:val="002D6BFA"/>
    <w:rsid w:val="002D7FDB"/>
    <w:rsid w:val="002E06E3"/>
    <w:rsid w:val="002E06EB"/>
    <w:rsid w:val="002E3F4A"/>
    <w:rsid w:val="002E43CC"/>
    <w:rsid w:val="002E441F"/>
    <w:rsid w:val="002E453E"/>
    <w:rsid w:val="002E4765"/>
    <w:rsid w:val="002E4E20"/>
    <w:rsid w:val="002E5165"/>
    <w:rsid w:val="002E53F5"/>
    <w:rsid w:val="002E5D82"/>
    <w:rsid w:val="002E6BE1"/>
    <w:rsid w:val="002E782F"/>
    <w:rsid w:val="002E7897"/>
    <w:rsid w:val="002E7F28"/>
    <w:rsid w:val="002F00C9"/>
    <w:rsid w:val="002F0421"/>
    <w:rsid w:val="002F0EBE"/>
    <w:rsid w:val="002F1339"/>
    <w:rsid w:val="002F189A"/>
    <w:rsid w:val="002F1E58"/>
    <w:rsid w:val="002F26A4"/>
    <w:rsid w:val="002F2E6B"/>
    <w:rsid w:val="002F2F65"/>
    <w:rsid w:val="002F33DC"/>
    <w:rsid w:val="002F42BE"/>
    <w:rsid w:val="002F6212"/>
    <w:rsid w:val="002F632C"/>
    <w:rsid w:val="002F6D63"/>
    <w:rsid w:val="002F78D3"/>
    <w:rsid w:val="003000BF"/>
    <w:rsid w:val="003016C4"/>
    <w:rsid w:val="00303296"/>
    <w:rsid w:val="00306FBF"/>
    <w:rsid w:val="00307AF8"/>
    <w:rsid w:val="00311391"/>
    <w:rsid w:val="0031301A"/>
    <w:rsid w:val="0031478A"/>
    <w:rsid w:val="003168CE"/>
    <w:rsid w:val="00317F96"/>
    <w:rsid w:val="00320250"/>
    <w:rsid w:val="00320AFE"/>
    <w:rsid w:val="00320F07"/>
    <w:rsid w:val="00321554"/>
    <w:rsid w:val="003215A3"/>
    <w:rsid w:val="00321A43"/>
    <w:rsid w:val="00322B07"/>
    <w:rsid w:val="0032308F"/>
    <w:rsid w:val="00324459"/>
    <w:rsid w:val="003258D6"/>
    <w:rsid w:val="00325A6C"/>
    <w:rsid w:val="00326D65"/>
    <w:rsid w:val="00333BA6"/>
    <w:rsid w:val="003340FB"/>
    <w:rsid w:val="00334926"/>
    <w:rsid w:val="00335095"/>
    <w:rsid w:val="0033542C"/>
    <w:rsid w:val="00336254"/>
    <w:rsid w:val="003366ED"/>
    <w:rsid w:val="00336760"/>
    <w:rsid w:val="0033764D"/>
    <w:rsid w:val="0034071C"/>
    <w:rsid w:val="003407D1"/>
    <w:rsid w:val="00341AE8"/>
    <w:rsid w:val="00341FEC"/>
    <w:rsid w:val="003426EA"/>
    <w:rsid w:val="00342826"/>
    <w:rsid w:val="0034321B"/>
    <w:rsid w:val="00344D53"/>
    <w:rsid w:val="00344FE4"/>
    <w:rsid w:val="00351B89"/>
    <w:rsid w:val="00352490"/>
    <w:rsid w:val="00352537"/>
    <w:rsid w:val="00352D26"/>
    <w:rsid w:val="003533CA"/>
    <w:rsid w:val="00354394"/>
    <w:rsid w:val="0035493A"/>
    <w:rsid w:val="00354A72"/>
    <w:rsid w:val="00360759"/>
    <w:rsid w:val="00361C7E"/>
    <w:rsid w:val="00365CB8"/>
    <w:rsid w:val="003669CC"/>
    <w:rsid w:val="0037074E"/>
    <w:rsid w:val="0037195B"/>
    <w:rsid w:val="00372153"/>
    <w:rsid w:val="00373F8D"/>
    <w:rsid w:val="00374216"/>
    <w:rsid w:val="00374C2D"/>
    <w:rsid w:val="0037593D"/>
    <w:rsid w:val="00380E64"/>
    <w:rsid w:val="00381DBE"/>
    <w:rsid w:val="003827D6"/>
    <w:rsid w:val="003843E2"/>
    <w:rsid w:val="00384772"/>
    <w:rsid w:val="00384AED"/>
    <w:rsid w:val="00387729"/>
    <w:rsid w:val="003904DC"/>
    <w:rsid w:val="0039063B"/>
    <w:rsid w:val="003911E4"/>
    <w:rsid w:val="00391557"/>
    <w:rsid w:val="00391A5B"/>
    <w:rsid w:val="003958D9"/>
    <w:rsid w:val="003A1161"/>
    <w:rsid w:val="003A19A5"/>
    <w:rsid w:val="003A2034"/>
    <w:rsid w:val="003A269C"/>
    <w:rsid w:val="003A309B"/>
    <w:rsid w:val="003A447E"/>
    <w:rsid w:val="003A65B0"/>
    <w:rsid w:val="003A6A3B"/>
    <w:rsid w:val="003A79AE"/>
    <w:rsid w:val="003B09AD"/>
    <w:rsid w:val="003B0AAE"/>
    <w:rsid w:val="003B0E35"/>
    <w:rsid w:val="003B12B7"/>
    <w:rsid w:val="003B1682"/>
    <w:rsid w:val="003B1937"/>
    <w:rsid w:val="003B1F87"/>
    <w:rsid w:val="003B3DB0"/>
    <w:rsid w:val="003B4BC0"/>
    <w:rsid w:val="003B5495"/>
    <w:rsid w:val="003B6150"/>
    <w:rsid w:val="003B660D"/>
    <w:rsid w:val="003B74E4"/>
    <w:rsid w:val="003C03EB"/>
    <w:rsid w:val="003C0A77"/>
    <w:rsid w:val="003C142B"/>
    <w:rsid w:val="003C1F90"/>
    <w:rsid w:val="003C2311"/>
    <w:rsid w:val="003C36AB"/>
    <w:rsid w:val="003C4A69"/>
    <w:rsid w:val="003C6FF8"/>
    <w:rsid w:val="003C7794"/>
    <w:rsid w:val="003D0D26"/>
    <w:rsid w:val="003D0DE6"/>
    <w:rsid w:val="003D256B"/>
    <w:rsid w:val="003D4283"/>
    <w:rsid w:val="003D4709"/>
    <w:rsid w:val="003D5BF3"/>
    <w:rsid w:val="003D6219"/>
    <w:rsid w:val="003D6FA8"/>
    <w:rsid w:val="003D78E7"/>
    <w:rsid w:val="003E022B"/>
    <w:rsid w:val="003E0DA6"/>
    <w:rsid w:val="003E1F3D"/>
    <w:rsid w:val="003E269D"/>
    <w:rsid w:val="003E2B20"/>
    <w:rsid w:val="003F1027"/>
    <w:rsid w:val="003F4CA2"/>
    <w:rsid w:val="003F605B"/>
    <w:rsid w:val="003F6CA9"/>
    <w:rsid w:val="003F7762"/>
    <w:rsid w:val="0040086E"/>
    <w:rsid w:val="004008C7"/>
    <w:rsid w:val="004011BA"/>
    <w:rsid w:val="004016AC"/>
    <w:rsid w:val="004028C2"/>
    <w:rsid w:val="00403823"/>
    <w:rsid w:val="00403AB5"/>
    <w:rsid w:val="00404731"/>
    <w:rsid w:val="004053D4"/>
    <w:rsid w:val="004112FC"/>
    <w:rsid w:val="004115B6"/>
    <w:rsid w:val="00413868"/>
    <w:rsid w:val="00413F6B"/>
    <w:rsid w:val="00414BA7"/>
    <w:rsid w:val="00415126"/>
    <w:rsid w:val="004152D6"/>
    <w:rsid w:val="004156DE"/>
    <w:rsid w:val="004164B0"/>
    <w:rsid w:val="00417A6F"/>
    <w:rsid w:val="00417BFF"/>
    <w:rsid w:val="0042014B"/>
    <w:rsid w:val="004205EF"/>
    <w:rsid w:val="00421306"/>
    <w:rsid w:val="00422328"/>
    <w:rsid w:val="00422BB7"/>
    <w:rsid w:val="004230D4"/>
    <w:rsid w:val="00423CCC"/>
    <w:rsid w:val="00424D3E"/>
    <w:rsid w:val="0042557B"/>
    <w:rsid w:val="004273A3"/>
    <w:rsid w:val="00430731"/>
    <w:rsid w:val="004318DC"/>
    <w:rsid w:val="004347C9"/>
    <w:rsid w:val="004349ED"/>
    <w:rsid w:val="004353C2"/>
    <w:rsid w:val="004354C1"/>
    <w:rsid w:val="00436DF5"/>
    <w:rsid w:val="00440231"/>
    <w:rsid w:val="004405E7"/>
    <w:rsid w:val="00440E22"/>
    <w:rsid w:val="00440F44"/>
    <w:rsid w:val="004417DA"/>
    <w:rsid w:val="00442188"/>
    <w:rsid w:val="00444122"/>
    <w:rsid w:val="004456CC"/>
    <w:rsid w:val="00445CDC"/>
    <w:rsid w:val="00445D51"/>
    <w:rsid w:val="00450702"/>
    <w:rsid w:val="00450FF8"/>
    <w:rsid w:val="0045192A"/>
    <w:rsid w:val="004533ED"/>
    <w:rsid w:val="004552A2"/>
    <w:rsid w:val="004563E5"/>
    <w:rsid w:val="00456D91"/>
    <w:rsid w:val="00461C8E"/>
    <w:rsid w:val="00463175"/>
    <w:rsid w:val="004640D1"/>
    <w:rsid w:val="0046717F"/>
    <w:rsid w:val="00467677"/>
    <w:rsid w:val="0047036B"/>
    <w:rsid w:val="00470721"/>
    <w:rsid w:val="00470B99"/>
    <w:rsid w:val="00472115"/>
    <w:rsid w:val="00472119"/>
    <w:rsid w:val="00475C39"/>
    <w:rsid w:val="0047785C"/>
    <w:rsid w:val="004803E5"/>
    <w:rsid w:val="00480AB0"/>
    <w:rsid w:val="00482A22"/>
    <w:rsid w:val="00483942"/>
    <w:rsid w:val="00484068"/>
    <w:rsid w:val="00486626"/>
    <w:rsid w:val="00487B19"/>
    <w:rsid w:val="00487B39"/>
    <w:rsid w:val="00487F0F"/>
    <w:rsid w:val="0049414B"/>
    <w:rsid w:val="004952B5"/>
    <w:rsid w:val="00496D82"/>
    <w:rsid w:val="004977DE"/>
    <w:rsid w:val="004A1760"/>
    <w:rsid w:val="004A2115"/>
    <w:rsid w:val="004A2F6F"/>
    <w:rsid w:val="004A431F"/>
    <w:rsid w:val="004A633B"/>
    <w:rsid w:val="004B10F5"/>
    <w:rsid w:val="004B249E"/>
    <w:rsid w:val="004B26EB"/>
    <w:rsid w:val="004B48AF"/>
    <w:rsid w:val="004B50BC"/>
    <w:rsid w:val="004B6187"/>
    <w:rsid w:val="004B7FFA"/>
    <w:rsid w:val="004C0182"/>
    <w:rsid w:val="004C03D5"/>
    <w:rsid w:val="004C0FF9"/>
    <w:rsid w:val="004C10D5"/>
    <w:rsid w:val="004C21BB"/>
    <w:rsid w:val="004C227C"/>
    <w:rsid w:val="004C2EB3"/>
    <w:rsid w:val="004C3CC3"/>
    <w:rsid w:val="004C4418"/>
    <w:rsid w:val="004C5006"/>
    <w:rsid w:val="004C625A"/>
    <w:rsid w:val="004C64D9"/>
    <w:rsid w:val="004C697F"/>
    <w:rsid w:val="004D156D"/>
    <w:rsid w:val="004D16E1"/>
    <w:rsid w:val="004D43D2"/>
    <w:rsid w:val="004D652E"/>
    <w:rsid w:val="004D7694"/>
    <w:rsid w:val="004E0529"/>
    <w:rsid w:val="004E0CAD"/>
    <w:rsid w:val="004E1EBB"/>
    <w:rsid w:val="004E2CE7"/>
    <w:rsid w:val="004E3959"/>
    <w:rsid w:val="004E51BB"/>
    <w:rsid w:val="004E5334"/>
    <w:rsid w:val="004E5EA3"/>
    <w:rsid w:val="004E6463"/>
    <w:rsid w:val="004E6BE0"/>
    <w:rsid w:val="004E7F7D"/>
    <w:rsid w:val="004E7FE0"/>
    <w:rsid w:val="004F0DFD"/>
    <w:rsid w:val="004F112A"/>
    <w:rsid w:val="004F1B89"/>
    <w:rsid w:val="004F3B07"/>
    <w:rsid w:val="004F42DC"/>
    <w:rsid w:val="004F5EE0"/>
    <w:rsid w:val="004F6903"/>
    <w:rsid w:val="004F6CE4"/>
    <w:rsid w:val="004F7B56"/>
    <w:rsid w:val="00503CE3"/>
    <w:rsid w:val="0050428E"/>
    <w:rsid w:val="0050452D"/>
    <w:rsid w:val="00504DF8"/>
    <w:rsid w:val="0050636F"/>
    <w:rsid w:val="0050797F"/>
    <w:rsid w:val="00510952"/>
    <w:rsid w:val="00512224"/>
    <w:rsid w:val="00514E50"/>
    <w:rsid w:val="005157DB"/>
    <w:rsid w:val="00516015"/>
    <w:rsid w:val="00516E0E"/>
    <w:rsid w:val="00517BBB"/>
    <w:rsid w:val="00520B88"/>
    <w:rsid w:val="005223FD"/>
    <w:rsid w:val="00523D04"/>
    <w:rsid w:val="005242D2"/>
    <w:rsid w:val="00525303"/>
    <w:rsid w:val="00526A7D"/>
    <w:rsid w:val="00527304"/>
    <w:rsid w:val="0053023E"/>
    <w:rsid w:val="0053137B"/>
    <w:rsid w:val="00531E4C"/>
    <w:rsid w:val="00532044"/>
    <w:rsid w:val="00532423"/>
    <w:rsid w:val="00532695"/>
    <w:rsid w:val="00532BFB"/>
    <w:rsid w:val="00533BFA"/>
    <w:rsid w:val="00533E29"/>
    <w:rsid w:val="0053447C"/>
    <w:rsid w:val="0053551A"/>
    <w:rsid w:val="00535B95"/>
    <w:rsid w:val="005365E0"/>
    <w:rsid w:val="00537803"/>
    <w:rsid w:val="00542479"/>
    <w:rsid w:val="00543AEF"/>
    <w:rsid w:val="00544362"/>
    <w:rsid w:val="005449A1"/>
    <w:rsid w:val="00545666"/>
    <w:rsid w:val="00547B86"/>
    <w:rsid w:val="00547BBF"/>
    <w:rsid w:val="00547CA9"/>
    <w:rsid w:val="00550256"/>
    <w:rsid w:val="0055055C"/>
    <w:rsid w:val="005513EE"/>
    <w:rsid w:val="00552EE3"/>
    <w:rsid w:val="00553F2C"/>
    <w:rsid w:val="0055577C"/>
    <w:rsid w:val="00557D15"/>
    <w:rsid w:val="00560034"/>
    <w:rsid w:val="00560171"/>
    <w:rsid w:val="00560488"/>
    <w:rsid w:val="0056075A"/>
    <w:rsid w:val="00560BE3"/>
    <w:rsid w:val="0056179B"/>
    <w:rsid w:val="005634B4"/>
    <w:rsid w:val="0056448B"/>
    <w:rsid w:val="00564DAD"/>
    <w:rsid w:val="00565F92"/>
    <w:rsid w:val="00571267"/>
    <w:rsid w:val="00571E75"/>
    <w:rsid w:val="00573408"/>
    <w:rsid w:val="00573A1E"/>
    <w:rsid w:val="00573E0F"/>
    <w:rsid w:val="0057593D"/>
    <w:rsid w:val="00576ED0"/>
    <w:rsid w:val="00576F0D"/>
    <w:rsid w:val="00577C3C"/>
    <w:rsid w:val="00580BDF"/>
    <w:rsid w:val="00581562"/>
    <w:rsid w:val="00583EC7"/>
    <w:rsid w:val="00586A08"/>
    <w:rsid w:val="00586C72"/>
    <w:rsid w:val="005871AD"/>
    <w:rsid w:val="00587C8F"/>
    <w:rsid w:val="00592A98"/>
    <w:rsid w:val="00593217"/>
    <w:rsid w:val="0059367E"/>
    <w:rsid w:val="00593799"/>
    <w:rsid w:val="00593E8E"/>
    <w:rsid w:val="005959F9"/>
    <w:rsid w:val="00596AD2"/>
    <w:rsid w:val="00597798"/>
    <w:rsid w:val="005978D3"/>
    <w:rsid w:val="005A0D15"/>
    <w:rsid w:val="005A0FD6"/>
    <w:rsid w:val="005A18D7"/>
    <w:rsid w:val="005A2A86"/>
    <w:rsid w:val="005A4466"/>
    <w:rsid w:val="005A5392"/>
    <w:rsid w:val="005A540F"/>
    <w:rsid w:val="005A6891"/>
    <w:rsid w:val="005A6A2D"/>
    <w:rsid w:val="005B01F3"/>
    <w:rsid w:val="005B10D9"/>
    <w:rsid w:val="005B3729"/>
    <w:rsid w:val="005B382E"/>
    <w:rsid w:val="005B3C24"/>
    <w:rsid w:val="005B5ADE"/>
    <w:rsid w:val="005C154E"/>
    <w:rsid w:val="005C2957"/>
    <w:rsid w:val="005C295C"/>
    <w:rsid w:val="005C31A0"/>
    <w:rsid w:val="005C35BE"/>
    <w:rsid w:val="005C4952"/>
    <w:rsid w:val="005C55E9"/>
    <w:rsid w:val="005C63F7"/>
    <w:rsid w:val="005C6A3A"/>
    <w:rsid w:val="005C74C9"/>
    <w:rsid w:val="005D0EE2"/>
    <w:rsid w:val="005D1B2A"/>
    <w:rsid w:val="005D2355"/>
    <w:rsid w:val="005D2565"/>
    <w:rsid w:val="005D27FE"/>
    <w:rsid w:val="005D6CD2"/>
    <w:rsid w:val="005D6E23"/>
    <w:rsid w:val="005E11FC"/>
    <w:rsid w:val="005E16F9"/>
    <w:rsid w:val="005E28FB"/>
    <w:rsid w:val="005E5036"/>
    <w:rsid w:val="005E5130"/>
    <w:rsid w:val="005E5CD6"/>
    <w:rsid w:val="005E5E9E"/>
    <w:rsid w:val="005E6294"/>
    <w:rsid w:val="005E6A30"/>
    <w:rsid w:val="005E6AC1"/>
    <w:rsid w:val="005E6D8B"/>
    <w:rsid w:val="005E7C51"/>
    <w:rsid w:val="005E7C87"/>
    <w:rsid w:val="005F1009"/>
    <w:rsid w:val="005F1298"/>
    <w:rsid w:val="005F21D1"/>
    <w:rsid w:val="005F3F83"/>
    <w:rsid w:val="005F5ACC"/>
    <w:rsid w:val="005F5D62"/>
    <w:rsid w:val="005F6288"/>
    <w:rsid w:val="005F69CC"/>
    <w:rsid w:val="005F6BF4"/>
    <w:rsid w:val="005F76B2"/>
    <w:rsid w:val="006004B0"/>
    <w:rsid w:val="00603FF6"/>
    <w:rsid w:val="00605DDD"/>
    <w:rsid w:val="00605E06"/>
    <w:rsid w:val="00607663"/>
    <w:rsid w:val="006104D6"/>
    <w:rsid w:val="006109E9"/>
    <w:rsid w:val="00610C4C"/>
    <w:rsid w:val="00610CFE"/>
    <w:rsid w:val="00611D83"/>
    <w:rsid w:val="00611ED6"/>
    <w:rsid w:val="00613278"/>
    <w:rsid w:val="00613867"/>
    <w:rsid w:val="006144AD"/>
    <w:rsid w:val="0061556B"/>
    <w:rsid w:val="00615891"/>
    <w:rsid w:val="00617B32"/>
    <w:rsid w:val="0062031D"/>
    <w:rsid w:val="006221FB"/>
    <w:rsid w:val="006231E7"/>
    <w:rsid w:val="0062389F"/>
    <w:rsid w:val="006244DA"/>
    <w:rsid w:val="00624732"/>
    <w:rsid w:val="0062473C"/>
    <w:rsid w:val="00624DFC"/>
    <w:rsid w:val="00625A8B"/>
    <w:rsid w:val="00626794"/>
    <w:rsid w:val="00632D4C"/>
    <w:rsid w:val="00634850"/>
    <w:rsid w:val="00635D66"/>
    <w:rsid w:val="00636F27"/>
    <w:rsid w:val="00637A0C"/>
    <w:rsid w:val="00640940"/>
    <w:rsid w:val="00640AF8"/>
    <w:rsid w:val="00640DAD"/>
    <w:rsid w:val="00640F10"/>
    <w:rsid w:val="0064190A"/>
    <w:rsid w:val="00642741"/>
    <w:rsid w:val="00642DBA"/>
    <w:rsid w:val="00643152"/>
    <w:rsid w:val="00645B3C"/>
    <w:rsid w:val="00646310"/>
    <w:rsid w:val="00650891"/>
    <w:rsid w:val="00651D96"/>
    <w:rsid w:val="00652BFE"/>
    <w:rsid w:val="0065466F"/>
    <w:rsid w:val="006546AC"/>
    <w:rsid w:val="00655B53"/>
    <w:rsid w:val="00656146"/>
    <w:rsid w:val="00662536"/>
    <w:rsid w:val="00662F2D"/>
    <w:rsid w:val="006663BD"/>
    <w:rsid w:val="00670210"/>
    <w:rsid w:val="006712B7"/>
    <w:rsid w:val="00672037"/>
    <w:rsid w:val="006724CC"/>
    <w:rsid w:val="0067269C"/>
    <w:rsid w:val="00672C48"/>
    <w:rsid w:val="00674463"/>
    <w:rsid w:val="006754D2"/>
    <w:rsid w:val="00683B8D"/>
    <w:rsid w:val="00683D7C"/>
    <w:rsid w:val="0068496A"/>
    <w:rsid w:val="006859F7"/>
    <w:rsid w:val="0069019B"/>
    <w:rsid w:val="00690924"/>
    <w:rsid w:val="00690B97"/>
    <w:rsid w:val="00693363"/>
    <w:rsid w:val="00693D92"/>
    <w:rsid w:val="0069518F"/>
    <w:rsid w:val="00696A94"/>
    <w:rsid w:val="00697A4F"/>
    <w:rsid w:val="00697B47"/>
    <w:rsid w:val="006A386A"/>
    <w:rsid w:val="006A41AF"/>
    <w:rsid w:val="006A5E3E"/>
    <w:rsid w:val="006A6A6A"/>
    <w:rsid w:val="006A797E"/>
    <w:rsid w:val="006B0C72"/>
    <w:rsid w:val="006B3458"/>
    <w:rsid w:val="006B4380"/>
    <w:rsid w:val="006B473B"/>
    <w:rsid w:val="006B4894"/>
    <w:rsid w:val="006B7D84"/>
    <w:rsid w:val="006B7FC7"/>
    <w:rsid w:val="006C0E6A"/>
    <w:rsid w:val="006C1B88"/>
    <w:rsid w:val="006C25E3"/>
    <w:rsid w:val="006C38AD"/>
    <w:rsid w:val="006C5B2C"/>
    <w:rsid w:val="006C6199"/>
    <w:rsid w:val="006C6881"/>
    <w:rsid w:val="006C6B74"/>
    <w:rsid w:val="006D04B0"/>
    <w:rsid w:val="006D09EF"/>
    <w:rsid w:val="006D2DE2"/>
    <w:rsid w:val="006D4B39"/>
    <w:rsid w:val="006D4D41"/>
    <w:rsid w:val="006D76A1"/>
    <w:rsid w:val="006E1D11"/>
    <w:rsid w:val="006E35F7"/>
    <w:rsid w:val="006E3D10"/>
    <w:rsid w:val="006E5D29"/>
    <w:rsid w:val="006E6527"/>
    <w:rsid w:val="006E75D6"/>
    <w:rsid w:val="006F050F"/>
    <w:rsid w:val="006F0AC9"/>
    <w:rsid w:val="006F2940"/>
    <w:rsid w:val="006F29DB"/>
    <w:rsid w:val="006F2CC8"/>
    <w:rsid w:val="006F3537"/>
    <w:rsid w:val="006F3F1B"/>
    <w:rsid w:val="006F4D0F"/>
    <w:rsid w:val="006F513F"/>
    <w:rsid w:val="006F6450"/>
    <w:rsid w:val="006F73DA"/>
    <w:rsid w:val="006F7A9C"/>
    <w:rsid w:val="007001A0"/>
    <w:rsid w:val="007005CD"/>
    <w:rsid w:val="00700FA0"/>
    <w:rsid w:val="00702433"/>
    <w:rsid w:val="00703286"/>
    <w:rsid w:val="00703EBF"/>
    <w:rsid w:val="00703F75"/>
    <w:rsid w:val="007055B2"/>
    <w:rsid w:val="007069EB"/>
    <w:rsid w:val="007073BB"/>
    <w:rsid w:val="00711A62"/>
    <w:rsid w:val="00711F90"/>
    <w:rsid w:val="00712ED5"/>
    <w:rsid w:val="00713E58"/>
    <w:rsid w:val="0071471E"/>
    <w:rsid w:val="00715D46"/>
    <w:rsid w:val="007162A5"/>
    <w:rsid w:val="007175AF"/>
    <w:rsid w:val="0071762D"/>
    <w:rsid w:val="00720054"/>
    <w:rsid w:val="00721BBA"/>
    <w:rsid w:val="007224A3"/>
    <w:rsid w:val="00722790"/>
    <w:rsid w:val="007229BD"/>
    <w:rsid w:val="007231E9"/>
    <w:rsid w:val="00723650"/>
    <w:rsid w:val="00723C59"/>
    <w:rsid w:val="00725BC0"/>
    <w:rsid w:val="00726797"/>
    <w:rsid w:val="00726CB4"/>
    <w:rsid w:val="00727A96"/>
    <w:rsid w:val="00730329"/>
    <w:rsid w:val="00730C5E"/>
    <w:rsid w:val="007320EE"/>
    <w:rsid w:val="00733700"/>
    <w:rsid w:val="007360B9"/>
    <w:rsid w:val="00740005"/>
    <w:rsid w:val="0074020C"/>
    <w:rsid w:val="007402DD"/>
    <w:rsid w:val="00740DF8"/>
    <w:rsid w:val="007447F2"/>
    <w:rsid w:val="00744A2C"/>
    <w:rsid w:val="00745F92"/>
    <w:rsid w:val="007471C7"/>
    <w:rsid w:val="0074760C"/>
    <w:rsid w:val="00750F7C"/>
    <w:rsid w:val="00751B9F"/>
    <w:rsid w:val="00752DDE"/>
    <w:rsid w:val="00753381"/>
    <w:rsid w:val="007536E0"/>
    <w:rsid w:val="0075427A"/>
    <w:rsid w:val="007546B4"/>
    <w:rsid w:val="00756AB3"/>
    <w:rsid w:val="00761372"/>
    <w:rsid w:val="0076304F"/>
    <w:rsid w:val="00764BCB"/>
    <w:rsid w:val="007700B7"/>
    <w:rsid w:val="00770B35"/>
    <w:rsid w:val="00773899"/>
    <w:rsid w:val="00775361"/>
    <w:rsid w:val="00780473"/>
    <w:rsid w:val="0078394E"/>
    <w:rsid w:val="00784200"/>
    <w:rsid w:val="00784B86"/>
    <w:rsid w:val="00786AF7"/>
    <w:rsid w:val="00787456"/>
    <w:rsid w:val="007907E5"/>
    <w:rsid w:val="00791216"/>
    <w:rsid w:val="00791333"/>
    <w:rsid w:val="007929AA"/>
    <w:rsid w:val="00792CEB"/>
    <w:rsid w:val="00795D7B"/>
    <w:rsid w:val="00797654"/>
    <w:rsid w:val="007A0878"/>
    <w:rsid w:val="007A0AE5"/>
    <w:rsid w:val="007A3E56"/>
    <w:rsid w:val="007A4CEE"/>
    <w:rsid w:val="007A5771"/>
    <w:rsid w:val="007A5B86"/>
    <w:rsid w:val="007A69C1"/>
    <w:rsid w:val="007A69E2"/>
    <w:rsid w:val="007B0238"/>
    <w:rsid w:val="007B1879"/>
    <w:rsid w:val="007B2559"/>
    <w:rsid w:val="007B3B54"/>
    <w:rsid w:val="007B3BE2"/>
    <w:rsid w:val="007B5566"/>
    <w:rsid w:val="007B6A76"/>
    <w:rsid w:val="007B711A"/>
    <w:rsid w:val="007B7A80"/>
    <w:rsid w:val="007C0079"/>
    <w:rsid w:val="007C1298"/>
    <w:rsid w:val="007C19DA"/>
    <w:rsid w:val="007C3F49"/>
    <w:rsid w:val="007C434F"/>
    <w:rsid w:val="007C5B64"/>
    <w:rsid w:val="007C6018"/>
    <w:rsid w:val="007C65D4"/>
    <w:rsid w:val="007C67CD"/>
    <w:rsid w:val="007C6F7F"/>
    <w:rsid w:val="007D0647"/>
    <w:rsid w:val="007D0E21"/>
    <w:rsid w:val="007D14FC"/>
    <w:rsid w:val="007D17B7"/>
    <w:rsid w:val="007D1EFA"/>
    <w:rsid w:val="007D351E"/>
    <w:rsid w:val="007D4CA2"/>
    <w:rsid w:val="007D532E"/>
    <w:rsid w:val="007D608A"/>
    <w:rsid w:val="007D7069"/>
    <w:rsid w:val="007E10A8"/>
    <w:rsid w:val="007E242D"/>
    <w:rsid w:val="007E257F"/>
    <w:rsid w:val="007E2634"/>
    <w:rsid w:val="007E3B51"/>
    <w:rsid w:val="007E3F1C"/>
    <w:rsid w:val="007E63CA"/>
    <w:rsid w:val="007E68E9"/>
    <w:rsid w:val="007E7452"/>
    <w:rsid w:val="007E7B91"/>
    <w:rsid w:val="007F0BC0"/>
    <w:rsid w:val="007F33DA"/>
    <w:rsid w:val="007F3567"/>
    <w:rsid w:val="007F4236"/>
    <w:rsid w:val="007F4404"/>
    <w:rsid w:val="007F44BE"/>
    <w:rsid w:val="007F46BC"/>
    <w:rsid w:val="007F4C48"/>
    <w:rsid w:val="007F5E51"/>
    <w:rsid w:val="00801181"/>
    <w:rsid w:val="00802108"/>
    <w:rsid w:val="008021B1"/>
    <w:rsid w:val="00802A51"/>
    <w:rsid w:val="00802CA7"/>
    <w:rsid w:val="00803022"/>
    <w:rsid w:val="0080489A"/>
    <w:rsid w:val="00804BE3"/>
    <w:rsid w:val="00806377"/>
    <w:rsid w:val="008068DD"/>
    <w:rsid w:val="00806EFF"/>
    <w:rsid w:val="00807B1B"/>
    <w:rsid w:val="00812636"/>
    <w:rsid w:val="0081422F"/>
    <w:rsid w:val="0081460A"/>
    <w:rsid w:val="00815118"/>
    <w:rsid w:val="0081784D"/>
    <w:rsid w:val="0082056F"/>
    <w:rsid w:val="00821537"/>
    <w:rsid w:val="008222D0"/>
    <w:rsid w:val="008258CA"/>
    <w:rsid w:val="00825C08"/>
    <w:rsid w:val="0082637C"/>
    <w:rsid w:val="00826A1C"/>
    <w:rsid w:val="00827AAF"/>
    <w:rsid w:val="0083058C"/>
    <w:rsid w:val="0083363C"/>
    <w:rsid w:val="00833A60"/>
    <w:rsid w:val="008344FF"/>
    <w:rsid w:val="00834ACA"/>
    <w:rsid w:val="00834B1C"/>
    <w:rsid w:val="008354D5"/>
    <w:rsid w:val="00835DE7"/>
    <w:rsid w:val="00836304"/>
    <w:rsid w:val="0083631A"/>
    <w:rsid w:val="00836C73"/>
    <w:rsid w:val="00837A98"/>
    <w:rsid w:val="0084044C"/>
    <w:rsid w:val="00840E08"/>
    <w:rsid w:val="0084309B"/>
    <w:rsid w:val="0084540A"/>
    <w:rsid w:val="00846097"/>
    <w:rsid w:val="008474A2"/>
    <w:rsid w:val="00850F11"/>
    <w:rsid w:val="00852059"/>
    <w:rsid w:val="00852273"/>
    <w:rsid w:val="00852A83"/>
    <w:rsid w:val="00852CAE"/>
    <w:rsid w:val="00853473"/>
    <w:rsid w:val="00853B8B"/>
    <w:rsid w:val="00853E1F"/>
    <w:rsid w:val="00854D3E"/>
    <w:rsid w:val="00854F65"/>
    <w:rsid w:val="00861262"/>
    <w:rsid w:val="00861D20"/>
    <w:rsid w:val="008622E4"/>
    <w:rsid w:val="00865F30"/>
    <w:rsid w:val="00867A12"/>
    <w:rsid w:val="00870812"/>
    <w:rsid w:val="008708CC"/>
    <w:rsid w:val="00870A1B"/>
    <w:rsid w:val="00871BB7"/>
    <w:rsid w:val="00872E19"/>
    <w:rsid w:val="008738C1"/>
    <w:rsid w:val="00874AAE"/>
    <w:rsid w:val="00874C74"/>
    <w:rsid w:val="00875708"/>
    <w:rsid w:val="008759ED"/>
    <w:rsid w:val="00875BF1"/>
    <w:rsid w:val="00875E89"/>
    <w:rsid w:val="00877FD8"/>
    <w:rsid w:val="00881557"/>
    <w:rsid w:val="00881A97"/>
    <w:rsid w:val="00883D46"/>
    <w:rsid w:val="00884122"/>
    <w:rsid w:val="00884504"/>
    <w:rsid w:val="00885F8A"/>
    <w:rsid w:val="00887EB4"/>
    <w:rsid w:val="00890346"/>
    <w:rsid w:val="00891979"/>
    <w:rsid w:val="0089433D"/>
    <w:rsid w:val="008952ED"/>
    <w:rsid w:val="00896DE6"/>
    <w:rsid w:val="008A0BFB"/>
    <w:rsid w:val="008A2027"/>
    <w:rsid w:val="008A2CD6"/>
    <w:rsid w:val="008A343E"/>
    <w:rsid w:val="008A4E4F"/>
    <w:rsid w:val="008A4F95"/>
    <w:rsid w:val="008A5088"/>
    <w:rsid w:val="008A5558"/>
    <w:rsid w:val="008A5590"/>
    <w:rsid w:val="008A58A6"/>
    <w:rsid w:val="008A61F2"/>
    <w:rsid w:val="008A6403"/>
    <w:rsid w:val="008A7C6F"/>
    <w:rsid w:val="008B0D6E"/>
    <w:rsid w:val="008B0EEF"/>
    <w:rsid w:val="008B20CD"/>
    <w:rsid w:val="008B2BD8"/>
    <w:rsid w:val="008B4328"/>
    <w:rsid w:val="008B4B63"/>
    <w:rsid w:val="008B5DAB"/>
    <w:rsid w:val="008B64B9"/>
    <w:rsid w:val="008B72CA"/>
    <w:rsid w:val="008B7312"/>
    <w:rsid w:val="008B7F9F"/>
    <w:rsid w:val="008C0E93"/>
    <w:rsid w:val="008C1818"/>
    <w:rsid w:val="008C1A63"/>
    <w:rsid w:val="008C2AA4"/>
    <w:rsid w:val="008C3057"/>
    <w:rsid w:val="008C38B7"/>
    <w:rsid w:val="008C3EF1"/>
    <w:rsid w:val="008C6958"/>
    <w:rsid w:val="008D05AA"/>
    <w:rsid w:val="008D3CDC"/>
    <w:rsid w:val="008D4CD3"/>
    <w:rsid w:val="008D52D8"/>
    <w:rsid w:val="008D5426"/>
    <w:rsid w:val="008D5815"/>
    <w:rsid w:val="008D6AF3"/>
    <w:rsid w:val="008E1721"/>
    <w:rsid w:val="008E2541"/>
    <w:rsid w:val="008E33BE"/>
    <w:rsid w:val="008E3865"/>
    <w:rsid w:val="008E3CD2"/>
    <w:rsid w:val="008E3D9E"/>
    <w:rsid w:val="008E4E38"/>
    <w:rsid w:val="008E530C"/>
    <w:rsid w:val="008E55FF"/>
    <w:rsid w:val="008F11A3"/>
    <w:rsid w:val="008F2C19"/>
    <w:rsid w:val="008F3744"/>
    <w:rsid w:val="008F39DB"/>
    <w:rsid w:val="008F5913"/>
    <w:rsid w:val="008F7B27"/>
    <w:rsid w:val="008F7F78"/>
    <w:rsid w:val="00900D17"/>
    <w:rsid w:val="0090183B"/>
    <w:rsid w:val="00902544"/>
    <w:rsid w:val="00905A43"/>
    <w:rsid w:val="00905C0A"/>
    <w:rsid w:val="00907060"/>
    <w:rsid w:val="009071F6"/>
    <w:rsid w:val="00907274"/>
    <w:rsid w:val="00907971"/>
    <w:rsid w:val="00910C5A"/>
    <w:rsid w:val="00913188"/>
    <w:rsid w:val="009132E3"/>
    <w:rsid w:val="00913737"/>
    <w:rsid w:val="00913AE0"/>
    <w:rsid w:val="009148AC"/>
    <w:rsid w:val="00914C1D"/>
    <w:rsid w:val="00914E57"/>
    <w:rsid w:val="00916451"/>
    <w:rsid w:val="00916AFA"/>
    <w:rsid w:val="00926BE8"/>
    <w:rsid w:val="00927553"/>
    <w:rsid w:val="00931BD9"/>
    <w:rsid w:val="0093297A"/>
    <w:rsid w:val="009333F1"/>
    <w:rsid w:val="00934CC8"/>
    <w:rsid w:val="0093720E"/>
    <w:rsid w:val="00937832"/>
    <w:rsid w:val="009403B5"/>
    <w:rsid w:val="00940D05"/>
    <w:rsid w:val="0094128A"/>
    <w:rsid w:val="00941339"/>
    <w:rsid w:val="00941F1D"/>
    <w:rsid w:val="00943829"/>
    <w:rsid w:val="009441ED"/>
    <w:rsid w:val="00944508"/>
    <w:rsid w:val="009445FD"/>
    <w:rsid w:val="00945910"/>
    <w:rsid w:val="0094622B"/>
    <w:rsid w:val="00946E17"/>
    <w:rsid w:val="009519E6"/>
    <w:rsid w:val="00951D32"/>
    <w:rsid w:val="00952437"/>
    <w:rsid w:val="00952C60"/>
    <w:rsid w:val="00953093"/>
    <w:rsid w:val="00955AD3"/>
    <w:rsid w:val="00955D1C"/>
    <w:rsid w:val="00960FE0"/>
    <w:rsid w:val="009610D4"/>
    <w:rsid w:val="00961831"/>
    <w:rsid w:val="0096250D"/>
    <w:rsid w:val="00962670"/>
    <w:rsid w:val="00962729"/>
    <w:rsid w:val="00964194"/>
    <w:rsid w:val="00964D25"/>
    <w:rsid w:val="0096506A"/>
    <w:rsid w:val="009650B3"/>
    <w:rsid w:val="00966A2E"/>
    <w:rsid w:val="00966E35"/>
    <w:rsid w:val="00970BBB"/>
    <w:rsid w:val="00971EDC"/>
    <w:rsid w:val="00972E60"/>
    <w:rsid w:val="00973491"/>
    <w:rsid w:val="00973AF4"/>
    <w:rsid w:val="00974929"/>
    <w:rsid w:val="0097721C"/>
    <w:rsid w:val="009807B2"/>
    <w:rsid w:val="009828B2"/>
    <w:rsid w:val="009837F3"/>
    <w:rsid w:val="0098465E"/>
    <w:rsid w:val="00984D7B"/>
    <w:rsid w:val="00986094"/>
    <w:rsid w:val="00986804"/>
    <w:rsid w:val="00990F9E"/>
    <w:rsid w:val="00991453"/>
    <w:rsid w:val="00992BD3"/>
    <w:rsid w:val="009937C0"/>
    <w:rsid w:val="00993BAE"/>
    <w:rsid w:val="00994D73"/>
    <w:rsid w:val="0099546D"/>
    <w:rsid w:val="009960F9"/>
    <w:rsid w:val="0099770C"/>
    <w:rsid w:val="00997A56"/>
    <w:rsid w:val="009A0227"/>
    <w:rsid w:val="009A3853"/>
    <w:rsid w:val="009A40A2"/>
    <w:rsid w:val="009A58E6"/>
    <w:rsid w:val="009A690F"/>
    <w:rsid w:val="009A6D18"/>
    <w:rsid w:val="009A6EB9"/>
    <w:rsid w:val="009A736D"/>
    <w:rsid w:val="009B029F"/>
    <w:rsid w:val="009B0520"/>
    <w:rsid w:val="009B19FF"/>
    <w:rsid w:val="009B3384"/>
    <w:rsid w:val="009B4220"/>
    <w:rsid w:val="009B785D"/>
    <w:rsid w:val="009C2A3C"/>
    <w:rsid w:val="009C3D48"/>
    <w:rsid w:val="009C417A"/>
    <w:rsid w:val="009C4CAC"/>
    <w:rsid w:val="009C5B73"/>
    <w:rsid w:val="009C5B87"/>
    <w:rsid w:val="009C5CA8"/>
    <w:rsid w:val="009D07EF"/>
    <w:rsid w:val="009D1BC4"/>
    <w:rsid w:val="009D23E9"/>
    <w:rsid w:val="009D2BC0"/>
    <w:rsid w:val="009D2F28"/>
    <w:rsid w:val="009D327F"/>
    <w:rsid w:val="009D3731"/>
    <w:rsid w:val="009D3B37"/>
    <w:rsid w:val="009D4BFD"/>
    <w:rsid w:val="009D4E07"/>
    <w:rsid w:val="009D56D7"/>
    <w:rsid w:val="009D7F5D"/>
    <w:rsid w:val="009E04D2"/>
    <w:rsid w:val="009E14F8"/>
    <w:rsid w:val="009E2D2F"/>
    <w:rsid w:val="009E3CBE"/>
    <w:rsid w:val="009E41D3"/>
    <w:rsid w:val="009E4E82"/>
    <w:rsid w:val="009E5E25"/>
    <w:rsid w:val="009E77F2"/>
    <w:rsid w:val="009E7ED0"/>
    <w:rsid w:val="009F1D96"/>
    <w:rsid w:val="009F2FF9"/>
    <w:rsid w:val="009F3DF5"/>
    <w:rsid w:val="009F7CBE"/>
    <w:rsid w:val="00A0156A"/>
    <w:rsid w:val="00A02972"/>
    <w:rsid w:val="00A0493F"/>
    <w:rsid w:val="00A056E7"/>
    <w:rsid w:val="00A05C28"/>
    <w:rsid w:val="00A06C96"/>
    <w:rsid w:val="00A072AE"/>
    <w:rsid w:val="00A07D00"/>
    <w:rsid w:val="00A10889"/>
    <w:rsid w:val="00A109D4"/>
    <w:rsid w:val="00A109FB"/>
    <w:rsid w:val="00A12126"/>
    <w:rsid w:val="00A128AA"/>
    <w:rsid w:val="00A12A25"/>
    <w:rsid w:val="00A12D57"/>
    <w:rsid w:val="00A12D70"/>
    <w:rsid w:val="00A1430A"/>
    <w:rsid w:val="00A14603"/>
    <w:rsid w:val="00A14716"/>
    <w:rsid w:val="00A14A82"/>
    <w:rsid w:val="00A1518E"/>
    <w:rsid w:val="00A1655E"/>
    <w:rsid w:val="00A17BC2"/>
    <w:rsid w:val="00A17C7A"/>
    <w:rsid w:val="00A21469"/>
    <w:rsid w:val="00A21B50"/>
    <w:rsid w:val="00A2215A"/>
    <w:rsid w:val="00A2275D"/>
    <w:rsid w:val="00A22F48"/>
    <w:rsid w:val="00A2336E"/>
    <w:rsid w:val="00A23FA6"/>
    <w:rsid w:val="00A242B9"/>
    <w:rsid w:val="00A256C3"/>
    <w:rsid w:val="00A25AFB"/>
    <w:rsid w:val="00A26CD2"/>
    <w:rsid w:val="00A2771B"/>
    <w:rsid w:val="00A300E2"/>
    <w:rsid w:val="00A31C8A"/>
    <w:rsid w:val="00A33FEA"/>
    <w:rsid w:val="00A36263"/>
    <w:rsid w:val="00A36B6F"/>
    <w:rsid w:val="00A36C35"/>
    <w:rsid w:val="00A36C7B"/>
    <w:rsid w:val="00A37A93"/>
    <w:rsid w:val="00A37F17"/>
    <w:rsid w:val="00A438B7"/>
    <w:rsid w:val="00A44995"/>
    <w:rsid w:val="00A44D65"/>
    <w:rsid w:val="00A45F83"/>
    <w:rsid w:val="00A46220"/>
    <w:rsid w:val="00A463BE"/>
    <w:rsid w:val="00A47D9E"/>
    <w:rsid w:val="00A51C30"/>
    <w:rsid w:val="00A5226D"/>
    <w:rsid w:val="00A5361C"/>
    <w:rsid w:val="00A53730"/>
    <w:rsid w:val="00A54132"/>
    <w:rsid w:val="00A54248"/>
    <w:rsid w:val="00A5704A"/>
    <w:rsid w:val="00A57296"/>
    <w:rsid w:val="00A57687"/>
    <w:rsid w:val="00A57D2F"/>
    <w:rsid w:val="00A61231"/>
    <w:rsid w:val="00A613B8"/>
    <w:rsid w:val="00A617EA"/>
    <w:rsid w:val="00A6297F"/>
    <w:rsid w:val="00A65515"/>
    <w:rsid w:val="00A65942"/>
    <w:rsid w:val="00A71876"/>
    <w:rsid w:val="00A7345B"/>
    <w:rsid w:val="00A74AD1"/>
    <w:rsid w:val="00A76D9B"/>
    <w:rsid w:val="00A77944"/>
    <w:rsid w:val="00A77C53"/>
    <w:rsid w:val="00A832A0"/>
    <w:rsid w:val="00A83CCD"/>
    <w:rsid w:val="00A87317"/>
    <w:rsid w:val="00A873DD"/>
    <w:rsid w:val="00A91411"/>
    <w:rsid w:val="00A928AA"/>
    <w:rsid w:val="00A92A3F"/>
    <w:rsid w:val="00A94647"/>
    <w:rsid w:val="00A95D43"/>
    <w:rsid w:val="00A95F6F"/>
    <w:rsid w:val="00A960F1"/>
    <w:rsid w:val="00A96365"/>
    <w:rsid w:val="00A96E8A"/>
    <w:rsid w:val="00AA0612"/>
    <w:rsid w:val="00AA0FFA"/>
    <w:rsid w:val="00AA205E"/>
    <w:rsid w:val="00AA27E3"/>
    <w:rsid w:val="00AA2D57"/>
    <w:rsid w:val="00AA35AE"/>
    <w:rsid w:val="00AA38CD"/>
    <w:rsid w:val="00AA3F14"/>
    <w:rsid w:val="00AA3F39"/>
    <w:rsid w:val="00AA6325"/>
    <w:rsid w:val="00AA7084"/>
    <w:rsid w:val="00AB0EDB"/>
    <w:rsid w:val="00AB29C7"/>
    <w:rsid w:val="00AB2BF1"/>
    <w:rsid w:val="00AB315C"/>
    <w:rsid w:val="00AB48CD"/>
    <w:rsid w:val="00AB4F04"/>
    <w:rsid w:val="00AB521A"/>
    <w:rsid w:val="00AB538B"/>
    <w:rsid w:val="00AB6D11"/>
    <w:rsid w:val="00AB75B8"/>
    <w:rsid w:val="00AC0738"/>
    <w:rsid w:val="00AC1142"/>
    <w:rsid w:val="00AC2FD9"/>
    <w:rsid w:val="00AC3266"/>
    <w:rsid w:val="00AC6947"/>
    <w:rsid w:val="00AC72F0"/>
    <w:rsid w:val="00AD0862"/>
    <w:rsid w:val="00AD08BC"/>
    <w:rsid w:val="00AD0E7C"/>
    <w:rsid w:val="00AD29E4"/>
    <w:rsid w:val="00AD32D0"/>
    <w:rsid w:val="00AD3A50"/>
    <w:rsid w:val="00AD3DB7"/>
    <w:rsid w:val="00AD51CE"/>
    <w:rsid w:val="00AD68AA"/>
    <w:rsid w:val="00AD735D"/>
    <w:rsid w:val="00AD7650"/>
    <w:rsid w:val="00AE061A"/>
    <w:rsid w:val="00AE15C9"/>
    <w:rsid w:val="00AE24F1"/>
    <w:rsid w:val="00AE4FFB"/>
    <w:rsid w:val="00AE51CF"/>
    <w:rsid w:val="00AE565F"/>
    <w:rsid w:val="00AE5998"/>
    <w:rsid w:val="00AE7959"/>
    <w:rsid w:val="00AF1673"/>
    <w:rsid w:val="00AF2082"/>
    <w:rsid w:val="00AF327F"/>
    <w:rsid w:val="00AF3626"/>
    <w:rsid w:val="00AF76B9"/>
    <w:rsid w:val="00B005E5"/>
    <w:rsid w:val="00B01724"/>
    <w:rsid w:val="00B02509"/>
    <w:rsid w:val="00B029D3"/>
    <w:rsid w:val="00B02E59"/>
    <w:rsid w:val="00B04623"/>
    <w:rsid w:val="00B050EE"/>
    <w:rsid w:val="00B05C15"/>
    <w:rsid w:val="00B05F83"/>
    <w:rsid w:val="00B06B5A"/>
    <w:rsid w:val="00B07BC7"/>
    <w:rsid w:val="00B107DE"/>
    <w:rsid w:val="00B11307"/>
    <w:rsid w:val="00B133C5"/>
    <w:rsid w:val="00B1368B"/>
    <w:rsid w:val="00B13B6B"/>
    <w:rsid w:val="00B1429D"/>
    <w:rsid w:val="00B14E27"/>
    <w:rsid w:val="00B15CA5"/>
    <w:rsid w:val="00B1720B"/>
    <w:rsid w:val="00B21185"/>
    <w:rsid w:val="00B221AD"/>
    <w:rsid w:val="00B2669F"/>
    <w:rsid w:val="00B27371"/>
    <w:rsid w:val="00B30061"/>
    <w:rsid w:val="00B30162"/>
    <w:rsid w:val="00B31461"/>
    <w:rsid w:val="00B31649"/>
    <w:rsid w:val="00B32327"/>
    <w:rsid w:val="00B33A48"/>
    <w:rsid w:val="00B37596"/>
    <w:rsid w:val="00B37B7F"/>
    <w:rsid w:val="00B42ECE"/>
    <w:rsid w:val="00B42F80"/>
    <w:rsid w:val="00B43E2A"/>
    <w:rsid w:val="00B44D4B"/>
    <w:rsid w:val="00B4550A"/>
    <w:rsid w:val="00B47A5A"/>
    <w:rsid w:val="00B50A65"/>
    <w:rsid w:val="00B50C0F"/>
    <w:rsid w:val="00B50C38"/>
    <w:rsid w:val="00B5121E"/>
    <w:rsid w:val="00B51520"/>
    <w:rsid w:val="00B51A2F"/>
    <w:rsid w:val="00B51BDB"/>
    <w:rsid w:val="00B53589"/>
    <w:rsid w:val="00B55023"/>
    <w:rsid w:val="00B55488"/>
    <w:rsid w:val="00B556AC"/>
    <w:rsid w:val="00B56443"/>
    <w:rsid w:val="00B56C09"/>
    <w:rsid w:val="00B60451"/>
    <w:rsid w:val="00B615F9"/>
    <w:rsid w:val="00B63232"/>
    <w:rsid w:val="00B632B4"/>
    <w:rsid w:val="00B634C6"/>
    <w:rsid w:val="00B636DC"/>
    <w:rsid w:val="00B64B1F"/>
    <w:rsid w:val="00B64C58"/>
    <w:rsid w:val="00B668E7"/>
    <w:rsid w:val="00B7041C"/>
    <w:rsid w:val="00B70A6F"/>
    <w:rsid w:val="00B71741"/>
    <w:rsid w:val="00B72075"/>
    <w:rsid w:val="00B72844"/>
    <w:rsid w:val="00B72F22"/>
    <w:rsid w:val="00B73CD8"/>
    <w:rsid w:val="00B749C9"/>
    <w:rsid w:val="00B751A7"/>
    <w:rsid w:val="00B75AB6"/>
    <w:rsid w:val="00B77235"/>
    <w:rsid w:val="00B8083A"/>
    <w:rsid w:val="00B80BD5"/>
    <w:rsid w:val="00B81F04"/>
    <w:rsid w:val="00B81FCB"/>
    <w:rsid w:val="00B85901"/>
    <w:rsid w:val="00B867DD"/>
    <w:rsid w:val="00B8734F"/>
    <w:rsid w:val="00B90EA0"/>
    <w:rsid w:val="00B914D3"/>
    <w:rsid w:val="00B9375A"/>
    <w:rsid w:val="00B93FA4"/>
    <w:rsid w:val="00B96747"/>
    <w:rsid w:val="00B97112"/>
    <w:rsid w:val="00BA0CE8"/>
    <w:rsid w:val="00BA19BE"/>
    <w:rsid w:val="00BA254F"/>
    <w:rsid w:val="00BA30F9"/>
    <w:rsid w:val="00BA48F8"/>
    <w:rsid w:val="00BA4B0C"/>
    <w:rsid w:val="00BA5BF3"/>
    <w:rsid w:val="00BB0B05"/>
    <w:rsid w:val="00BB1D59"/>
    <w:rsid w:val="00BB4E99"/>
    <w:rsid w:val="00BB5EA5"/>
    <w:rsid w:val="00BB5FBA"/>
    <w:rsid w:val="00BC0B49"/>
    <w:rsid w:val="00BC41D8"/>
    <w:rsid w:val="00BC63F3"/>
    <w:rsid w:val="00BD1864"/>
    <w:rsid w:val="00BD2E15"/>
    <w:rsid w:val="00BD4D86"/>
    <w:rsid w:val="00BD751C"/>
    <w:rsid w:val="00BD7E2F"/>
    <w:rsid w:val="00BE01F3"/>
    <w:rsid w:val="00BE3964"/>
    <w:rsid w:val="00BE46AC"/>
    <w:rsid w:val="00BE639D"/>
    <w:rsid w:val="00BF151A"/>
    <w:rsid w:val="00BF44C4"/>
    <w:rsid w:val="00BF5081"/>
    <w:rsid w:val="00BF5C66"/>
    <w:rsid w:val="00BF60FC"/>
    <w:rsid w:val="00BF6BE2"/>
    <w:rsid w:val="00C01C01"/>
    <w:rsid w:val="00C02E9C"/>
    <w:rsid w:val="00C02F16"/>
    <w:rsid w:val="00C04619"/>
    <w:rsid w:val="00C05A4F"/>
    <w:rsid w:val="00C05E5B"/>
    <w:rsid w:val="00C061E3"/>
    <w:rsid w:val="00C06759"/>
    <w:rsid w:val="00C06FD9"/>
    <w:rsid w:val="00C119C2"/>
    <w:rsid w:val="00C11F63"/>
    <w:rsid w:val="00C12189"/>
    <w:rsid w:val="00C122D5"/>
    <w:rsid w:val="00C12B1C"/>
    <w:rsid w:val="00C13789"/>
    <w:rsid w:val="00C14525"/>
    <w:rsid w:val="00C14967"/>
    <w:rsid w:val="00C1627A"/>
    <w:rsid w:val="00C166FB"/>
    <w:rsid w:val="00C20ED4"/>
    <w:rsid w:val="00C22F4C"/>
    <w:rsid w:val="00C23789"/>
    <w:rsid w:val="00C23DBC"/>
    <w:rsid w:val="00C248A4"/>
    <w:rsid w:val="00C26380"/>
    <w:rsid w:val="00C26866"/>
    <w:rsid w:val="00C26E47"/>
    <w:rsid w:val="00C2712A"/>
    <w:rsid w:val="00C2750C"/>
    <w:rsid w:val="00C30253"/>
    <w:rsid w:val="00C305F2"/>
    <w:rsid w:val="00C3083F"/>
    <w:rsid w:val="00C330F2"/>
    <w:rsid w:val="00C33404"/>
    <w:rsid w:val="00C34A8C"/>
    <w:rsid w:val="00C34D16"/>
    <w:rsid w:val="00C34F48"/>
    <w:rsid w:val="00C41927"/>
    <w:rsid w:val="00C42CD8"/>
    <w:rsid w:val="00C42CE4"/>
    <w:rsid w:val="00C43BDE"/>
    <w:rsid w:val="00C43DBD"/>
    <w:rsid w:val="00C446BD"/>
    <w:rsid w:val="00C45201"/>
    <w:rsid w:val="00C471D6"/>
    <w:rsid w:val="00C502B8"/>
    <w:rsid w:val="00C53EDB"/>
    <w:rsid w:val="00C55968"/>
    <w:rsid w:val="00C61356"/>
    <w:rsid w:val="00C61AA1"/>
    <w:rsid w:val="00C62334"/>
    <w:rsid w:val="00C62DB6"/>
    <w:rsid w:val="00C63A1D"/>
    <w:rsid w:val="00C65258"/>
    <w:rsid w:val="00C652AA"/>
    <w:rsid w:val="00C65D70"/>
    <w:rsid w:val="00C66601"/>
    <w:rsid w:val="00C676E5"/>
    <w:rsid w:val="00C7079D"/>
    <w:rsid w:val="00C707DA"/>
    <w:rsid w:val="00C71638"/>
    <w:rsid w:val="00C71A96"/>
    <w:rsid w:val="00C71BA2"/>
    <w:rsid w:val="00C736BB"/>
    <w:rsid w:val="00C7374A"/>
    <w:rsid w:val="00C73D4E"/>
    <w:rsid w:val="00C805CF"/>
    <w:rsid w:val="00C81B54"/>
    <w:rsid w:val="00C81D29"/>
    <w:rsid w:val="00C86566"/>
    <w:rsid w:val="00C90077"/>
    <w:rsid w:val="00C90DDF"/>
    <w:rsid w:val="00C917EB"/>
    <w:rsid w:val="00C926AD"/>
    <w:rsid w:val="00C92CFB"/>
    <w:rsid w:val="00C93193"/>
    <w:rsid w:val="00C966BB"/>
    <w:rsid w:val="00C97FF4"/>
    <w:rsid w:val="00CA0643"/>
    <w:rsid w:val="00CA098A"/>
    <w:rsid w:val="00CA0ADF"/>
    <w:rsid w:val="00CA3A14"/>
    <w:rsid w:val="00CA4B37"/>
    <w:rsid w:val="00CA5938"/>
    <w:rsid w:val="00CA5EBF"/>
    <w:rsid w:val="00CA6813"/>
    <w:rsid w:val="00CA6C07"/>
    <w:rsid w:val="00CB027B"/>
    <w:rsid w:val="00CB04F8"/>
    <w:rsid w:val="00CB2ECC"/>
    <w:rsid w:val="00CB3003"/>
    <w:rsid w:val="00CB3CAC"/>
    <w:rsid w:val="00CB642F"/>
    <w:rsid w:val="00CB6DA0"/>
    <w:rsid w:val="00CB7F0D"/>
    <w:rsid w:val="00CC1DF7"/>
    <w:rsid w:val="00CC28C6"/>
    <w:rsid w:val="00CC4808"/>
    <w:rsid w:val="00CC4C0C"/>
    <w:rsid w:val="00CD1B6F"/>
    <w:rsid w:val="00CD220C"/>
    <w:rsid w:val="00CD30AA"/>
    <w:rsid w:val="00CD3D90"/>
    <w:rsid w:val="00CD3F5B"/>
    <w:rsid w:val="00CD4A55"/>
    <w:rsid w:val="00CD56F8"/>
    <w:rsid w:val="00CD5757"/>
    <w:rsid w:val="00CD5923"/>
    <w:rsid w:val="00CD67E1"/>
    <w:rsid w:val="00CD68F2"/>
    <w:rsid w:val="00CD7039"/>
    <w:rsid w:val="00CE08A5"/>
    <w:rsid w:val="00CE0D2C"/>
    <w:rsid w:val="00CE0EFD"/>
    <w:rsid w:val="00CE109D"/>
    <w:rsid w:val="00CE10A2"/>
    <w:rsid w:val="00CE1B8A"/>
    <w:rsid w:val="00CE4936"/>
    <w:rsid w:val="00CE5A65"/>
    <w:rsid w:val="00CE5BE1"/>
    <w:rsid w:val="00CE77AE"/>
    <w:rsid w:val="00CF0867"/>
    <w:rsid w:val="00CF0ACE"/>
    <w:rsid w:val="00CF17E9"/>
    <w:rsid w:val="00CF2BA6"/>
    <w:rsid w:val="00CF2C0C"/>
    <w:rsid w:val="00CF2D63"/>
    <w:rsid w:val="00CF32F4"/>
    <w:rsid w:val="00CF34A0"/>
    <w:rsid w:val="00CF3600"/>
    <w:rsid w:val="00CF4792"/>
    <w:rsid w:val="00CF5206"/>
    <w:rsid w:val="00CF65B7"/>
    <w:rsid w:val="00CF70FA"/>
    <w:rsid w:val="00CF7D5D"/>
    <w:rsid w:val="00D003B0"/>
    <w:rsid w:val="00D03610"/>
    <w:rsid w:val="00D048EC"/>
    <w:rsid w:val="00D06D16"/>
    <w:rsid w:val="00D06F27"/>
    <w:rsid w:val="00D071F3"/>
    <w:rsid w:val="00D07271"/>
    <w:rsid w:val="00D104D6"/>
    <w:rsid w:val="00D1100D"/>
    <w:rsid w:val="00D115A9"/>
    <w:rsid w:val="00D1258D"/>
    <w:rsid w:val="00D12B44"/>
    <w:rsid w:val="00D14EC0"/>
    <w:rsid w:val="00D15807"/>
    <w:rsid w:val="00D15FEA"/>
    <w:rsid w:val="00D17563"/>
    <w:rsid w:val="00D20899"/>
    <w:rsid w:val="00D2234D"/>
    <w:rsid w:val="00D229F9"/>
    <w:rsid w:val="00D24520"/>
    <w:rsid w:val="00D262EA"/>
    <w:rsid w:val="00D31595"/>
    <w:rsid w:val="00D31DE8"/>
    <w:rsid w:val="00D31DFE"/>
    <w:rsid w:val="00D34A5C"/>
    <w:rsid w:val="00D378A3"/>
    <w:rsid w:val="00D404A8"/>
    <w:rsid w:val="00D40AAD"/>
    <w:rsid w:val="00D40DEC"/>
    <w:rsid w:val="00D43D6F"/>
    <w:rsid w:val="00D4403D"/>
    <w:rsid w:val="00D4482D"/>
    <w:rsid w:val="00D4526A"/>
    <w:rsid w:val="00D454E8"/>
    <w:rsid w:val="00D478DD"/>
    <w:rsid w:val="00D47ACC"/>
    <w:rsid w:val="00D501B4"/>
    <w:rsid w:val="00D50203"/>
    <w:rsid w:val="00D50D82"/>
    <w:rsid w:val="00D51066"/>
    <w:rsid w:val="00D51867"/>
    <w:rsid w:val="00D51FE7"/>
    <w:rsid w:val="00D52F32"/>
    <w:rsid w:val="00D53831"/>
    <w:rsid w:val="00D55E90"/>
    <w:rsid w:val="00D55FAC"/>
    <w:rsid w:val="00D6019F"/>
    <w:rsid w:val="00D60807"/>
    <w:rsid w:val="00D60BF0"/>
    <w:rsid w:val="00D61332"/>
    <w:rsid w:val="00D62292"/>
    <w:rsid w:val="00D64B20"/>
    <w:rsid w:val="00D64D1F"/>
    <w:rsid w:val="00D65D15"/>
    <w:rsid w:val="00D66519"/>
    <w:rsid w:val="00D666DF"/>
    <w:rsid w:val="00D7160E"/>
    <w:rsid w:val="00D71631"/>
    <w:rsid w:val="00D72CE4"/>
    <w:rsid w:val="00D730DD"/>
    <w:rsid w:val="00D73280"/>
    <w:rsid w:val="00D735FF"/>
    <w:rsid w:val="00D73A3C"/>
    <w:rsid w:val="00D74FF1"/>
    <w:rsid w:val="00D7559E"/>
    <w:rsid w:val="00D757D5"/>
    <w:rsid w:val="00D76D01"/>
    <w:rsid w:val="00D77C6F"/>
    <w:rsid w:val="00D82E72"/>
    <w:rsid w:val="00D8317F"/>
    <w:rsid w:val="00D839BF"/>
    <w:rsid w:val="00D86F13"/>
    <w:rsid w:val="00D903A6"/>
    <w:rsid w:val="00D9098B"/>
    <w:rsid w:val="00D91BC7"/>
    <w:rsid w:val="00D92371"/>
    <w:rsid w:val="00D9288B"/>
    <w:rsid w:val="00D938F7"/>
    <w:rsid w:val="00D9396B"/>
    <w:rsid w:val="00D93A62"/>
    <w:rsid w:val="00D953AA"/>
    <w:rsid w:val="00D96172"/>
    <w:rsid w:val="00D961B4"/>
    <w:rsid w:val="00DA0765"/>
    <w:rsid w:val="00DA1C78"/>
    <w:rsid w:val="00DA3060"/>
    <w:rsid w:val="00DA3607"/>
    <w:rsid w:val="00DA557E"/>
    <w:rsid w:val="00DA62A2"/>
    <w:rsid w:val="00DA65A7"/>
    <w:rsid w:val="00DA6ADC"/>
    <w:rsid w:val="00DA6F20"/>
    <w:rsid w:val="00DB17ED"/>
    <w:rsid w:val="00DB33D5"/>
    <w:rsid w:val="00DB5B5B"/>
    <w:rsid w:val="00DC15B5"/>
    <w:rsid w:val="00DC2D7A"/>
    <w:rsid w:val="00DC4733"/>
    <w:rsid w:val="00DC6048"/>
    <w:rsid w:val="00DD079D"/>
    <w:rsid w:val="00DD14E1"/>
    <w:rsid w:val="00DD29F2"/>
    <w:rsid w:val="00DE0959"/>
    <w:rsid w:val="00DE1245"/>
    <w:rsid w:val="00DE26C1"/>
    <w:rsid w:val="00DE391A"/>
    <w:rsid w:val="00DE3A75"/>
    <w:rsid w:val="00DE501F"/>
    <w:rsid w:val="00DE7895"/>
    <w:rsid w:val="00DF08B1"/>
    <w:rsid w:val="00DF0E82"/>
    <w:rsid w:val="00DF1440"/>
    <w:rsid w:val="00DF3316"/>
    <w:rsid w:val="00DF53D7"/>
    <w:rsid w:val="00DF54C2"/>
    <w:rsid w:val="00DF5787"/>
    <w:rsid w:val="00DF761F"/>
    <w:rsid w:val="00E019D5"/>
    <w:rsid w:val="00E02771"/>
    <w:rsid w:val="00E02DF9"/>
    <w:rsid w:val="00E03E14"/>
    <w:rsid w:val="00E05501"/>
    <w:rsid w:val="00E057E5"/>
    <w:rsid w:val="00E05F9C"/>
    <w:rsid w:val="00E063C4"/>
    <w:rsid w:val="00E06474"/>
    <w:rsid w:val="00E06511"/>
    <w:rsid w:val="00E06EC6"/>
    <w:rsid w:val="00E10948"/>
    <w:rsid w:val="00E1193F"/>
    <w:rsid w:val="00E138B2"/>
    <w:rsid w:val="00E13954"/>
    <w:rsid w:val="00E13A95"/>
    <w:rsid w:val="00E1446D"/>
    <w:rsid w:val="00E146ED"/>
    <w:rsid w:val="00E14D93"/>
    <w:rsid w:val="00E14F64"/>
    <w:rsid w:val="00E15D04"/>
    <w:rsid w:val="00E15FD6"/>
    <w:rsid w:val="00E1630A"/>
    <w:rsid w:val="00E16787"/>
    <w:rsid w:val="00E16AED"/>
    <w:rsid w:val="00E205B3"/>
    <w:rsid w:val="00E22DA3"/>
    <w:rsid w:val="00E23208"/>
    <w:rsid w:val="00E23645"/>
    <w:rsid w:val="00E24A15"/>
    <w:rsid w:val="00E24F4E"/>
    <w:rsid w:val="00E2570A"/>
    <w:rsid w:val="00E275CC"/>
    <w:rsid w:val="00E2768A"/>
    <w:rsid w:val="00E3023E"/>
    <w:rsid w:val="00E3127D"/>
    <w:rsid w:val="00E3218F"/>
    <w:rsid w:val="00E33845"/>
    <w:rsid w:val="00E338FA"/>
    <w:rsid w:val="00E33CB2"/>
    <w:rsid w:val="00E34B78"/>
    <w:rsid w:val="00E3778E"/>
    <w:rsid w:val="00E40BB7"/>
    <w:rsid w:val="00E41102"/>
    <w:rsid w:val="00E41301"/>
    <w:rsid w:val="00E41F21"/>
    <w:rsid w:val="00E42723"/>
    <w:rsid w:val="00E452BE"/>
    <w:rsid w:val="00E46F71"/>
    <w:rsid w:val="00E47019"/>
    <w:rsid w:val="00E502B7"/>
    <w:rsid w:val="00E50A44"/>
    <w:rsid w:val="00E51E6B"/>
    <w:rsid w:val="00E51FE7"/>
    <w:rsid w:val="00E52C7E"/>
    <w:rsid w:val="00E53AD3"/>
    <w:rsid w:val="00E56A2C"/>
    <w:rsid w:val="00E5731D"/>
    <w:rsid w:val="00E5783E"/>
    <w:rsid w:val="00E62220"/>
    <w:rsid w:val="00E6281F"/>
    <w:rsid w:val="00E62F80"/>
    <w:rsid w:val="00E6406D"/>
    <w:rsid w:val="00E64C95"/>
    <w:rsid w:val="00E669C1"/>
    <w:rsid w:val="00E67F9B"/>
    <w:rsid w:val="00E710BE"/>
    <w:rsid w:val="00E73410"/>
    <w:rsid w:val="00E73A0A"/>
    <w:rsid w:val="00E7585E"/>
    <w:rsid w:val="00E760B6"/>
    <w:rsid w:val="00E768CA"/>
    <w:rsid w:val="00E7692F"/>
    <w:rsid w:val="00E8056B"/>
    <w:rsid w:val="00E80A1A"/>
    <w:rsid w:val="00E8228A"/>
    <w:rsid w:val="00E82D86"/>
    <w:rsid w:val="00E832B6"/>
    <w:rsid w:val="00E84457"/>
    <w:rsid w:val="00E85C83"/>
    <w:rsid w:val="00E8626D"/>
    <w:rsid w:val="00E875B9"/>
    <w:rsid w:val="00E91A1A"/>
    <w:rsid w:val="00E93B41"/>
    <w:rsid w:val="00E95091"/>
    <w:rsid w:val="00E96A18"/>
    <w:rsid w:val="00E96AA4"/>
    <w:rsid w:val="00EA1831"/>
    <w:rsid w:val="00EA2204"/>
    <w:rsid w:val="00EA2746"/>
    <w:rsid w:val="00EA3251"/>
    <w:rsid w:val="00EA3B8E"/>
    <w:rsid w:val="00EA3C7C"/>
    <w:rsid w:val="00EA5CF5"/>
    <w:rsid w:val="00EA5D68"/>
    <w:rsid w:val="00EA703D"/>
    <w:rsid w:val="00EA76CC"/>
    <w:rsid w:val="00EB0C47"/>
    <w:rsid w:val="00EB0C85"/>
    <w:rsid w:val="00EB0E80"/>
    <w:rsid w:val="00EB148D"/>
    <w:rsid w:val="00EB1FE0"/>
    <w:rsid w:val="00EB39FF"/>
    <w:rsid w:val="00EB52D8"/>
    <w:rsid w:val="00EB549F"/>
    <w:rsid w:val="00EB64C2"/>
    <w:rsid w:val="00EC0E6A"/>
    <w:rsid w:val="00EC1A5B"/>
    <w:rsid w:val="00EC334F"/>
    <w:rsid w:val="00EC3571"/>
    <w:rsid w:val="00EC3AC4"/>
    <w:rsid w:val="00EC50BE"/>
    <w:rsid w:val="00EC6498"/>
    <w:rsid w:val="00EC7FDA"/>
    <w:rsid w:val="00ED06E4"/>
    <w:rsid w:val="00ED0B80"/>
    <w:rsid w:val="00ED11DD"/>
    <w:rsid w:val="00ED1827"/>
    <w:rsid w:val="00ED1DB0"/>
    <w:rsid w:val="00ED2079"/>
    <w:rsid w:val="00ED2122"/>
    <w:rsid w:val="00ED2995"/>
    <w:rsid w:val="00ED4050"/>
    <w:rsid w:val="00ED41E0"/>
    <w:rsid w:val="00ED4667"/>
    <w:rsid w:val="00ED582F"/>
    <w:rsid w:val="00ED6831"/>
    <w:rsid w:val="00EE07EE"/>
    <w:rsid w:val="00EE1242"/>
    <w:rsid w:val="00EE275D"/>
    <w:rsid w:val="00EE2FBB"/>
    <w:rsid w:val="00EE3457"/>
    <w:rsid w:val="00EE3F5C"/>
    <w:rsid w:val="00EE4129"/>
    <w:rsid w:val="00EE4228"/>
    <w:rsid w:val="00EE44F7"/>
    <w:rsid w:val="00EE6684"/>
    <w:rsid w:val="00EF014A"/>
    <w:rsid w:val="00EF066E"/>
    <w:rsid w:val="00EF0EA3"/>
    <w:rsid w:val="00EF4B06"/>
    <w:rsid w:val="00EF4FB3"/>
    <w:rsid w:val="00EF6EED"/>
    <w:rsid w:val="00F00578"/>
    <w:rsid w:val="00F00BBD"/>
    <w:rsid w:val="00F00C11"/>
    <w:rsid w:val="00F019AA"/>
    <w:rsid w:val="00F042CA"/>
    <w:rsid w:val="00F050A9"/>
    <w:rsid w:val="00F050BD"/>
    <w:rsid w:val="00F0610C"/>
    <w:rsid w:val="00F06E9C"/>
    <w:rsid w:val="00F1057D"/>
    <w:rsid w:val="00F105BF"/>
    <w:rsid w:val="00F11949"/>
    <w:rsid w:val="00F12173"/>
    <w:rsid w:val="00F1330C"/>
    <w:rsid w:val="00F1550C"/>
    <w:rsid w:val="00F15BFD"/>
    <w:rsid w:val="00F16C2D"/>
    <w:rsid w:val="00F17480"/>
    <w:rsid w:val="00F17532"/>
    <w:rsid w:val="00F17E6F"/>
    <w:rsid w:val="00F17EC7"/>
    <w:rsid w:val="00F20633"/>
    <w:rsid w:val="00F21744"/>
    <w:rsid w:val="00F21CE8"/>
    <w:rsid w:val="00F2316F"/>
    <w:rsid w:val="00F239E6"/>
    <w:rsid w:val="00F23F7C"/>
    <w:rsid w:val="00F24101"/>
    <w:rsid w:val="00F24AA1"/>
    <w:rsid w:val="00F26132"/>
    <w:rsid w:val="00F26CFA"/>
    <w:rsid w:val="00F26D5F"/>
    <w:rsid w:val="00F31C8B"/>
    <w:rsid w:val="00F322F1"/>
    <w:rsid w:val="00F32BD9"/>
    <w:rsid w:val="00F33008"/>
    <w:rsid w:val="00F3581C"/>
    <w:rsid w:val="00F37828"/>
    <w:rsid w:val="00F37CB0"/>
    <w:rsid w:val="00F419F4"/>
    <w:rsid w:val="00F425BA"/>
    <w:rsid w:val="00F42D42"/>
    <w:rsid w:val="00F445A7"/>
    <w:rsid w:val="00F448EA"/>
    <w:rsid w:val="00F46F10"/>
    <w:rsid w:val="00F475EC"/>
    <w:rsid w:val="00F506FD"/>
    <w:rsid w:val="00F51B8C"/>
    <w:rsid w:val="00F51D63"/>
    <w:rsid w:val="00F52310"/>
    <w:rsid w:val="00F55C58"/>
    <w:rsid w:val="00F56935"/>
    <w:rsid w:val="00F56A53"/>
    <w:rsid w:val="00F62682"/>
    <w:rsid w:val="00F637DB"/>
    <w:rsid w:val="00F662E2"/>
    <w:rsid w:val="00F6694F"/>
    <w:rsid w:val="00F66A3C"/>
    <w:rsid w:val="00F6794F"/>
    <w:rsid w:val="00F67C91"/>
    <w:rsid w:val="00F67DCC"/>
    <w:rsid w:val="00F70859"/>
    <w:rsid w:val="00F71D20"/>
    <w:rsid w:val="00F729E0"/>
    <w:rsid w:val="00F748B9"/>
    <w:rsid w:val="00F74A6D"/>
    <w:rsid w:val="00F75084"/>
    <w:rsid w:val="00F769BB"/>
    <w:rsid w:val="00F80E00"/>
    <w:rsid w:val="00F82EC1"/>
    <w:rsid w:val="00F839CF"/>
    <w:rsid w:val="00F83C66"/>
    <w:rsid w:val="00F83E5B"/>
    <w:rsid w:val="00F85530"/>
    <w:rsid w:val="00F86486"/>
    <w:rsid w:val="00F912F4"/>
    <w:rsid w:val="00F91F03"/>
    <w:rsid w:val="00F93DBA"/>
    <w:rsid w:val="00F9546E"/>
    <w:rsid w:val="00F96A7E"/>
    <w:rsid w:val="00F971D6"/>
    <w:rsid w:val="00F97363"/>
    <w:rsid w:val="00F973F0"/>
    <w:rsid w:val="00FA1E1F"/>
    <w:rsid w:val="00FA26A5"/>
    <w:rsid w:val="00FA4249"/>
    <w:rsid w:val="00FA43C9"/>
    <w:rsid w:val="00FA4F10"/>
    <w:rsid w:val="00FA645D"/>
    <w:rsid w:val="00FB2CC5"/>
    <w:rsid w:val="00FB3029"/>
    <w:rsid w:val="00FB3E18"/>
    <w:rsid w:val="00FB514C"/>
    <w:rsid w:val="00FB5163"/>
    <w:rsid w:val="00FB67F4"/>
    <w:rsid w:val="00FC06F1"/>
    <w:rsid w:val="00FC0F8B"/>
    <w:rsid w:val="00FC1688"/>
    <w:rsid w:val="00FC3859"/>
    <w:rsid w:val="00FC4F8D"/>
    <w:rsid w:val="00FC561A"/>
    <w:rsid w:val="00FC5C87"/>
    <w:rsid w:val="00FC69C6"/>
    <w:rsid w:val="00FD08D5"/>
    <w:rsid w:val="00FD1B33"/>
    <w:rsid w:val="00FD2E25"/>
    <w:rsid w:val="00FD3CE4"/>
    <w:rsid w:val="00FD4C85"/>
    <w:rsid w:val="00FD681D"/>
    <w:rsid w:val="00FE1834"/>
    <w:rsid w:val="00FE2695"/>
    <w:rsid w:val="00FE5FDD"/>
    <w:rsid w:val="00FF114D"/>
    <w:rsid w:val="00FF3F1D"/>
    <w:rsid w:val="00FF4F15"/>
    <w:rsid w:val="00FF5EBB"/>
    <w:rsid w:val="00FF633C"/>
    <w:rsid w:val="00FF6962"/>
    <w:rsid w:val="00FF6A2B"/>
    <w:rsid w:val="00FF71A5"/>
    <w:rsid w:val="00FF7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11DBB680-7A11-46BD-B52F-1B85D3F7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39"/>
    <w:rsid w:val="00C162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rsid w:val="000F53C2"/>
    <w:rPr>
      <w:sz w:val="20"/>
      <w:szCs w:val="20"/>
    </w:rPr>
  </w:style>
  <w:style w:type="character" w:customStyle="1" w:styleId="FootnoteTextChar">
    <w:name w:val="Footnote Text Char"/>
    <w:basedOn w:val="DefaultParagraphFont"/>
    <w:link w:val="FootnoteText"/>
    <w:uiPriority w:val="99"/>
    <w:locked/>
    <w:rsid w:val="000F53C2"/>
    <w:rPr>
      <w:rFonts w:cs="Times New Roman"/>
      <w:lang w:eastAsia="en-US"/>
    </w:rPr>
  </w:style>
  <w:style w:type="character" w:styleId="FootnoteReference">
    <w:name w:val="footnote reference"/>
    <w:basedOn w:val="DefaultParagraphFont"/>
    <w:uiPriority w:val="99"/>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rFonts w:ascii="Times New Roman" w:hAnsi="Times New Roman"/>
      <w:color w:val="000000"/>
      <w:sz w:val="22"/>
      <w:szCs w:val="22"/>
      <w:lang w:val="en-AU" w:eastAsia="en-AU" w:bidi="ar-SA"/>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224606"/>
    <w:pPr>
      <w:tabs>
        <w:tab w:val="left" w:pos="442"/>
        <w:tab w:val="right" w:leader="dot" w:pos="9628"/>
      </w:tabs>
      <w:spacing w:before="120" w:after="100" w:afterAutospacing="1"/>
    </w:pPr>
    <w:rPr>
      <w:rFonts w:ascii="Arial" w:hAnsi="Arial"/>
      <w:b/>
      <w:noProof/>
      <w:color w:val="000000" w:themeColor="text1"/>
      <w:sz w:val="20"/>
      <w:szCs w:val="20"/>
    </w:rPr>
  </w:style>
  <w:style w:type="paragraph" w:styleId="TOC2">
    <w:name w:val="toc 2"/>
    <w:basedOn w:val="Normal"/>
    <w:next w:val="Normal"/>
    <w:autoRedefine/>
    <w:uiPriority w:val="39"/>
    <w:locked/>
    <w:rsid w:val="00C86566"/>
    <w:pPr>
      <w:tabs>
        <w:tab w:val="left" w:pos="880"/>
        <w:tab w:val="right" w:leader="dot" w:pos="9628"/>
      </w:tabs>
      <w:spacing w:after="120"/>
      <w:ind w:left="851" w:hanging="630"/>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rFonts w:ascii="Arial" w:hAnsi="Arial" w:cs="Arial"/>
      <w:b/>
      <w:i/>
      <w:sz w:val="22"/>
      <w:szCs w:val="22"/>
      <w:lang w:eastAsia="en-US"/>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rFonts w:ascii="Arial" w:hAnsi="Arial" w:cs="Arial"/>
      <w:b/>
      <w:color w:val="FFFFFF" w:themeColor="background1"/>
      <w:lang w:eastAsia="en-US"/>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61">
    <w:name w:val="style61"/>
    <w:basedOn w:val="DefaultParagraphFont"/>
    <w:rsid w:val="0004192B"/>
    <w:rPr>
      <w:i/>
      <w:iCs/>
      <w:color w:val="333333"/>
    </w:rPr>
  </w:style>
  <w:style w:type="character" w:styleId="CommentReference">
    <w:name w:val="annotation reference"/>
    <w:basedOn w:val="DefaultParagraphFont"/>
    <w:uiPriority w:val="99"/>
    <w:semiHidden/>
    <w:unhideWhenUsed/>
    <w:rsid w:val="000E408F"/>
    <w:rPr>
      <w:sz w:val="16"/>
      <w:szCs w:val="16"/>
    </w:rPr>
  </w:style>
  <w:style w:type="paragraph" w:styleId="CommentText">
    <w:name w:val="annotation text"/>
    <w:basedOn w:val="Normal"/>
    <w:link w:val="CommentTextChar"/>
    <w:uiPriority w:val="99"/>
    <w:semiHidden/>
    <w:unhideWhenUsed/>
    <w:rsid w:val="000E408F"/>
    <w:rPr>
      <w:sz w:val="20"/>
      <w:szCs w:val="20"/>
    </w:rPr>
  </w:style>
  <w:style w:type="character" w:customStyle="1" w:styleId="CommentTextChar">
    <w:name w:val="Comment Text Char"/>
    <w:basedOn w:val="DefaultParagraphFont"/>
    <w:link w:val="CommentText"/>
    <w:uiPriority w:val="99"/>
    <w:semiHidden/>
    <w:rsid w:val="000E408F"/>
    <w:rPr>
      <w:lang w:eastAsia="en-US"/>
    </w:rPr>
  </w:style>
  <w:style w:type="paragraph" w:styleId="CommentSubject">
    <w:name w:val="annotation subject"/>
    <w:basedOn w:val="CommentText"/>
    <w:next w:val="CommentText"/>
    <w:link w:val="CommentSubjectChar"/>
    <w:uiPriority w:val="99"/>
    <w:semiHidden/>
    <w:unhideWhenUsed/>
    <w:rsid w:val="000E408F"/>
    <w:rPr>
      <w:b/>
      <w:bCs/>
    </w:rPr>
  </w:style>
  <w:style w:type="character" w:customStyle="1" w:styleId="CommentSubjectChar">
    <w:name w:val="Comment Subject Char"/>
    <w:basedOn w:val="CommentTextChar"/>
    <w:link w:val="CommentSubject"/>
    <w:uiPriority w:val="99"/>
    <w:semiHidden/>
    <w:rsid w:val="000E408F"/>
    <w:rPr>
      <w:b/>
      <w:bCs/>
      <w:lang w:eastAsia="en-US"/>
    </w:rPr>
  </w:style>
  <w:style w:type="paragraph" w:styleId="Quote">
    <w:name w:val="Quote"/>
    <w:basedOn w:val="Normal"/>
    <w:next w:val="Normal"/>
    <w:link w:val="QuoteChar"/>
    <w:uiPriority w:val="29"/>
    <w:qFormat/>
    <w:rsid w:val="00A45F83"/>
    <w:pPr>
      <w:ind w:left="567" w:right="1230"/>
    </w:pPr>
    <w:rPr>
      <w:rFonts w:asciiTheme="minorHAnsi" w:eastAsiaTheme="minorHAnsi" w:hAnsiTheme="minorHAnsi" w:cstheme="minorBidi"/>
      <w:iCs/>
      <w:color w:val="000000" w:themeColor="text1"/>
      <w:sz w:val="21"/>
      <w:szCs w:val="21"/>
    </w:rPr>
  </w:style>
  <w:style w:type="character" w:customStyle="1" w:styleId="QuoteChar">
    <w:name w:val="Quote Char"/>
    <w:basedOn w:val="DefaultParagraphFont"/>
    <w:link w:val="Quote"/>
    <w:uiPriority w:val="29"/>
    <w:rsid w:val="00A45F83"/>
    <w:rPr>
      <w:rFonts w:asciiTheme="minorHAnsi" w:eastAsiaTheme="minorHAnsi" w:hAnsiTheme="minorHAnsi" w:cstheme="minorBidi"/>
      <w:iCs/>
      <w:color w:val="000000" w:themeColor="text1"/>
      <w:sz w:val="21"/>
      <w:szCs w:val="21"/>
      <w:lang w:eastAsia="en-US"/>
    </w:rPr>
  </w:style>
  <w:style w:type="character" w:customStyle="1" w:styleId="st">
    <w:name w:val="st"/>
    <w:basedOn w:val="DefaultParagraphFont"/>
    <w:rsid w:val="000A3F4E"/>
  </w:style>
  <w:style w:type="character" w:styleId="FollowedHyperlink">
    <w:name w:val="FollowedHyperlink"/>
    <w:basedOn w:val="DefaultParagraphFont"/>
    <w:uiPriority w:val="99"/>
    <w:semiHidden/>
    <w:unhideWhenUsed/>
    <w:rsid w:val="0062389F"/>
    <w:rPr>
      <w:color w:val="800080" w:themeColor="followedHyperlink"/>
      <w:u w:val="single"/>
    </w:rPr>
  </w:style>
  <w:style w:type="character" w:customStyle="1" w:styleId="subsectionChar">
    <w:name w:val="subsection Char"/>
    <w:aliases w:val="ss Char"/>
    <w:basedOn w:val="DefaultParagraphFont"/>
    <w:link w:val="subsection"/>
    <w:locked/>
    <w:rsid w:val="000A7880"/>
    <w:rPr>
      <w:sz w:val="22"/>
    </w:rPr>
  </w:style>
  <w:style w:type="paragraph" w:customStyle="1" w:styleId="subsection">
    <w:name w:val="subsection"/>
    <w:aliases w:val="ss"/>
    <w:basedOn w:val="Normal"/>
    <w:link w:val="subsectionChar"/>
    <w:rsid w:val="000A7880"/>
    <w:pPr>
      <w:tabs>
        <w:tab w:val="right" w:pos="1021"/>
      </w:tabs>
      <w:spacing w:before="180"/>
      <w:ind w:left="1134" w:hanging="1134"/>
    </w:pPr>
    <w:rPr>
      <w:szCs w:val="20"/>
      <w:lang w:eastAsia="en-AU"/>
    </w:rPr>
  </w:style>
  <w:style w:type="paragraph" w:customStyle="1" w:styleId="Tablea">
    <w:name w:val="Table(a)"/>
    <w:aliases w:val="ta"/>
    <w:basedOn w:val="Normal"/>
    <w:rsid w:val="000A7880"/>
    <w:pPr>
      <w:spacing w:before="60"/>
      <w:ind w:left="284" w:hanging="284"/>
    </w:pPr>
    <w:rPr>
      <w:rFonts w:ascii="Times New Roman" w:eastAsia="Times New Roman" w:hAnsi="Times New Roman"/>
      <w:sz w:val="20"/>
      <w:szCs w:val="20"/>
      <w:lang w:eastAsia="en-AU"/>
    </w:rPr>
  </w:style>
  <w:style w:type="paragraph" w:customStyle="1" w:styleId="notetext">
    <w:name w:val="note(text)"/>
    <w:aliases w:val="n"/>
    <w:basedOn w:val="Normal"/>
    <w:rsid w:val="000A7880"/>
    <w:pPr>
      <w:spacing w:before="122"/>
      <w:ind w:left="1985" w:hanging="851"/>
    </w:pPr>
    <w:rPr>
      <w:rFonts w:ascii="Times New Roman" w:eastAsia="Times New Roman" w:hAnsi="Times New Roman"/>
      <w:sz w:val="18"/>
      <w:szCs w:val="20"/>
      <w:lang w:eastAsia="en-AU"/>
    </w:rPr>
  </w:style>
  <w:style w:type="paragraph" w:customStyle="1" w:styleId="Tabletext">
    <w:name w:val="Tabletext"/>
    <w:aliases w:val="tt"/>
    <w:basedOn w:val="Normal"/>
    <w:rsid w:val="000A7880"/>
    <w:pPr>
      <w:spacing w:before="60" w:line="240" w:lineRule="atLeast"/>
    </w:pPr>
    <w:rPr>
      <w:rFonts w:ascii="Times New Roman" w:eastAsia="Times New Roman" w:hAnsi="Times New Roman"/>
      <w:sz w:val="20"/>
      <w:szCs w:val="20"/>
      <w:lang w:eastAsia="en-AU"/>
    </w:rPr>
  </w:style>
  <w:style w:type="paragraph" w:customStyle="1" w:styleId="TableHeading">
    <w:name w:val="TableHeading"/>
    <w:aliases w:val="th"/>
    <w:basedOn w:val="Normal"/>
    <w:next w:val="Tabletext"/>
    <w:rsid w:val="000A7880"/>
    <w:pPr>
      <w:keepNext/>
      <w:spacing w:before="60" w:line="240" w:lineRule="atLeast"/>
    </w:pPr>
    <w:rPr>
      <w:rFonts w:ascii="Times New Roman" w:eastAsia="Times New Roman" w:hAnsi="Times New Roman"/>
      <w:b/>
      <w:sz w:val="20"/>
      <w:szCs w:val="20"/>
      <w:lang w:eastAsia="en-AU"/>
    </w:rPr>
  </w:style>
  <w:style w:type="paragraph" w:customStyle="1" w:styleId="SubsectionHead">
    <w:name w:val="SubsectionHead"/>
    <w:aliases w:val="ssh"/>
    <w:basedOn w:val="Normal"/>
    <w:next w:val="Normal"/>
    <w:rsid w:val="00EE6684"/>
    <w:pPr>
      <w:keepNext/>
      <w:keepLines/>
      <w:spacing w:before="240"/>
      <w:ind w:left="1134"/>
    </w:pPr>
    <w:rPr>
      <w:rFonts w:ascii="Times New Roman" w:eastAsia="Times New Roman" w:hAnsi="Times New Roman"/>
      <w:i/>
      <w:szCs w:val="20"/>
      <w:lang w:eastAsia="en-AU"/>
    </w:rPr>
  </w:style>
  <w:style w:type="character" w:customStyle="1" w:styleId="paragraphChar">
    <w:name w:val="paragraph Char"/>
    <w:aliases w:val="a Char"/>
    <w:basedOn w:val="DefaultParagraphFont"/>
    <w:link w:val="paragraph"/>
    <w:locked/>
    <w:rsid w:val="00EE6684"/>
    <w:rPr>
      <w:sz w:val="22"/>
    </w:rPr>
  </w:style>
  <w:style w:type="paragraph" w:customStyle="1" w:styleId="paragraph">
    <w:name w:val="paragraph"/>
    <w:aliases w:val="a"/>
    <w:basedOn w:val="Normal"/>
    <w:link w:val="paragraphChar"/>
    <w:rsid w:val="00EE6684"/>
    <w:pPr>
      <w:tabs>
        <w:tab w:val="right" w:pos="1531"/>
      </w:tabs>
      <w:spacing w:before="40"/>
      <w:ind w:left="1644" w:hanging="1644"/>
    </w:pPr>
    <w:rPr>
      <w:szCs w:val="20"/>
      <w:lang w:eastAsia="en-AU"/>
    </w:rPr>
  </w:style>
  <w:style w:type="paragraph" w:customStyle="1" w:styleId="ActHead5">
    <w:name w:val="ActHead 5"/>
    <w:aliases w:val="s"/>
    <w:basedOn w:val="Normal"/>
    <w:next w:val="Normal"/>
    <w:qFormat/>
    <w:rsid w:val="00136219"/>
    <w:pPr>
      <w:keepNext/>
      <w:keepLines/>
      <w:spacing w:before="280"/>
      <w:ind w:left="1134" w:hanging="1134"/>
      <w:outlineLvl w:val="4"/>
    </w:pPr>
    <w:rPr>
      <w:rFonts w:ascii="Times New Roman" w:eastAsia="Times New Roman" w:hAnsi="Times New Roman"/>
      <w:b/>
      <w:kern w:val="28"/>
      <w:sz w:val="24"/>
      <w:szCs w:val="20"/>
      <w:lang w:eastAsia="en-AU"/>
    </w:rPr>
  </w:style>
  <w:style w:type="character" w:customStyle="1" w:styleId="CharSectno">
    <w:name w:val="CharSectno"/>
    <w:basedOn w:val="DefaultParagraphFont"/>
    <w:qFormat/>
    <w:rsid w:val="00136219"/>
  </w:style>
  <w:style w:type="paragraph" w:styleId="NormalWeb">
    <w:name w:val="Normal (Web)"/>
    <w:basedOn w:val="Normal"/>
    <w:uiPriority w:val="99"/>
    <w:semiHidden/>
    <w:unhideWhenUsed/>
    <w:rsid w:val="00241F2E"/>
    <w:pPr>
      <w:spacing w:before="100" w:beforeAutospacing="1" w:after="100" w:afterAutospacing="1"/>
    </w:pPr>
    <w:rPr>
      <w:rFonts w:ascii="Times New Roman" w:eastAsiaTheme="minorHAnsi" w:hAnsi="Times New Roman"/>
      <w:sz w:val="24"/>
      <w:szCs w:val="24"/>
      <w:lang w:eastAsia="en-AU"/>
    </w:rPr>
  </w:style>
  <w:style w:type="paragraph" w:customStyle="1" w:styleId="ta-response-item-content">
    <w:name w:val="ta-response-item-content"/>
    <w:basedOn w:val="Normal"/>
    <w:rsid w:val="0002077F"/>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35435">
      <w:bodyDiv w:val="1"/>
      <w:marLeft w:val="0"/>
      <w:marRight w:val="0"/>
      <w:marTop w:val="0"/>
      <w:marBottom w:val="0"/>
      <w:divBdr>
        <w:top w:val="none" w:sz="0" w:space="0" w:color="auto"/>
        <w:left w:val="none" w:sz="0" w:space="0" w:color="auto"/>
        <w:bottom w:val="none" w:sz="0" w:space="0" w:color="auto"/>
        <w:right w:val="none" w:sz="0" w:space="0" w:color="auto"/>
      </w:divBdr>
    </w:div>
    <w:div w:id="188178067">
      <w:bodyDiv w:val="1"/>
      <w:marLeft w:val="0"/>
      <w:marRight w:val="0"/>
      <w:marTop w:val="0"/>
      <w:marBottom w:val="0"/>
      <w:divBdr>
        <w:top w:val="none" w:sz="0" w:space="0" w:color="auto"/>
        <w:left w:val="none" w:sz="0" w:space="0" w:color="auto"/>
        <w:bottom w:val="none" w:sz="0" w:space="0" w:color="auto"/>
        <w:right w:val="none" w:sz="0" w:space="0" w:color="auto"/>
      </w:divBdr>
    </w:div>
    <w:div w:id="251940546">
      <w:bodyDiv w:val="1"/>
      <w:marLeft w:val="0"/>
      <w:marRight w:val="0"/>
      <w:marTop w:val="0"/>
      <w:marBottom w:val="0"/>
      <w:divBdr>
        <w:top w:val="none" w:sz="0" w:space="0" w:color="auto"/>
        <w:left w:val="none" w:sz="0" w:space="0" w:color="auto"/>
        <w:bottom w:val="none" w:sz="0" w:space="0" w:color="auto"/>
        <w:right w:val="none" w:sz="0" w:space="0" w:color="auto"/>
      </w:divBdr>
    </w:div>
    <w:div w:id="255597494">
      <w:bodyDiv w:val="1"/>
      <w:marLeft w:val="0"/>
      <w:marRight w:val="0"/>
      <w:marTop w:val="0"/>
      <w:marBottom w:val="0"/>
      <w:divBdr>
        <w:top w:val="none" w:sz="0" w:space="0" w:color="auto"/>
        <w:left w:val="none" w:sz="0" w:space="0" w:color="auto"/>
        <w:bottom w:val="none" w:sz="0" w:space="0" w:color="auto"/>
        <w:right w:val="none" w:sz="0" w:space="0" w:color="auto"/>
      </w:divBdr>
    </w:div>
    <w:div w:id="349381134">
      <w:bodyDiv w:val="1"/>
      <w:marLeft w:val="0"/>
      <w:marRight w:val="0"/>
      <w:marTop w:val="0"/>
      <w:marBottom w:val="0"/>
      <w:divBdr>
        <w:top w:val="none" w:sz="0" w:space="0" w:color="auto"/>
        <w:left w:val="none" w:sz="0" w:space="0" w:color="auto"/>
        <w:bottom w:val="none" w:sz="0" w:space="0" w:color="auto"/>
        <w:right w:val="none" w:sz="0" w:space="0" w:color="auto"/>
      </w:divBdr>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430786656">
      <w:bodyDiv w:val="1"/>
      <w:marLeft w:val="0"/>
      <w:marRight w:val="0"/>
      <w:marTop w:val="0"/>
      <w:marBottom w:val="0"/>
      <w:divBdr>
        <w:top w:val="none" w:sz="0" w:space="0" w:color="auto"/>
        <w:left w:val="none" w:sz="0" w:space="0" w:color="auto"/>
        <w:bottom w:val="none" w:sz="0" w:space="0" w:color="auto"/>
        <w:right w:val="none" w:sz="0" w:space="0" w:color="auto"/>
      </w:divBdr>
    </w:div>
    <w:div w:id="435636909">
      <w:bodyDiv w:val="1"/>
      <w:marLeft w:val="0"/>
      <w:marRight w:val="0"/>
      <w:marTop w:val="0"/>
      <w:marBottom w:val="0"/>
      <w:divBdr>
        <w:top w:val="none" w:sz="0" w:space="0" w:color="auto"/>
        <w:left w:val="none" w:sz="0" w:space="0" w:color="auto"/>
        <w:bottom w:val="none" w:sz="0" w:space="0" w:color="auto"/>
        <w:right w:val="none" w:sz="0" w:space="0" w:color="auto"/>
      </w:divBdr>
    </w:div>
    <w:div w:id="479808035">
      <w:bodyDiv w:val="1"/>
      <w:marLeft w:val="0"/>
      <w:marRight w:val="0"/>
      <w:marTop w:val="0"/>
      <w:marBottom w:val="0"/>
      <w:divBdr>
        <w:top w:val="none" w:sz="0" w:space="0" w:color="auto"/>
        <w:left w:val="none" w:sz="0" w:space="0" w:color="auto"/>
        <w:bottom w:val="none" w:sz="0" w:space="0" w:color="auto"/>
        <w:right w:val="none" w:sz="0" w:space="0" w:color="auto"/>
      </w:divBdr>
    </w:div>
    <w:div w:id="565264019">
      <w:bodyDiv w:val="1"/>
      <w:marLeft w:val="0"/>
      <w:marRight w:val="0"/>
      <w:marTop w:val="0"/>
      <w:marBottom w:val="0"/>
      <w:divBdr>
        <w:top w:val="none" w:sz="0" w:space="0" w:color="auto"/>
        <w:left w:val="none" w:sz="0" w:space="0" w:color="auto"/>
        <w:bottom w:val="none" w:sz="0" w:space="0" w:color="auto"/>
        <w:right w:val="none" w:sz="0" w:space="0" w:color="auto"/>
      </w:divBdr>
    </w:div>
    <w:div w:id="568002639">
      <w:bodyDiv w:val="1"/>
      <w:marLeft w:val="0"/>
      <w:marRight w:val="0"/>
      <w:marTop w:val="0"/>
      <w:marBottom w:val="0"/>
      <w:divBdr>
        <w:top w:val="none" w:sz="0" w:space="0" w:color="auto"/>
        <w:left w:val="none" w:sz="0" w:space="0" w:color="auto"/>
        <w:bottom w:val="none" w:sz="0" w:space="0" w:color="auto"/>
        <w:right w:val="none" w:sz="0" w:space="0" w:color="auto"/>
      </w:divBdr>
    </w:div>
    <w:div w:id="653066814">
      <w:bodyDiv w:val="1"/>
      <w:marLeft w:val="0"/>
      <w:marRight w:val="0"/>
      <w:marTop w:val="0"/>
      <w:marBottom w:val="0"/>
      <w:divBdr>
        <w:top w:val="none" w:sz="0" w:space="0" w:color="auto"/>
        <w:left w:val="none" w:sz="0" w:space="0" w:color="auto"/>
        <w:bottom w:val="none" w:sz="0" w:space="0" w:color="auto"/>
        <w:right w:val="none" w:sz="0" w:space="0" w:color="auto"/>
      </w:divBdr>
    </w:div>
    <w:div w:id="819469156">
      <w:bodyDiv w:val="1"/>
      <w:marLeft w:val="0"/>
      <w:marRight w:val="0"/>
      <w:marTop w:val="0"/>
      <w:marBottom w:val="0"/>
      <w:divBdr>
        <w:top w:val="none" w:sz="0" w:space="0" w:color="auto"/>
        <w:left w:val="none" w:sz="0" w:space="0" w:color="auto"/>
        <w:bottom w:val="none" w:sz="0" w:space="0" w:color="auto"/>
        <w:right w:val="none" w:sz="0" w:space="0" w:color="auto"/>
      </w:divBdr>
    </w:div>
    <w:div w:id="844634793">
      <w:bodyDiv w:val="1"/>
      <w:marLeft w:val="0"/>
      <w:marRight w:val="0"/>
      <w:marTop w:val="0"/>
      <w:marBottom w:val="0"/>
      <w:divBdr>
        <w:top w:val="none" w:sz="0" w:space="0" w:color="auto"/>
        <w:left w:val="none" w:sz="0" w:space="0" w:color="auto"/>
        <w:bottom w:val="none" w:sz="0" w:space="0" w:color="auto"/>
        <w:right w:val="none" w:sz="0" w:space="0" w:color="auto"/>
      </w:divBdr>
    </w:div>
    <w:div w:id="895626239">
      <w:bodyDiv w:val="1"/>
      <w:marLeft w:val="0"/>
      <w:marRight w:val="0"/>
      <w:marTop w:val="0"/>
      <w:marBottom w:val="0"/>
      <w:divBdr>
        <w:top w:val="none" w:sz="0" w:space="0" w:color="auto"/>
        <w:left w:val="none" w:sz="0" w:space="0" w:color="auto"/>
        <w:bottom w:val="none" w:sz="0" w:space="0" w:color="auto"/>
        <w:right w:val="none" w:sz="0" w:space="0" w:color="auto"/>
      </w:divBdr>
    </w:div>
    <w:div w:id="975453846">
      <w:bodyDiv w:val="1"/>
      <w:marLeft w:val="0"/>
      <w:marRight w:val="0"/>
      <w:marTop w:val="0"/>
      <w:marBottom w:val="0"/>
      <w:divBdr>
        <w:top w:val="none" w:sz="0" w:space="0" w:color="auto"/>
        <w:left w:val="none" w:sz="0" w:space="0" w:color="auto"/>
        <w:bottom w:val="none" w:sz="0" w:space="0" w:color="auto"/>
        <w:right w:val="none" w:sz="0" w:space="0" w:color="auto"/>
      </w:divBdr>
    </w:div>
    <w:div w:id="975572721">
      <w:bodyDiv w:val="1"/>
      <w:marLeft w:val="0"/>
      <w:marRight w:val="0"/>
      <w:marTop w:val="0"/>
      <w:marBottom w:val="0"/>
      <w:divBdr>
        <w:top w:val="none" w:sz="0" w:space="0" w:color="auto"/>
        <w:left w:val="none" w:sz="0" w:space="0" w:color="auto"/>
        <w:bottom w:val="none" w:sz="0" w:space="0" w:color="auto"/>
        <w:right w:val="none" w:sz="0" w:space="0" w:color="auto"/>
      </w:divBdr>
    </w:div>
    <w:div w:id="986519132">
      <w:bodyDiv w:val="1"/>
      <w:marLeft w:val="0"/>
      <w:marRight w:val="0"/>
      <w:marTop w:val="0"/>
      <w:marBottom w:val="0"/>
      <w:divBdr>
        <w:top w:val="none" w:sz="0" w:space="0" w:color="auto"/>
        <w:left w:val="none" w:sz="0" w:space="0" w:color="auto"/>
        <w:bottom w:val="none" w:sz="0" w:space="0" w:color="auto"/>
        <w:right w:val="none" w:sz="0" w:space="0" w:color="auto"/>
      </w:divBdr>
    </w:div>
    <w:div w:id="1033768610">
      <w:bodyDiv w:val="1"/>
      <w:marLeft w:val="0"/>
      <w:marRight w:val="0"/>
      <w:marTop w:val="0"/>
      <w:marBottom w:val="0"/>
      <w:divBdr>
        <w:top w:val="none" w:sz="0" w:space="0" w:color="auto"/>
        <w:left w:val="none" w:sz="0" w:space="0" w:color="auto"/>
        <w:bottom w:val="none" w:sz="0" w:space="0" w:color="auto"/>
        <w:right w:val="none" w:sz="0" w:space="0" w:color="auto"/>
      </w:divBdr>
    </w:div>
    <w:div w:id="1055546090">
      <w:bodyDiv w:val="1"/>
      <w:marLeft w:val="0"/>
      <w:marRight w:val="0"/>
      <w:marTop w:val="0"/>
      <w:marBottom w:val="0"/>
      <w:divBdr>
        <w:top w:val="none" w:sz="0" w:space="0" w:color="auto"/>
        <w:left w:val="none" w:sz="0" w:space="0" w:color="auto"/>
        <w:bottom w:val="none" w:sz="0" w:space="0" w:color="auto"/>
        <w:right w:val="none" w:sz="0" w:space="0" w:color="auto"/>
      </w:divBdr>
    </w:div>
    <w:div w:id="1061638562">
      <w:bodyDiv w:val="1"/>
      <w:marLeft w:val="0"/>
      <w:marRight w:val="0"/>
      <w:marTop w:val="0"/>
      <w:marBottom w:val="0"/>
      <w:divBdr>
        <w:top w:val="none" w:sz="0" w:space="0" w:color="auto"/>
        <w:left w:val="none" w:sz="0" w:space="0" w:color="auto"/>
        <w:bottom w:val="none" w:sz="0" w:space="0" w:color="auto"/>
        <w:right w:val="none" w:sz="0" w:space="0" w:color="auto"/>
      </w:divBdr>
      <w:divsChild>
        <w:div w:id="212544910">
          <w:marLeft w:val="0"/>
          <w:marRight w:val="0"/>
          <w:marTop w:val="0"/>
          <w:marBottom w:val="0"/>
          <w:divBdr>
            <w:top w:val="none" w:sz="0" w:space="0" w:color="auto"/>
            <w:left w:val="none" w:sz="0" w:space="0" w:color="auto"/>
            <w:bottom w:val="none" w:sz="0" w:space="0" w:color="auto"/>
            <w:right w:val="none" w:sz="0" w:space="0" w:color="auto"/>
          </w:divBdr>
          <w:divsChild>
            <w:div w:id="279267934">
              <w:marLeft w:val="0"/>
              <w:marRight w:val="0"/>
              <w:marTop w:val="0"/>
              <w:marBottom w:val="0"/>
              <w:divBdr>
                <w:top w:val="none" w:sz="0" w:space="0" w:color="auto"/>
                <w:left w:val="none" w:sz="0" w:space="0" w:color="auto"/>
                <w:bottom w:val="none" w:sz="0" w:space="0" w:color="auto"/>
                <w:right w:val="none" w:sz="0" w:space="0" w:color="auto"/>
              </w:divBdr>
              <w:divsChild>
                <w:div w:id="1260407477">
                  <w:marLeft w:val="15"/>
                  <w:marRight w:val="15"/>
                  <w:marTop w:val="0"/>
                  <w:marBottom w:val="0"/>
                  <w:divBdr>
                    <w:top w:val="single" w:sz="6" w:space="0" w:color="FFFFFF"/>
                    <w:left w:val="single" w:sz="6" w:space="0" w:color="FFFFFF"/>
                    <w:bottom w:val="single" w:sz="6" w:space="11" w:color="FFFFFF"/>
                    <w:right w:val="single" w:sz="6" w:space="0" w:color="FFFFFF"/>
                  </w:divBdr>
                  <w:divsChild>
                    <w:div w:id="1748186948">
                      <w:marLeft w:val="300"/>
                      <w:marRight w:val="300"/>
                      <w:marTop w:val="300"/>
                      <w:marBottom w:val="0"/>
                      <w:divBdr>
                        <w:top w:val="none" w:sz="0" w:space="0" w:color="auto"/>
                        <w:left w:val="none" w:sz="0" w:space="0" w:color="auto"/>
                        <w:bottom w:val="none" w:sz="0" w:space="0" w:color="auto"/>
                        <w:right w:val="none" w:sz="0" w:space="0" w:color="auto"/>
                      </w:divBdr>
                      <w:divsChild>
                        <w:div w:id="1139420186">
                          <w:marLeft w:val="0"/>
                          <w:marRight w:val="0"/>
                          <w:marTop w:val="0"/>
                          <w:marBottom w:val="0"/>
                          <w:divBdr>
                            <w:top w:val="none" w:sz="0" w:space="0" w:color="auto"/>
                            <w:left w:val="none" w:sz="0" w:space="0" w:color="auto"/>
                            <w:bottom w:val="none" w:sz="0" w:space="0" w:color="auto"/>
                            <w:right w:val="none" w:sz="0" w:space="0" w:color="auto"/>
                          </w:divBdr>
                          <w:divsChild>
                            <w:div w:id="1158184066">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sChild>
    </w:div>
    <w:div w:id="1101222532">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215896090">
      <w:bodyDiv w:val="1"/>
      <w:marLeft w:val="0"/>
      <w:marRight w:val="0"/>
      <w:marTop w:val="0"/>
      <w:marBottom w:val="0"/>
      <w:divBdr>
        <w:top w:val="none" w:sz="0" w:space="0" w:color="auto"/>
        <w:left w:val="none" w:sz="0" w:space="0" w:color="auto"/>
        <w:bottom w:val="none" w:sz="0" w:space="0" w:color="auto"/>
        <w:right w:val="none" w:sz="0" w:space="0" w:color="auto"/>
      </w:divBdr>
    </w:div>
    <w:div w:id="1301036078">
      <w:bodyDiv w:val="1"/>
      <w:marLeft w:val="0"/>
      <w:marRight w:val="0"/>
      <w:marTop w:val="0"/>
      <w:marBottom w:val="0"/>
      <w:divBdr>
        <w:top w:val="none" w:sz="0" w:space="0" w:color="auto"/>
        <w:left w:val="none" w:sz="0" w:space="0" w:color="auto"/>
        <w:bottom w:val="none" w:sz="0" w:space="0" w:color="auto"/>
        <w:right w:val="none" w:sz="0" w:space="0" w:color="auto"/>
      </w:divBdr>
    </w:div>
    <w:div w:id="1324091239">
      <w:bodyDiv w:val="1"/>
      <w:marLeft w:val="0"/>
      <w:marRight w:val="0"/>
      <w:marTop w:val="0"/>
      <w:marBottom w:val="0"/>
      <w:divBdr>
        <w:top w:val="none" w:sz="0" w:space="0" w:color="auto"/>
        <w:left w:val="none" w:sz="0" w:space="0" w:color="auto"/>
        <w:bottom w:val="none" w:sz="0" w:space="0" w:color="auto"/>
        <w:right w:val="none" w:sz="0" w:space="0" w:color="auto"/>
      </w:divBdr>
    </w:div>
    <w:div w:id="1354458168">
      <w:bodyDiv w:val="1"/>
      <w:marLeft w:val="0"/>
      <w:marRight w:val="0"/>
      <w:marTop w:val="0"/>
      <w:marBottom w:val="0"/>
      <w:divBdr>
        <w:top w:val="none" w:sz="0" w:space="0" w:color="auto"/>
        <w:left w:val="none" w:sz="0" w:space="0" w:color="auto"/>
        <w:bottom w:val="none" w:sz="0" w:space="0" w:color="auto"/>
        <w:right w:val="none" w:sz="0" w:space="0" w:color="auto"/>
      </w:divBdr>
    </w:div>
    <w:div w:id="1368337452">
      <w:bodyDiv w:val="1"/>
      <w:marLeft w:val="0"/>
      <w:marRight w:val="0"/>
      <w:marTop w:val="0"/>
      <w:marBottom w:val="0"/>
      <w:divBdr>
        <w:top w:val="none" w:sz="0" w:space="0" w:color="auto"/>
        <w:left w:val="none" w:sz="0" w:space="0" w:color="auto"/>
        <w:bottom w:val="none" w:sz="0" w:space="0" w:color="auto"/>
        <w:right w:val="none" w:sz="0" w:space="0" w:color="auto"/>
      </w:divBdr>
    </w:div>
    <w:div w:id="1523207717">
      <w:bodyDiv w:val="1"/>
      <w:marLeft w:val="0"/>
      <w:marRight w:val="0"/>
      <w:marTop w:val="0"/>
      <w:marBottom w:val="0"/>
      <w:divBdr>
        <w:top w:val="none" w:sz="0" w:space="0" w:color="auto"/>
        <w:left w:val="none" w:sz="0" w:space="0" w:color="auto"/>
        <w:bottom w:val="none" w:sz="0" w:space="0" w:color="auto"/>
        <w:right w:val="none" w:sz="0" w:space="0" w:color="auto"/>
      </w:divBdr>
    </w:div>
    <w:div w:id="1535532365">
      <w:bodyDiv w:val="1"/>
      <w:marLeft w:val="0"/>
      <w:marRight w:val="0"/>
      <w:marTop w:val="0"/>
      <w:marBottom w:val="0"/>
      <w:divBdr>
        <w:top w:val="none" w:sz="0" w:space="0" w:color="auto"/>
        <w:left w:val="none" w:sz="0" w:space="0" w:color="auto"/>
        <w:bottom w:val="none" w:sz="0" w:space="0" w:color="auto"/>
        <w:right w:val="none" w:sz="0" w:space="0" w:color="auto"/>
      </w:divBdr>
    </w:div>
    <w:div w:id="1538666175">
      <w:bodyDiv w:val="1"/>
      <w:marLeft w:val="0"/>
      <w:marRight w:val="0"/>
      <w:marTop w:val="0"/>
      <w:marBottom w:val="0"/>
      <w:divBdr>
        <w:top w:val="none" w:sz="0" w:space="0" w:color="auto"/>
        <w:left w:val="none" w:sz="0" w:space="0" w:color="auto"/>
        <w:bottom w:val="none" w:sz="0" w:space="0" w:color="auto"/>
        <w:right w:val="none" w:sz="0" w:space="0" w:color="auto"/>
      </w:divBdr>
    </w:div>
    <w:div w:id="1561860367">
      <w:bodyDiv w:val="1"/>
      <w:marLeft w:val="0"/>
      <w:marRight w:val="0"/>
      <w:marTop w:val="0"/>
      <w:marBottom w:val="0"/>
      <w:divBdr>
        <w:top w:val="none" w:sz="0" w:space="0" w:color="auto"/>
        <w:left w:val="none" w:sz="0" w:space="0" w:color="auto"/>
        <w:bottom w:val="none" w:sz="0" w:space="0" w:color="auto"/>
        <w:right w:val="none" w:sz="0" w:space="0" w:color="auto"/>
      </w:divBdr>
    </w:div>
    <w:div w:id="1691175791">
      <w:bodyDiv w:val="1"/>
      <w:marLeft w:val="0"/>
      <w:marRight w:val="0"/>
      <w:marTop w:val="0"/>
      <w:marBottom w:val="0"/>
      <w:divBdr>
        <w:top w:val="none" w:sz="0" w:space="0" w:color="auto"/>
        <w:left w:val="none" w:sz="0" w:space="0" w:color="auto"/>
        <w:bottom w:val="none" w:sz="0" w:space="0" w:color="auto"/>
        <w:right w:val="none" w:sz="0" w:space="0" w:color="auto"/>
      </w:divBdr>
    </w:div>
    <w:div w:id="1733774192">
      <w:bodyDiv w:val="1"/>
      <w:marLeft w:val="0"/>
      <w:marRight w:val="0"/>
      <w:marTop w:val="0"/>
      <w:marBottom w:val="0"/>
      <w:divBdr>
        <w:top w:val="none" w:sz="0" w:space="0" w:color="auto"/>
        <w:left w:val="none" w:sz="0" w:space="0" w:color="auto"/>
        <w:bottom w:val="none" w:sz="0" w:space="0" w:color="auto"/>
        <w:right w:val="none" w:sz="0" w:space="0" w:color="auto"/>
      </w:divBdr>
    </w:div>
    <w:div w:id="1803886949">
      <w:bodyDiv w:val="1"/>
      <w:marLeft w:val="0"/>
      <w:marRight w:val="0"/>
      <w:marTop w:val="0"/>
      <w:marBottom w:val="0"/>
      <w:divBdr>
        <w:top w:val="none" w:sz="0" w:space="0" w:color="auto"/>
        <w:left w:val="none" w:sz="0" w:space="0" w:color="auto"/>
        <w:bottom w:val="none" w:sz="0" w:space="0" w:color="auto"/>
        <w:right w:val="none" w:sz="0" w:space="0" w:color="auto"/>
      </w:divBdr>
    </w:div>
    <w:div w:id="1858419135">
      <w:bodyDiv w:val="1"/>
      <w:marLeft w:val="0"/>
      <w:marRight w:val="0"/>
      <w:marTop w:val="0"/>
      <w:marBottom w:val="0"/>
      <w:divBdr>
        <w:top w:val="none" w:sz="0" w:space="0" w:color="auto"/>
        <w:left w:val="none" w:sz="0" w:space="0" w:color="auto"/>
        <w:bottom w:val="none" w:sz="0" w:space="0" w:color="auto"/>
        <w:right w:val="none" w:sz="0" w:space="0" w:color="auto"/>
      </w:divBdr>
    </w:div>
    <w:div w:id="1876578811">
      <w:bodyDiv w:val="1"/>
      <w:marLeft w:val="0"/>
      <w:marRight w:val="0"/>
      <w:marTop w:val="0"/>
      <w:marBottom w:val="0"/>
      <w:divBdr>
        <w:top w:val="none" w:sz="0" w:space="0" w:color="auto"/>
        <w:left w:val="none" w:sz="0" w:space="0" w:color="auto"/>
        <w:bottom w:val="none" w:sz="0" w:space="0" w:color="auto"/>
        <w:right w:val="none" w:sz="0" w:space="0" w:color="auto"/>
      </w:divBdr>
    </w:div>
    <w:div w:id="1941525801">
      <w:bodyDiv w:val="1"/>
      <w:marLeft w:val="0"/>
      <w:marRight w:val="0"/>
      <w:marTop w:val="0"/>
      <w:marBottom w:val="0"/>
      <w:divBdr>
        <w:top w:val="none" w:sz="0" w:space="0" w:color="auto"/>
        <w:left w:val="none" w:sz="0" w:space="0" w:color="auto"/>
        <w:bottom w:val="none" w:sz="0" w:space="0" w:color="auto"/>
        <w:right w:val="none" w:sz="0" w:space="0" w:color="auto"/>
      </w:divBdr>
    </w:div>
    <w:div w:id="1982342483">
      <w:bodyDiv w:val="1"/>
      <w:marLeft w:val="0"/>
      <w:marRight w:val="0"/>
      <w:marTop w:val="0"/>
      <w:marBottom w:val="0"/>
      <w:divBdr>
        <w:top w:val="none" w:sz="0" w:space="0" w:color="auto"/>
        <w:left w:val="none" w:sz="0" w:space="0" w:color="auto"/>
        <w:bottom w:val="none" w:sz="0" w:space="0" w:color="auto"/>
        <w:right w:val="none" w:sz="0" w:space="0" w:color="auto"/>
      </w:divBdr>
    </w:div>
    <w:div w:id="2076050704">
      <w:bodyDiv w:val="1"/>
      <w:marLeft w:val="0"/>
      <w:marRight w:val="0"/>
      <w:marTop w:val="0"/>
      <w:marBottom w:val="0"/>
      <w:divBdr>
        <w:top w:val="none" w:sz="0" w:space="0" w:color="auto"/>
        <w:left w:val="none" w:sz="0" w:space="0" w:color="auto"/>
        <w:bottom w:val="none" w:sz="0" w:space="0" w:color="auto"/>
        <w:right w:val="none" w:sz="0" w:space="0" w:color="auto"/>
      </w:divBdr>
    </w:div>
    <w:div w:id="21300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coag.gov.au/sites/default/files/NHVR%20IGA-19August%20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08277-B862-4F45-9685-A380002F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17</Pages>
  <Words>8123</Words>
  <Characters>46306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54321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subject/>
  <dc:creator>loydelld</dc:creator>
  <cp:keywords/>
  <dc:description/>
  <cp:lastModifiedBy>Bill McKinley</cp:lastModifiedBy>
  <cp:revision>149</cp:revision>
  <cp:lastPrinted>2014-09-19T05:36:00Z</cp:lastPrinted>
  <dcterms:created xsi:type="dcterms:W3CDTF">2014-09-14T23:06:00Z</dcterms:created>
  <dcterms:modified xsi:type="dcterms:W3CDTF">2014-09-19T06:24:00Z</dcterms:modified>
</cp:coreProperties>
</file>