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11" w:rsidRDefault="00B62B11" w:rsidP="00B62B11">
      <w:pPr>
        <w:suppressAutoHyphens/>
        <w:spacing w:after="0" w:line="240" w:lineRule="auto"/>
        <w:rPr>
          <w:rFonts w:ascii="Arial" w:eastAsia="Calibri" w:hAnsi="Arial" w:cs="Arial"/>
          <w:b/>
          <w:color w:val="00000A"/>
          <w:sz w:val="24"/>
          <w:szCs w:val="24"/>
          <w:lang w:eastAsia="ar-SA"/>
        </w:rPr>
      </w:pPr>
      <w:bookmarkStart w:id="0" w:name="_GoBack"/>
      <w:bookmarkEnd w:id="0"/>
    </w:p>
    <w:p w:rsidR="00FB32D2" w:rsidRPr="00D96493" w:rsidRDefault="00FB32D2" w:rsidP="00F14733">
      <w:pPr>
        <w:suppressAutoHyphens/>
        <w:spacing w:after="0" w:line="240" w:lineRule="auto"/>
        <w:jc w:val="center"/>
        <w:rPr>
          <w:rFonts w:ascii="Arial" w:eastAsia="Calibri" w:hAnsi="Arial" w:cs="Arial"/>
          <w:b/>
          <w:color w:val="00000A"/>
          <w:lang w:eastAsia="ar-SA"/>
        </w:rPr>
      </w:pPr>
      <w:r>
        <w:rPr>
          <w:rFonts w:ascii="Arial" w:eastAsia="Calibri" w:hAnsi="Arial" w:cs="Arial"/>
          <w:b/>
          <w:color w:val="00000A"/>
          <w:lang w:eastAsia="ar-SA"/>
        </w:rPr>
        <w:t xml:space="preserve">SAFETY ASSURANCE FOR AUTOMATED DRIVING SYSTEMS </w:t>
      </w:r>
    </w:p>
    <w:p w:rsidR="00F14733" w:rsidRDefault="001F264A" w:rsidP="00F14733">
      <w:pPr>
        <w:suppressAutoHyphens/>
        <w:spacing w:after="0" w:line="240" w:lineRule="auto"/>
        <w:jc w:val="center"/>
        <w:rPr>
          <w:rFonts w:ascii="Arial" w:eastAsia="Calibri" w:hAnsi="Arial" w:cs="Arial"/>
          <w:b/>
          <w:color w:val="00000A"/>
          <w:lang w:eastAsia="ar-SA"/>
        </w:rPr>
      </w:pPr>
      <w:r>
        <w:rPr>
          <w:rFonts w:ascii="Arial" w:eastAsia="Calibri" w:hAnsi="Arial" w:cs="Arial"/>
          <w:b/>
          <w:color w:val="00000A"/>
          <w:lang w:eastAsia="ar-SA"/>
        </w:rPr>
        <w:t xml:space="preserve">CONSULTATION REGULATORY IMPACT STATEMENT </w:t>
      </w:r>
    </w:p>
    <w:p w:rsidR="0073727A" w:rsidRDefault="00AD30B2" w:rsidP="00F14733">
      <w:pPr>
        <w:suppressAutoHyphens/>
        <w:spacing w:after="0" w:line="240" w:lineRule="auto"/>
        <w:jc w:val="center"/>
        <w:rPr>
          <w:rFonts w:ascii="Arial" w:eastAsia="Calibri" w:hAnsi="Arial" w:cs="Arial"/>
          <w:b/>
          <w:color w:val="00000A"/>
          <w:lang w:eastAsia="ar-SA"/>
        </w:rPr>
      </w:pPr>
      <w:r w:rsidRPr="00AD30B2">
        <w:rPr>
          <w:rFonts w:ascii="Arial" w:eastAsia="Calibri" w:hAnsi="Arial" w:cs="Arial"/>
          <w:b/>
          <w:color w:val="00000A"/>
          <w:lang w:eastAsia="ar-SA"/>
        </w:rPr>
        <w:t>AUSTRALIAN TRUCKING ASSOCIATION SUBMISSION</w:t>
      </w:r>
    </w:p>
    <w:p w:rsidR="00F1089D" w:rsidRPr="00AD30B2" w:rsidRDefault="00FB32D2" w:rsidP="00F14733">
      <w:pPr>
        <w:suppressAutoHyphens/>
        <w:spacing w:after="0" w:line="240" w:lineRule="auto"/>
        <w:jc w:val="center"/>
        <w:rPr>
          <w:rFonts w:ascii="Arial" w:eastAsia="Calibri" w:hAnsi="Arial" w:cs="Arial"/>
          <w:b/>
          <w:color w:val="00000A"/>
          <w:lang w:eastAsia="ar-SA"/>
        </w:rPr>
      </w:pPr>
      <w:r>
        <w:rPr>
          <w:rFonts w:ascii="Arial" w:eastAsia="Calibri" w:hAnsi="Arial" w:cs="Arial"/>
          <w:b/>
          <w:color w:val="00000A"/>
          <w:lang w:eastAsia="ar-SA"/>
        </w:rPr>
        <w:t>12</w:t>
      </w:r>
      <w:r w:rsidR="001F264A">
        <w:rPr>
          <w:rFonts w:ascii="Arial" w:eastAsia="Calibri" w:hAnsi="Arial" w:cs="Arial"/>
          <w:b/>
          <w:color w:val="00000A"/>
          <w:lang w:eastAsia="ar-SA"/>
        </w:rPr>
        <w:t xml:space="preserve"> JULY</w:t>
      </w:r>
      <w:r w:rsidR="00F1089D">
        <w:rPr>
          <w:rFonts w:ascii="Arial" w:eastAsia="Calibri" w:hAnsi="Arial" w:cs="Arial"/>
          <w:b/>
          <w:color w:val="00000A"/>
          <w:lang w:eastAsia="ar-SA"/>
        </w:rPr>
        <w:t xml:space="preserve"> 2018</w:t>
      </w:r>
    </w:p>
    <w:p w:rsidR="00AD30B2" w:rsidRPr="00AD30B2" w:rsidRDefault="00AD30B2" w:rsidP="00D96493">
      <w:pPr>
        <w:suppressAutoHyphens/>
        <w:spacing w:after="0" w:line="240" w:lineRule="auto"/>
        <w:rPr>
          <w:rFonts w:ascii="Arial" w:eastAsia="Calibri" w:hAnsi="Arial" w:cs="Arial"/>
          <w:b/>
          <w:color w:val="00000A"/>
          <w:lang w:eastAsia="ar-SA"/>
        </w:rPr>
      </w:pPr>
    </w:p>
    <w:p w:rsidR="00B62B11" w:rsidRPr="00AD30B2" w:rsidRDefault="00B62B11" w:rsidP="00AD30B2">
      <w:pPr>
        <w:suppressAutoHyphens/>
        <w:spacing w:after="0" w:line="240" w:lineRule="auto"/>
        <w:rPr>
          <w:rFonts w:ascii="Arial" w:eastAsia="Calibri" w:hAnsi="Arial" w:cs="Arial"/>
          <w:color w:val="00000A"/>
          <w:lang w:eastAsia="ar-SA"/>
        </w:rPr>
      </w:pPr>
    </w:p>
    <w:p w:rsidR="00A503DB" w:rsidRPr="00EB5D57" w:rsidRDefault="00A503DB" w:rsidP="00A503DB">
      <w:pPr>
        <w:numPr>
          <w:ilvl w:val="0"/>
          <w:numId w:val="1"/>
        </w:numPr>
        <w:suppressAutoHyphens/>
        <w:spacing w:after="0" w:line="240" w:lineRule="auto"/>
        <w:rPr>
          <w:rFonts w:ascii="Arial" w:eastAsia="Calibri" w:hAnsi="Arial" w:cs="Arial"/>
          <w:color w:val="00000A"/>
          <w:sz w:val="24"/>
          <w:szCs w:val="24"/>
          <w:lang w:eastAsia="ar-SA"/>
        </w:rPr>
      </w:pPr>
      <w:r w:rsidRPr="00EB5D57">
        <w:rPr>
          <w:rFonts w:ascii="Arial" w:eastAsia="Calibri" w:hAnsi="Arial" w:cs="Arial"/>
          <w:b/>
          <w:color w:val="00000A"/>
          <w:sz w:val="24"/>
          <w:szCs w:val="24"/>
          <w:lang w:eastAsia="ar-SA"/>
        </w:rPr>
        <w:t>About the Australian Trucking Association</w:t>
      </w:r>
    </w:p>
    <w:p w:rsidR="00A503DB" w:rsidRPr="00FA1B46" w:rsidRDefault="00A503DB" w:rsidP="00A503DB">
      <w:pPr>
        <w:suppressAutoHyphens/>
        <w:spacing w:after="0" w:line="240" w:lineRule="auto"/>
        <w:rPr>
          <w:rFonts w:ascii="Arial" w:eastAsia="Calibri" w:hAnsi="Arial" w:cs="Arial"/>
          <w:color w:val="00000A"/>
          <w:lang w:eastAsia="ar-SA"/>
        </w:rPr>
      </w:pPr>
    </w:p>
    <w:p w:rsidR="00A503DB" w:rsidRDefault="00A503DB" w:rsidP="00A503DB">
      <w:pPr>
        <w:suppressAutoHyphens/>
        <w:spacing w:after="0" w:line="240" w:lineRule="auto"/>
        <w:rPr>
          <w:rFonts w:ascii="Arial" w:eastAsia="Times New Roman" w:hAnsi="Arial" w:cs="Arial"/>
          <w:color w:val="000000"/>
          <w:lang w:eastAsia="ar-SA"/>
        </w:rPr>
      </w:pPr>
      <w:r w:rsidRPr="00FA1B46">
        <w:rPr>
          <w:rFonts w:ascii="Arial" w:eastAsia="Times New Roman" w:hAnsi="Arial" w:cs="Arial"/>
          <w:color w:val="000000"/>
          <w:lang w:eastAsia="ar-SA"/>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 businesses, ranging from owner drivers to large fleets.</w:t>
      </w:r>
    </w:p>
    <w:p w:rsidR="00ED048E" w:rsidRDefault="00ED048E" w:rsidP="00A503DB">
      <w:pPr>
        <w:suppressAutoHyphens/>
        <w:spacing w:after="0" w:line="240" w:lineRule="auto"/>
        <w:rPr>
          <w:rFonts w:ascii="Arial" w:eastAsia="Times New Roman" w:hAnsi="Arial" w:cs="Arial"/>
          <w:color w:val="000000"/>
          <w:lang w:eastAsia="ar-SA"/>
        </w:rPr>
      </w:pPr>
    </w:p>
    <w:p w:rsidR="00ED048E" w:rsidRDefault="00ED048E" w:rsidP="00A503DB">
      <w:pPr>
        <w:suppressAutoHyphens/>
        <w:spacing w:after="0" w:line="240" w:lineRule="auto"/>
        <w:rPr>
          <w:rFonts w:ascii="Arial" w:eastAsia="Times New Roman" w:hAnsi="Arial" w:cs="Arial"/>
          <w:color w:val="000000"/>
          <w:lang w:eastAsia="ar-SA"/>
        </w:rPr>
      </w:pPr>
    </w:p>
    <w:p w:rsidR="00490820" w:rsidRDefault="00490820" w:rsidP="00490820">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 xml:space="preserve">Summary of </w:t>
      </w:r>
      <w:r w:rsidR="00A90815">
        <w:rPr>
          <w:rFonts w:ascii="Arial" w:eastAsia="Calibri" w:hAnsi="Arial" w:cs="Arial"/>
          <w:b/>
          <w:sz w:val="24"/>
          <w:szCs w:val="24"/>
          <w:lang w:eastAsia="ar-SA"/>
        </w:rPr>
        <w:t xml:space="preserve">ATA </w:t>
      </w:r>
      <w:r>
        <w:rPr>
          <w:rFonts w:ascii="Arial" w:eastAsia="Calibri" w:hAnsi="Arial" w:cs="Arial"/>
          <w:b/>
          <w:sz w:val="24"/>
          <w:szCs w:val="24"/>
          <w:lang w:eastAsia="ar-SA"/>
        </w:rPr>
        <w:t>recommendations</w:t>
      </w:r>
    </w:p>
    <w:p w:rsidR="00FB32D2" w:rsidRPr="00FB32D2" w:rsidRDefault="00FB32D2" w:rsidP="00FB32D2">
      <w:pPr>
        <w:suppressAutoHyphens/>
        <w:spacing w:after="0" w:line="240" w:lineRule="auto"/>
        <w:rPr>
          <w:rFonts w:ascii="Arial" w:eastAsia="Times New Roman" w:hAnsi="Arial" w:cs="Arial"/>
          <w:lang w:eastAsia="ar-SA"/>
        </w:rPr>
      </w:pPr>
    </w:p>
    <w:p w:rsidR="00FB32D2" w:rsidRPr="00FB32D2" w:rsidRDefault="00FB32D2" w:rsidP="00953057">
      <w:pPr>
        <w:pStyle w:val="ListParagraph"/>
        <w:numPr>
          <w:ilvl w:val="0"/>
          <w:numId w:val="35"/>
        </w:numPr>
        <w:suppressAutoHyphens/>
        <w:spacing w:after="0" w:line="240" w:lineRule="auto"/>
        <w:rPr>
          <w:rFonts w:ascii="Arial" w:eastAsia="Times New Roman" w:hAnsi="Arial" w:cs="Arial"/>
          <w:lang w:eastAsia="ar-SA"/>
        </w:rPr>
      </w:pPr>
      <w:r>
        <w:rPr>
          <w:rFonts w:ascii="Arial" w:eastAsia="Calibri" w:hAnsi="Arial" w:cs="Arial"/>
          <w:lang w:eastAsia="ar-SA"/>
        </w:rPr>
        <w:t>Government</w:t>
      </w:r>
      <w:r w:rsidR="00A22792">
        <w:rPr>
          <w:rFonts w:ascii="Arial" w:eastAsia="Calibri" w:hAnsi="Arial" w:cs="Arial"/>
          <w:lang w:eastAsia="ar-SA"/>
        </w:rPr>
        <w:t>s</w:t>
      </w:r>
      <w:r>
        <w:rPr>
          <w:rFonts w:ascii="Arial" w:eastAsia="Calibri" w:hAnsi="Arial" w:cs="Arial"/>
          <w:lang w:eastAsia="ar-SA"/>
        </w:rPr>
        <w:t xml:space="preserve"> should adopt RIS option 4 </w:t>
      </w:r>
      <w:r w:rsidR="00180031">
        <w:rPr>
          <w:rFonts w:ascii="Arial" w:eastAsia="Calibri" w:hAnsi="Arial" w:cs="Arial"/>
          <w:lang w:eastAsia="ar-SA"/>
        </w:rPr>
        <w:t xml:space="preserve">because the inclusion of </w:t>
      </w:r>
      <w:r w:rsidR="000305A6">
        <w:rPr>
          <w:rFonts w:ascii="Arial" w:eastAsia="Calibri" w:hAnsi="Arial" w:cs="Arial"/>
          <w:lang w:eastAsia="ar-SA"/>
        </w:rPr>
        <w:t>a primary safety duty on ADSE</w:t>
      </w:r>
      <w:r w:rsidR="00A22792">
        <w:rPr>
          <w:rFonts w:ascii="Arial" w:eastAsia="Calibri" w:hAnsi="Arial" w:cs="Arial"/>
          <w:lang w:eastAsia="ar-SA"/>
        </w:rPr>
        <w:t>s</w:t>
      </w:r>
      <w:r w:rsidR="000305A6">
        <w:rPr>
          <w:rFonts w:ascii="Arial" w:eastAsia="Calibri" w:hAnsi="Arial" w:cs="Arial"/>
          <w:lang w:eastAsia="ar-SA"/>
        </w:rPr>
        <w:t xml:space="preserve"> will reduce risk and increase safety.</w:t>
      </w:r>
    </w:p>
    <w:p w:rsidR="00FB32D2" w:rsidRPr="00FB32D2" w:rsidRDefault="00FB32D2" w:rsidP="00FB32D2">
      <w:pPr>
        <w:pStyle w:val="ListParagraph"/>
        <w:suppressAutoHyphens/>
        <w:spacing w:after="0" w:line="240" w:lineRule="auto"/>
        <w:rPr>
          <w:rFonts w:ascii="Arial" w:eastAsia="Times New Roman" w:hAnsi="Arial" w:cs="Arial"/>
          <w:lang w:eastAsia="ar-SA"/>
        </w:rPr>
      </w:pPr>
    </w:p>
    <w:p w:rsidR="00490820" w:rsidRPr="002F79FB" w:rsidRDefault="003415E0" w:rsidP="00953057">
      <w:pPr>
        <w:pStyle w:val="ListParagraph"/>
        <w:numPr>
          <w:ilvl w:val="0"/>
          <w:numId w:val="35"/>
        </w:numPr>
        <w:suppressAutoHyphens/>
        <w:spacing w:after="0" w:line="240" w:lineRule="auto"/>
        <w:rPr>
          <w:rFonts w:ascii="Arial" w:eastAsia="Times New Roman" w:hAnsi="Arial" w:cs="Arial"/>
          <w:lang w:eastAsia="ar-SA"/>
        </w:rPr>
      </w:pPr>
      <w:r w:rsidRPr="00333252">
        <w:rPr>
          <w:rFonts w:ascii="Arial" w:hAnsi="Arial" w:cs="Arial"/>
        </w:rPr>
        <w:t>The s</w:t>
      </w:r>
      <w:r w:rsidR="00953057" w:rsidRPr="00333252">
        <w:rPr>
          <w:rFonts w:ascii="Arial" w:hAnsi="Arial" w:cs="Arial"/>
        </w:rPr>
        <w:t xml:space="preserve">afety assurance system </w:t>
      </w:r>
      <w:r w:rsidR="005B3036">
        <w:rPr>
          <w:rFonts w:ascii="Arial" w:hAnsi="Arial" w:cs="Arial"/>
        </w:rPr>
        <w:t xml:space="preserve">should </w:t>
      </w:r>
      <w:r w:rsidR="00953057" w:rsidRPr="00333252">
        <w:rPr>
          <w:rFonts w:ascii="Arial" w:hAnsi="Arial" w:cs="Arial"/>
        </w:rPr>
        <w:t xml:space="preserve">include </w:t>
      </w:r>
      <w:r w:rsidR="00040102" w:rsidRPr="00FA1B46">
        <w:rPr>
          <w:rFonts w:ascii="Arial" w:hAnsi="Arial" w:cs="Arial"/>
        </w:rPr>
        <w:t xml:space="preserve">Australian Transport Safety Bureau </w:t>
      </w:r>
      <w:r w:rsidR="00040102">
        <w:rPr>
          <w:rFonts w:ascii="Arial" w:hAnsi="Arial" w:cs="Arial"/>
        </w:rPr>
        <w:t>(</w:t>
      </w:r>
      <w:r w:rsidRPr="00333252">
        <w:rPr>
          <w:rFonts w:ascii="Arial" w:hAnsi="Arial" w:cs="Arial"/>
        </w:rPr>
        <w:t>ATSB</w:t>
      </w:r>
      <w:r w:rsidR="00040102">
        <w:rPr>
          <w:rFonts w:ascii="Arial" w:hAnsi="Arial" w:cs="Arial"/>
        </w:rPr>
        <w:t>)</w:t>
      </w:r>
      <w:r w:rsidR="00A00027" w:rsidRPr="00333252">
        <w:rPr>
          <w:rFonts w:ascii="Arial" w:hAnsi="Arial" w:cs="Arial"/>
        </w:rPr>
        <w:t xml:space="preserve"> </w:t>
      </w:r>
      <w:r w:rsidR="00953057" w:rsidRPr="00333252">
        <w:rPr>
          <w:rFonts w:ascii="Arial" w:hAnsi="Arial" w:cs="Arial"/>
        </w:rPr>
        <w:t>investigation</w:t>
      </w:r>
      <w:r w:rsidR="005B3036">
        <w:rPr>
          <w:rFonts w:ascii="Arial" w:hAnsi="Arial" w:cs="Arial"/>
        </w:rPr>
        <w:t>s</w:t>
      </w:r>
      <w:r w:rsidR="00953057" w:rsidRPr="00333252">
        <w:rPr>
          <w:rFonts w:ascii="Arial" w:hAnsi="Arial" w:cs="Arial"/>
        </w:rPr>
        <w:t xml:space="preserve"> of </w:t>
      </w:r>
      <w:r w:rsidR="00A00027" w:rsidRPr="00333252">
        <w:rPr>
          <w:rFonts w:ascii="Arial" w:hAnsi="Arial" w:cs="Arial"/>
        </w:rPr>
        <w:t>road crashes involving automated vehicles.</w:t>
      </w:r>
    </w:p>
    <w:p w:rsidR="002F79FB" w:rsidRPr="002F79FB" w:rsidRDefault="002F79FB" w:rsidP="002F79FB">
      <w:pPr>
        <w:pStyle w:val="ListParagraph"/>
        <w:suppressAutoHyphens/>
        <w:spacing w:after="0" w:line="240" w:lineRule="auto"/>
        <w:rPr>
          <w:rFonts w:ascii="Arial" w:eastAsia="Times New Roman" w:hAnsi="Arial" w:cs="Arial"/>
          <w:lang w:eastAsia="ar-SA"/>
        </w:rPr>
      </w:pPr>
    </w:p>
    <w:p w:rsidR="002F79FB" w:rsidRPr="00333252" w:rsidRDefault="006E419C" w:rsidP="00953057">
      <w:pPr>
        <w:pStyle w:val="ListParagraph"/>
        <w:numPr>
          <w:ilvl w:val="0"/>
          <w:numId w:val="35"/>
        </w:numPr>
        <w:suppressAutoHyphens/>
        <w:spacing w:after="0" w:line="240" w:lineRule="auto"/>
        <w:rPr>
          <w:rFonts w:ascii="Arial" w:eastAsia="Times New Roman" w:hAnsi="Arial" w:cs="Arial"/>
          <w:lang w:eastAsia="ar-SA"/>
        </w:rPr>
      </w:pPr>
      <w:r>
        <w:rPr>
          <w:rFonts w:ascii="Arial" w:eastAsia="Calibri" w:hAnsi="Arial" w:cs="Arial"/>
          <w:lang w:eastAsia="ar-SA"/>
        </w:rPr>
        <w:t>The p</w:t>
      </w:r>
      <w:r w:rsidR="002F79FB">
        <w:rPr>
          <w:rFonts w:ascii="Arial" w:eastAsia="Calibri" w:hAnsi="Arial" w:cs="Arial"/>
          <w:lang w:eastAsia="ar-SA"/>
        </w:rPr>
        <w:t>roposed safety c</w:t>
      </w:r>
      <w:r w:rsidR="00E22A65">
        <w:rPr>
          <w:rFonts w:ascii="Arial" w:eastAsia="Calibri" w:hAnsi="Arial" w:cs="Arial"/>
          <w:lang w:eastAsia="ar-SA"/>
        </w:rPr>
        <w:t>r</w:t>
      </w:r>
      <w:r w:rsidR="008D7696">
        <w:rPr>
          <w:rFonts w:ascii="Arial" w:eastAsia="Calibri" w:hAnsi="Arial" w:cs="Arial"/>
          <w:lang w:eastAsia="ar-SA"/>
        </w:rPr>
        <w:t>iteria for</w:t>
      </w:r>
      <w:r w:rsidR="002F79FB">
        <w:rPr>
          <w:rFonts w:ascii="Arial" w:eastAsia="Calibri" w:hAnsi="Arial" w:cs="Arial"/>
          <w:lang w:eastAsia="ar-SA"/>
        </w:rPr>
        <w:t xml:space="preserve"> statement</w:t>
      </w:r>
      <w:r w:rsidR="008D7696">
        <w:rPr>
          <w:rFonts w:ascii="Arial" w:eastAsia="Calibri" w:hAnsi="Arial" w:cs="Arial"/>
          <w:lang w:eastAsia="ar-SA"/>
        </w:rPr>
        <w:t>s</w:t>
      </w:r>
      <w:r w:rsidR="002F79FB">
        <w:rPr>
          <w:rFonts w:ascii="Arial" w:eastAsia="Calibri" w:hAnsi="Arial" w:cs="Arial"/>
          <w:lang w:eastAsia="ar-SA"/>
        </w:rPr>
        <w:t xml:space="preserve"> of compliance</w:t>
      </w:r>
      <w:r w:rsidR="00E22A65">
        <w:rPr>
          <w:rFonts w:ascii="Arial" w:eastAsia="Calibri" w:hAnsi="Arial" w:cs="Arial"/>
          <w:lang w:eastAsia="ar-SA"/>
        </w:rPr>
        <w:t xml:space="preserve"> (section 4)</w:t>
      </w:r>
      <w:r w:rsidR="00FB32D2">
        <w:rPr>
          <w:rFonts w:ascii="Arial" w:eastAsia="Calibri" w:hAnsi="Arial" w:cs="Arial"/>
          <w:lang w:eastAsia="ar-SA"/>
        </w:rPr>
        <w:t xml:space="preserve"> should</w:t>
      </w:r>
      <w:r w:rsidR="002F79FB">
        <w:rPr>
          <w:rFonts w:ascii="Arial" w:eastAsia="Calibri" w:hAnsi="Arial" w:cs="Arial"/>
          <w:lang w:eastAsia="ar-SA"/>
        </w:rPr>
        <w:t xml:space="preserve"> be expanded to include </w:t>
      </w:r>
      <w:r w:rsidR="002F24A3">
        <w:rPr>
          <w:rFonts w:ascii="Arial" w:eastAsia="Calibri" w:hAnsi="Arial" w:cs="Arial"/>
          <w:lang w:eastAsia="ar-SA"/>
        </w:rPr>
        <w:t xml:space="preserve">a requirement </w:t>
      </w:r>
      <w:r w:rsidR="002F79FB">
        <w:rPr>
          <w:rFonts w:ascii="Arial" w:eastAsia="Calibri" w:hAnsi="Arial" w:cs="Arial"/>
          <w:lang w:eastAsia="ar-SA"/>
        </w:rPr>
        <w:t>that ADSE</w:t>
      </w:r>
      <w:r w:rsidR="008D7696">
        <w:rPr>
          <w:rFonts w:ascii="Arial" w:eastAsia="Calibri" w:hAnsi="Arial" w:cs="Arial"/>
          <w:lang w:eastAsia="ar-SA"/>
        </w:rPr>
        <w:t>s must demonstrate how they</w:t>
      </w:r>
      <w:r w:rsidR="002F79FB">
        <w:rPr>
          <w:rFonts w:ascii="Arial" w:eastAsia="Calibri" w:hAnsi="Arial" w:cs="Arial"/>
          <w:lang w:eastAsia="ar-SA"/>
        </w:rPr>
        <w:t xml:space="preserve"> will ensure the facilitation of access t</w:t>
      </w:r>
      <w:r w:rsidR="00750648">
        <w:rPr>
          <w:rFonts w:ascii="Arial" w:eastAsia="Calibri" w:hAnsi="Arial" w:cs="Arial"/>
          <w:lang w:eastAsia="ar-SA"/>
        </w:rPr>
        <w:t>o accurate information and real-</w:t>
      </w:r>
      <w:r w:rsidR="002F79FB">
        <w:rPr>
          <w:rFonts w:ascii="Arial" w:eastAsia="Calibri" w:hAnsi="Arial" w:cs="Arial"/>
          <w:lang w:eastAsia="ar-SA"/>
        </w:rPr>
        <w:t xml:space="preserve">time data for the purposes of </w:t>
      </w:r>
      <w:r w:rsidR="006A7D43">
        <w:rPr>
          <w:rFonts w:ascii="Arial" w:eastAsia="Calibri" w:hAnsi="Arial" w:cs="Arial"/>
          <w:lang w:eastAsia="ar-SA"/>
        </w:rPr>
        <w:t>ATSB</w:t>
      </w:r>
      <w:r w:rsidR="002F79FB">
        <w:rPr>
          <w:rFonts w:ascii="Arial" w:eastAsia="Calibri" w:hAnsi="Arial" w:cs="Arial"/>
          <w:lang w:eastAsia="ar-SA"/>
        </w:rPr>
        <w:t xml:space="preserve"> safety investigations.</w:t>
      </w:r>
    </w:p>
    <w:p w:rsidR="00490820" w:rsidRDefault="00490820" w:rsidP="00A503DB">
      <w:pPr>
        <w:suppressAutoHyphens/>
        <w:spacing w:after="0" w:line="240" w:lineRule="auto"/>
        <w:rPr>
          <w:rFonts w:ascii="Arial" w:eastAsia="Times New Roman" w:hAnsi="Arial" w:cs="Arial"/>
          <w:color w:val="000000"/>
          <w:lang w:eastAsia="ar-SA"/>
        </w:rPr>
      </w:pPr>
    </w:p>
    <w:p w:rsidR="00ED048E" w:rsidRDefault="00ED048E" w:rsidP="00A503DB">
      <w:pPr>
        <w:suppressAutoHyphens/>
        <w:spacing w:after="0" w:line="240" w:lineRule="auto"/>
        <w:rPr>
          <w:rFonts w:ascii="Arial" w:eastAsia="Times New Roman" w:hAnsi="Arial" w:cs="Arial"/>
          <w:color w:val="000000"/>
          <w:lang w:eastAsia="ar-SA"/>
        </w:rPr>
      </w:pPr>
    </w:p>
    <w:p w:rsidR="00490820" w:rsidRPr="00490820" w:rsidRDefault="00490820" w:rsidP="00490820">
      <w:pPr>
        <w:pStyle w:val="ListParagraph"/>
        <w:numPr>
          <w:ilvl w:val="0"/>
          <w:numId w:val="1"/>
        </w:numPr>
        <w:suppressAutoHyphens/>
        <w:spacing w:after="0" w:line="240" w:lineRule="auto"/>
        <w:rPr>
          <w:rFonts w:ascii="Arial" w:eastAsia="Times New Roman" w:hAnsi="Arial" w:cs="Arial"/>
          <w:color w:val="000000"/>
          <w:lang w:eastAsia="ar-SA"/>
        </w:rPr>
      </w:pPr>
      <w:r w:rsidRPr="00490820">
        <w:rPr>
          <w:rFonts w:ascii="Arial" w:eastAsia="Calibri" w:hAnsi="Arial" w:cs="Arial"/>
          <w:b/>
          <w:sz w:val="24"/>
          <w:szCs w:val="24"/>
          <w:lang w:eastAsia="ar-SA"/>
        </w:rPr>
        <w:t>Introduction</w:t>
      </w:r>
    </w:p>
    <w:p w:rsidR="00490820" w:rsidRDefault="00490820" w:rsidP="00490820">
      <w:pPr>
        <w:suppressAutoHyphens/>
        <w:spacing w:after="0" w:line="240" w:lineRule="auto"/>
        <w:rPr>
          <w:rFonts w:ascii="Arial" w:eastAsia="Times New Roman" w:hAnsi="Arial" w:cs="Arial"/>
          <w:color w:val="000000"/>
          <w:lang w:eastAsia="ar-SA"/>
        </w:rPr>
      </w:pPr>
    </w:p>
    <w:p w:rsidR="00C93466" w:rsidRPr="003A3D27" w:rsidRDefault="00C93466" w:rsidP="00C93466">
      <w:pPr>
        <w:spacing w:after="100" w:afterAutospacing="1"/>
        <w:contextualSpacing/>
        <w:rPr>
          <w:rFonts w:ascii="Arial" w:hAnsi="Arial" w:cs="Arial"/>
        </w:rPr>
      </w:pPr>
      <w:r>
        <w:rPr>
          <w:rFonts w:ascii="Arial" w:hAnsi="Arial" w:cs="Arial"/>
        </w:rPr>
        <w:t xml:space="preserve">The ultimate outcome of the introduction of automated vehicles should be a safer road system. </w:t>
      </w:r>
      <w:r w:rsidR="00CC2382" w:rsidRPr="00601086">
        <w:rPr>
          <w:rFonts w:ascii="Arial" w:hAnsi="Arial" w:cs="Arial"/>
        </w:rPr>
        <w:t>Therefore, government</w:t>
      </w:r>
      <w:r w:rsidR="00601086" w:rsidRPr="00601086">
        <w:rPr>
          <w:rFonts w:ascii="Arial" w:hAnsi="Arial" w:cs="Arial"/>
        </w:rPr>
        <w:t>s</w:t>
      </w:r>
      <w:r w:rsidR="00CC2382" w:rsidRPr="00601086">
        <w:rPr>
          <w:rFonts w:ascii="Arial" w:hAnsi="Arial" w:cs="Arial"/>
        </w:rPr>
        <w:t xml:space="preserve"> should aim</w:t>
      </w:r>
      <w:r w:rsidRPr="00601086">
        <w:rPr>
          <w:rFonts w:ascii="Arial" w:hAnsi="Arial" w:cs="Arial"/>
        </w:rPr>
        <w:t xml:space="preserve"> for a safety outcome that is significantly safer than </w:t>
      </w:r>
      <w:r w:rsidR="00CC2382" w:rsidRPr="00601086">
        <w:rPr>
          <w:rFonts w:ascii="Arial" w:hAnsi="Arial" w:cs="Arial"/>
        </w:rPr>
        <w:t xml:space="preserve">is achievable with </w:t>
      </w:r>
      <w:r w:rsidRPr="00601086">
        <w:rPr>
          <w:rFonts w:ascii="Arial" w:hAnsi="Arial" w:cs="Arial"/>
        </w:rPr>
        <w:t>conventional vehicles and drivers.</w:t>
      </w:r>
    </w:p>
    <w:p w:rsidR="00C93466" w:rsidRDefault="00C93466" w:rsidP="00C93466">
      <w:pPr>
        <w:spacing w:after="100" w:afterAutospacing="1"/>
        <w:contextualSpacing/>
        <w:rPr>
          <w:rFonts w:ascii="Arial" w:hAnsi="Arial" w:cs="Arial"/>
        </w:rPr>
      </w:pPr>
    </w:p>
    <w:p w:rsidR="00C93466" w:rsidRDefault="00C93466" w:rsidP="00C93466">
      <w:pPr>
        <w:spacing w:after="100" w:afterAutospacing="1"/>
        <w:contextualSpacing/>
        <w:rPr>
          <w:rFonts w:ascii="Arial" w:hAnsi="Arial" w:cs="Arial"/>
        </w:rPr>
      </w:pPr>
      <w:r>
        <w:rPr>
          <w:rFonts w:ascii="Arial" w:hAnsi="Arial" w:cs="Arial"/>
        </w:rPr>
        <w:t>If automated vehicles are to increase the safety of the road network, a highly automated system must prove to be safer than any human vehicle drivers.</w:t>
      </w:r>
    </w:p>
    <w:p w:rsidR="00C93466" w:rsidRDefault="00C93466" w:rsidP="00C93466">
      <w:pPr>
        <w:spacing w:after="100" w:afterAutospacing="1"/>
        <w:contextualSpacing/>
        <w:rPr>
          <w:rFonts w:ascii="Arial" w:hAnsi="Arial" w:cs="Arial"/>
        </w:rPr>
      </w:pPr>
    </w:p>
    <w:p w:rsidR="00F82919" w:rsidRDefault="00472FE1" w:rsidP="00472FE1">
      <w:pPr>
        <w:suppressAutoHyphens/>
        <w:spacing w:after="0" w:line="240" w:lineRule="auto"/>
        <w:outlineLvl w:val="0"/>
        <w:rPr>
          <w:rFonts w:ascii="Arial" w:hAnsi="Arial" w:cs="Arial"/>
        </w:rPr>
      </w:pPr>
      <w:r>
        <w:rPr>
          <w:rFonts w:ascii="Arial" w:hAnsi="Arial" w:cs="Arial"/>
        </w:rPr>
        <w:t xml:space="preserve">Automated vehicle safety legislation should work to build </w:t>
      </w:r>
      <w:r w:rsidRPr="00472FE1">
        <w:rPr>
          <w:rFonts w:ascii="Arial" w:hAnsi="Arial" w:cs="Arial"/>
        </w:rPr>
        <w:t xml:space="preserve">public confidence in </w:t>
      </w:r>
      <w:r>
        <w:rPr>
          <w:rFonts w:ascii="Arial" w:hAnsi="Arial" w:cs="Arial"/>
        </w:rPr>
        <w:t>automated vehicle technologies and the safety opportunities they present.</w:t>
      </w:r>
      <w:r w:rsidRPr="00472FE1">
        <w:rPr>
          <w:rFonts w:ascii="Arial" w:hAnsi="Arial" w:cs="Arial"/>
        </w:rPr>
        <w:t xml:space="preserve"> </w:t>
      </w:r>
      <w:r w:rsidR="00F82919">
        <w:rPr>
          <w:rFonts w:ascii="Arial" w:hAnsi="Arial" w:cs="Arial"/>
        </w:rPr>
        <w:t xml:space="preserve">It </w:t>
      </w:r>
      <w:r>
        <w:rPr>
          <w:rFonts w:ascii="Arial" w:hAnsi="Arial" w:cs="Arial"/>
        </w:rPr>
        <w:t xml:space="preserve">is essential that this legislation include </w:t>
      </w:r>
      <w:r w:rsidRPr="00472FE1">
        <w:rPr>
          <w:rFonts w:ascii="Arial" w:hAnsi="Arial" w:cs="Arial"/>
        </w:rPr>
        <w:t xml:space="preserve">independent, comprehensive, and transparent </w:t>
      </w:r>
      <w:r>
        <w:rPr>
          <w:rFonts w:ascii="Arial" w:hAnsi="Arial" w:cs="Arial"/>
        </w:rPr>
        <w:t xml:space="preserve">crash </w:t>
      </w:r>
      <w:r w:rsidRPr="00472FE1">
        <w:rPr>
          <w:rFonts w:ascii="Arial" w:hAnsi="Arial" w:cs="Arial"/>
        </w:rPr>
        <w:t xml:space="preserve">investigations to </w:t>
      </w:r>
      <w:r w:rsidR="00F82919">
        <w:rPr>
          <w:rFonts w:ascii="Arial" w:hAnsi="Arial" w:cs="Arial"/>
        </w:rPr>
        <w:t xml:space="preserve">accurately </w:t>
      </w:r>
      <w:r w:rsidRPr="00472FE1">
        <w:rPr>
          <w:rFonts w:ascii="Arial" w:hAnsi="Arial" w:cs="Arial"/>
        </w:rPr>
        <w:t xml:space="preserve">determine probable causes </w:t>
      </w:r>
      <w:r>
        <w:rPr>
          <w:rFonts w:ascii="Arial" w:hAnsi="Arial" w:cs="Arial"/>
        </w:rPr>
        <w:t xml:space="preserve">and make ongoing </w:t>
      </w:r>
      <w:r w:rsidRPr="00472FE1">
        <w:rPr>
          <w:rFonts w:ascii="Arial" w:hAnsi="Arial" w:cs="Arial"/>
        </w:rPr>
        <w:t>recommendations</w:t>
      </w:r>
      <w:r>
        <w:rPr>
          <w:rFonts w:ascii="Arial" w:hAnsi="Arial" w:cs="Arial"/>
        </w:rPr>
        <w:t xml:space="preserve"> as technologies </w:t>
      </w:r>
      <w:r w:rsidR="00F82919">
        <w:rPr>
          <w:rFonts w:ascii="Arial" w:hAnsi="Arial" w:cs="Arial"/>
        </w:rPr>
        <w:t>continue to be developed, refined and</w:t>
      </w:r>
      <w:r w:rsidR="007C5E1C">
        <w:rPr>
          <w:rFonts w:ascii="Arial" w:hAnsi="Arial" w:cs="Arial"/>
        </w:rPr>
        <w:t xml:space="preserve"> </w:t>
      </w:r>
      <w:r>
        <w:rPr>
          <w:rFonts w:ascii="Arial" w:hAnsi="Arial" w:cs="Arial"/>
        </w:rPr>
        <w:t xml:space="preserve">become more </w:t>
      </w:r>
      <w:r w:rsidR="00F82919">
        <w:rPr>
          <w:rFonts w:ascii="Arial" w:hAnsi="Arial" w:cs="Arial"/>
        </w:rPr>
        <w:t>prevalent on our roads</w:t>
      </w:r>
      <w:r w:rsidRPr="00472FE1">
        <w:rPr>
          <w:rFonts w:ascii="Arial" w:hAnsi="Arial" w:cs="Arial"/>
        </w:rPr>
        <w:t xml:space="preserve">. </w:t>
      </w:r>
    </w:p>
    <w:p w:rsidR="00FB32D2" w:rsidRDefault="00FB32D2" w:rsidP="00472FE1">
      <w:pPr>
        <w:suppressAutoHyphens/>
        <w:spacing w:after="0" w:line="240" w:lineRule="auto"/>
        <w:outlineLvl w:val="0"/>
        <w:rPr>
          <w:rFonts w:ascii="Arial" w:hAnsi="Arial" w:cs="Arial"/>
        </w:rPr>
      </w:pPr>
    </w:p>
    <w:p w:rsidR="00F82919" w:rsidRDefault="00F82919" w:rsidP="00F82919">
      <w:pPr>
        <w:suppressAutoHyphens/>
        <w:spacing w:after="0" w:line="240" w:lineRule="auto"/>
        <w:outlineLvl w:val="0"/>
        <w:rPr>
          <w:rFonts w:ascii="Arial" w:hAnsi="Arial" w:cs="Arial"/>
        </w:rPr>
      </w:pPr>
      <w:r>
        <w:rPr>
          <w:rFonts w:ascii="Arial" w:hAnsi="Arial" w:cs="Arial"/>
        </w:rPr>
        <w:t xml:space="preserve">Transparent and effective safety investigations will work to build public acceptance and ensure that </w:t>
      </w:r>
      <w:r w:rsidRPr="00472FE1">
        <w:rPr>
          <w:rFonts w:ascii="Arial" w:hAnsi="Arial" w:cs="Arial"/>
        </w:rPr>
        <w:t xml:space="preserve">lessons learned will </w:t>
      </w:r>
      <w:r>
        <w:rPr>
          <w:rFonts w:ascii="Arial" w:hAnsi="Arial" w:cs="Arial"/>
        </w:rPr>
        <w:t xml:space="preserve">result in </w:t>
      </w:r>
      <w:r w:rsidRPr="00472FE1">
        <w:rPr>
          <w:rFonts w:ascii="Arial" w:hAnsi="Arial" w:cs="Arial"/>
        </w:rPr>
        <w:t>prevent</w:t>
      </w:r>
      <w:r>
        <w:rPr>
          <w:rFonts w:ascii="Arial" w:hAnsi="Arial" w:cs="Arial"/>
        </w:rPr>
        <w:t>ion of</w:t>
      </w:r>
      <w:r w:rsidRPr="00472FE1">
        <w:rPr>
          <w:rFonts w:ascii="Arial" w:hAnsi="Arial" w:cs="Arial"/>
        </w:rPr>
        <w:t xml:space="preserve"> </w:t>
      </w:r>
      <w:r w:rsidR="007C5E1C">
        <w:rPr>
          <w:rFonts w:ascii="Arial" w:hAnsi="Arial" w:cs="Arial"/>
        </w:rPr>
        <w:t>repeated incidences</w:t>
      </w:r>
      <w:r>
        <w:rPr>
          <w:rFonts w:ascii="Arial" w:hAnsi="Arial" w:cs="Arial"/>
        </w:rPr>
        <w:t>.</w:t>
      </w:r>
    </w:p>
    <w:p w:rsidR="00FB32D2" w:rsidRPr="00472FE1" w:rsidRDefault="00FB32D2" w:rsidP="00F82919">
      <w:pPr>
        <w:suppressAutoHyphens/>
        <w:spacing w:after="0" w:line="240" w:lineRule="auto"/>
        <w:outlineLvl w:val="0"/>
        <w:rPr>
          <w:rFonts w:ascii="Arial" w:hAnsi="Arial" w:cs="Arial"/>
        </w:rPr>
      </w:pPr>
    </w:p>
    <w:p w:rsidR="00C93466" w:rsidRDefault="00F82919" w:rsidP="00F82919">
      <w:pPr>
        <w:suppressAutoHyphens/>
        <w:spacing w:after="0" w:line="240" w:lineRule="auto"/>
        <w:outlineLvl w:val="0"/>
        <w:rPr>
          <w:rFonts w:ascii="Arial" w:hAnsi="Arial" w:cs="Arial"/>
        </w:rPr>
      </w:pPr>
      <w:r>
        <w:rPr>
          <w:rFonts w:ascii="Arial" w:hAnsi="Arial" w:cs="Arial"/>
        </w:rPr>
        <w:t xml:space="preserve">The ATA advocates that automated vehicle legislation must also </w:t>
      </w:r>
      <w:r w:rsidR="00472FE1">
        <w:rPr>
          <w:rFonts w:ascii="Arial" w:hAnsi="Arial" w:cs="Arial"/>
        </w:rPr>
        <w:t>promote</w:t>
      </w:r>
      <w:r w:rsidR="00C93466">
        <w:rPr>
          <w:rFonts w:ascii="Arial" w:hAnsi="Arial" w:cs="Arial"/>
        </w:rPr>
        <w:t xml:space="preserve"> continued innovation in </w:t>
      </w:r>
      <w:r w:rsidR="00C93466" w:rsidRPr="00FA1B46">
        <w:rPr>
          <w:rFonts w:ascii="Arial" w:hAnsi="Arial" w:cs="Arial"/>
        </w:rPr>
        <w:t xml:space="preserve">high </w:t>
      </w:r>
      <w:r w:rsidR="00C93466">
        <w:rPr>
          <w:rFonts w:ascii="Arial" w:hAnsi="Arial" w:cs="Arial"/>
        </w:rPr>
        <w:t xml:space="preserve">productivity </w:t>
      </w:r>
      <w:r>
        <w:rPr>
          <w:rFonts w:ascii="Arial" w:hAnsi="Arial" w:cs="Arial"/>
        </w:rPr>
        <w:t xml:space="preserve">heavy </w:t>
      </w:r>
      <w:r w:rsidR="00C93466" w:rsidRPr="00FA1B46">
        <w:rPr>
          <w:rFonts w:ascii="Arial" w:hAnsi="Arial" w:cs="Arial"/>
        </w:rPr>
        <w:t>veh</w:t>
      </w:r>
      <w:r w:rsidR="00472FE1">
        <w:rPr>
          <w:rFonts w:ascii="Arial" w:hAnsi="Arial" w:cs="Arial"/>
        </w:rPr>
        <w:t>icle combinations and recognise</w:t>
      </w:r>
      <w:r w:rsidR="00C93466" w:rsidRPr="00FA1B46">
        <w:rPr>
          <w:rFonts w:ascii="Arial" w:hAnsi="Arial" w:cs="Arial"/>
        </w:rPr>
        <w:t xml:space="preserve"> that the heavy vehicle space in Australia poses unique regulatory</w:t>
      </w:r>
      <w:r w:rsidR="00C93466">
        <w:rPr>
          <w:rFonts w:ascii="Arial" w:hAnsi="Arial" w:cs="Arial"/>
        </w:rPr>
        <w:t xml:space="preserve"> opportunities and challenges. </w:t>
      </w:r>
    </w:p>
    <w:p w:rsidR="00377A9A" w:rsidRDefault="00377A9A" w:rsidP="00F82919">
      <w:pPr>
        <w:suppressAutoHyphens/>
        <w:spacing w:after="0" w:line="240" w:lineRule="auto"/>
        <w:outlineLvl w:val="0"/>
        <w:rPr>
          <w:rFonts w:ascii="Arial" w:hAnsi="Arial" w:cs="Arial"/>
        </w:rPr>
      </w:pPr>
    </w:p>
    <w:p w:rsidR="00490820" w:rsidRDefault="00490820" w:rsidP="00490820">
      <w:pPr>
        <w:suppressAutoHyphens/>
        <w:spacing w:after="0" w:line="240" w:lineRule="auto"/>
        <w:rPr>
          <w:rFonts w:ascii="Arial" w:eastAsia="Times New Roman" w:hAnsi="Arial" w:cs="Arial"/>
          <w:color w:val="000000"/>
          <w:lang w:eastAsia="ar-SA"/>
        </w:rPr>
      </w:pPr>
    </w:p>
    <w:p w:rsidR="00490820" w:rsidRDefault="00490820" w:rsidP="00490820">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About the RIS</w:t>
      </w:r>
    </w:p>
    <w:p w:rsidR="00490820" w:rsidRDefault="00490820" w:rsidP="00490820">
      <w:pPr>
        <w:suppressAutoHyphens/>
        <w:spacing w:after="0" w:line="240" w:lineRule="auto"/>
        <w:rPr>
          <w:rFonts w:ascii="Arial" w:eastAsia="Times New Roman" w:hAnsi="Arial" w:cs="Arial"/>
          <w:color w:val="000000"/>
          <w:lang w:eastAsia="ar-SA"/>
        </w:rPr>
      </w:pPr>
    </w:p>
    <w:p w:rsidR="00490820" w:rsidRPr="00490820" w:rsidRDefault="00490820" w:rsidP="00490820">
      <w:pPr>
        <w:suppressAutoHyphens/>
        <w:spacing w:after="0" w:line="240" w:lineRule="auto"/>
        <w:rPr>
          <w:rFonts w:ascii="Arial" w:eastAsia="Times New Roman" w:hAnsi="Arial" w:cs="Arial"/>
          <w:color w:val="000000"/>
          <w:lang w:eastAsia="ar-SA"/>
        </w:rPr>
      </w:pPr>
      <w:r>
        <w:rPr>
          <w:rFonts w:ascii="Arial" w:eastAsia="Times New Roman" w:hAnsi="Arial" w:cs="Arial"/>
          <w:color w:val="000000"/>
          <w:lang w:eastAsia="ar-SA"/>
        </w:rPr>
        <w:t>The consultation RIS assesses four options to support the uptake and safe operation of automat</w:t>
      </w:r>
      <w:r w:rsidR="00CD6A77">
        <w:rPr>
          <w:rFonts w:ascii="Arial" w:eastAsia="Times New Roman" w:hAnsi="Arial" w:cs="Arial"/>
          <w:color w:val="000000"/>
          <w:lang w:eastAsia="ar-SA"/>
        </w:rPr>
        <w:t>ed vehicles on Australian roads:</w:t>
      </w:r>
    </w:p>
    <w:p w:rsidR="00F07C2C" w:rsidRPr="00490820" w:rsidRDefault="00F07C2C" w:rsidP="00490820">
      <w:pPr>
        <w:suppressAutoHyphens/>
        <w:spacing w:after="0" w:line="240" w:lineRule="auto"/>
        <w:outlineLvl w:val="0"/>
        <w:rPr>
          <w:rFonts w:ascii="Arial" w:eastAsia="Calibri" w:hAnsi="Arial" w:cs="Arial"/>
          <w:i/>
          <w:u w:val="single"/>
          <w:lang w:eastAsia="ar-SA"/>
        </w:rPr>
      </w:pPr>
    </w:p>
    <w:p w:rsidR="00490820" w:rsidRPr="00490820" w:rsidRDefault="00490820" w:rsidP="00490820">
      <w:pPr>
        <w:suppressAutoHyphens/>
        <w:spacing w:after="0" w:line="240" w:lineRule="auto"/>
        <w:outlineLvl w:val="0"/>
        <w:rPr>
          <w:rFonts w:ascii="Arial" w:eastAsia="Calibri" w:hAnsi="Arial" w:cs="Arial"/>
          <w:lang w:eastAsia="ar-SA"/>
        </w:rPr>
      </w:pPr>
      <w:r w:rsidRPr="00490820">
        <w:rPr>
          <w:rFonts w:ascii="Arial" w:eastAsia="Calibri" w:hAnsi="Arial" w:cs="Arial"/>
          <w:u w:val="single"/>
          <w:lang w:eastAsia="ar-SA"/>
        </w:rPr>
        <w:t>Option 1:</w:t>
      </w:r>
      <w:r w:rsidRPr="00490820">
        <w:rPr>
          <w:rFonts w:ascii="Arial" w:eastAsia="Calibri" w:hAnsi="Arial" w:cs="Arial"/>
          <w:lang w:eastAsia="ar-SA"/>
        </w:rPr>
        <w:t xml:space="preserve"> Current approach – This is the baseline option, using existing legislation and</w:t>
      </w:r>
      <w:r>
        <w:rPr>
          <w:rFonts w:ascii="Arial" w:eastAsia="Calibri" w:hAnsi="Arial" w:cs="Arial"/>
          <w:lang w:eastAsia="ar-SA"/>
        </w:rPr>
        <w:t xml:space="preserve"> </w:t>
      </w:r>
      <w:r w:rsidRPr="00490820">
        <w:rPr>
          <w:rFonts w:ascii="Arial" w:eastAsia="Calibri" w:hAnsi="Arial" w:cs="Arial"/>
          <w:lang w:eastAsia="ar-SA"/>
        </w:rPr>
        <w:t>regulatory instruments, with no explicit regulation of ADSs.</w:t>
      </w:r>
    </w:p>
    <w:p w:rsidR="00490820" w:rsidRDefault="00490820" w:rsidP="00490820">
      <w:pPr>
        <w:suppressAutoHyphens/>
        <w:spacing w:after="0" w:line="240" w:lineRule="auto"/>
        <w:outlineLvl w:val="0"/>
        <w:rPr>
          <w:rFonts w:ascii="Arial" w:eastAsia="Calibri" w:hAnsi="Arial" w:cs="Arial"/>
          <w:lang w:eastAsia="ar-SA"/>
        </w:rPr>
      </w:pPr>
    </w:p>
    <w:p w:rsidR="00490820" w:rsidRPr="00490820" w:rsidRDefault="00490820" w:rsidP="00490820">
      <w:pPr>
        <w:suppressAutoHyphens/>
        <w:spacing w:after="0" w:line="240" w:lineRule="auto"/>
        <w:outlineLvl w:val="0"/>
        <w:rPr>
          <w:rFonts w:ascii="Arial" w:eastAsia="Calibri" w:hAnsi="Arial" w:cs="Arial"/>
          <w:lang w:eastAsia="ar-SA"/>
        </w:rPr>
      </w:pPr>
      <w:r w:rsidRPr="00490820">
        <w:rPr>
          <w:rFonts w:ascii="Arial" w:eastAsia="Calibri" w:hAnsi="Arial" w:cs="Arial"/>
          <w:u w:val="single"/>
          <w:lang w:eastAsia="ar-SA"/>
        </w:rPr>
        <w:t>Option 2:</w:t>
      </w:r>
      <w:r w:rsidRPr="00490820">
        <w:rPr>
          <w:rFonts w:ascii="Arial" w:eastAsia="Calibri" w:hAnsi="Arial" w:cs="Arial"/>
          <w:lang w:eastAsia="ar-SA"/>
        </w:rPr>
        <w:t xml:space="preserve"> Administrative safety assurance system – A safety assurance system based on</w:t>
      </w:r>
      <w:r>
        <w:rPr>
          <w:rFonts w:ascii="Arial" w:eastAsia="Calibri" w:hAnsi="Arial" w:cs="Arial"/>
          <w:lang w:eastAsia="ar-SA"/>
        </w:rPr>
        <w:t xml:space="preserve"> </w:t>
      </w:r>
      <w:r w:rsidRPr="00490820">
        <w:rPr>
          <w:rFonts w:ascii="Arial" w:eastAsia="Calibri" w:hAnsi="Arial" w:cs="Arial"/>
          <w:lang w:eastAsia="ar-SA"/>
        </w:rPr>
        <w:t>mandatory self-certification that relies on existing legislation and regulatory instruments.</w:t>
      </w:r>
      <w:r>
        <w:rPr>
          <w:rFonts w:ascii="Arial" w:eastAsia="Calibri" w:hAnsi="Arial" w:cs="Arial"/>
          <w:lang w:eastAsia="ar-SA"/>
        </w:rPr>
        <w:t xml:space="preserve"> </w:t>
      </w:r>
      <w:r w:rsidRPr="00490820">
        <w:rPr>
          <w:rFonts w:ascii="Arial" w:eastAsia="Calibri" w:hAnsi="Arial" w:cs="Arial"/>
          <w:lang w:eastAsia="ar-SA"/>
        </w:rPr>
        <w:t>The safety assurance system will be implemented through administrative means.</w:t>
      </w:r>
      <w:r>
        <w:rPr>
          <w:rFonts w:ascii="Arial" w:eastAsia="Calibri" w:hAnsi="Arial" w:cs="Arial"/>
          <w:lang w:eastAsia="ar-SA"/>
        </w:rPr>
        <w:t xml:space="preserve"> </w:t>
      </w:r>
    </w:p>
    <w:p w:rsidR="00490820" w:rsidRDefault="00490820" w:rsidP="00490820">
      <w:pPr>
        <w:suppressAutoHyphens/>
        <w:spacing w:after="0" w:line="240" w:lineRule="auto"/>
        <w:outlineLvl w:val="0"/>
        <w:rPr>
          <w:rFonts w:ascii="Arial" w:eastAsia="Calibri" w:hAnsi="Arial" w:cs="Arial"/>
          <w:lang w:eastAsia="ar-SA"/>
        </w:rPr>
      </w:pPr>
    </w:p>
    <w:p w:rsidR="00490820" w:rsidRPr="00490820" w:rsidRDefault="00490820" w:rsidP="00490820">
      <w:pPr>
        <w:suppressAutoHyphens/>
        <w:spacing w:after="0" w:line="240" w:lineRule="auto"/>
        <w:outlineLvl w:val="0"/>
        <w:rPr>
          <w:rFonts w:ascii="Arial" w:eastAsia="Calibri" w:hAnsi="Arial" w:cs="Arial"/>
          <w:lang w:eastAsia="ar-SA"/>
        </w:rPr>
      </w:pPr>
      <w:r w:rsidRPr="00490820">
        <w:rPr>
          <w:rFonts w:ascii="Arial" w:eastAsia="Calibri" w:hAnsi="Arial" w:cs="Arial"/>
          <w:u w:val="single"/>
          <w:lang w:eastAsia="ar-SA"/>
        </w:rPr>
        <w:t>Option 3:</w:t>
      </w:r>
      <w:r w:rsidRPr="00490820">
        <w:rPr>
          <w:rFonts w:ascii="Arial" w:eastAsia="Calibri" w:hAnsi="Arial" w:cs="Arial"/>
          <w:lang w:eastAsia="ar-SA"/>
        </w:rPr>
        <w:t xml:space="preserve"> Legislative safety assurance system – A safety assurance system based on</w:t>
      </w:r>
      <w:r>
        <w:rPr>
          <w:rFonts w:ascii="Arial" w:eastAsia="Calibri" w:hAnsi="Arial" w:cs="Arial"/>
          <w:lang w:eastAsia="ar-SA"/>
        </w:rPr>
        <w:t xml:space="preserve"> </w:t>
      </w:r>
      <w:r w:rsidRPr="00490820">
        <w:rPr>
          <w:rFonts w:ascii="Arial" w:eastAsia="Calibri" w:hAnsi="Arial" w:cs="Arial"/>
          <w:lang w:eastAsia="ar-SA"/>
        </w:rPr>
        <w:t>mandatory self-certification. This would include new or amended legislation to allow for</w:t>
      </w:r>
      <w:r>
        <w:rPr>
          <w:rFonts w:ascii="Arial" w:eastAsia="Calibri" w:hAnsi="Arial" w:cs="Arial"/>
          <w:lang w:eastAsia="ar-SA"/>
        </w:rPr>
        <w:t xml:space="preserve"> </w:t>
      </w:r>
      <w:r w:rsidRPr="00490820">
        <w:rPr>
          <w:rFonts w:ascii="Arial" w:eastAsia="Calibri" w:hAnsi="Arial" w:cs="Arial"/>
          <w:lang w:eastAsia="ar-SA"/>
        </w:rPr>
        <w:t>the inclusion of specific offences and compliance and enforcement options, and a</w:t>
      </w:r>
      <w:r>
        <w:rPr>
          <w:rFonts w:ascii="Arial" w:eastAsia="Calibri" w:hAnsi="Arial" w:cs="Arial"/>
          <w:lang w:eastAsia="ar-SA"/>
        </w:rPr>
        <w:t xml:space="preserve"> </w:t>
      </w:r>
      <w:r w:rsidRPr="00490820">
        <w:rPr>
          <w:rFonts w:ascii="Arial" w:eastAsia="Calibri" w:hAnsi="Arial" w:cs="Arial"/>
          <w:lang w:eastAsia="ar-SA"/>
        </w:rPr>
        <w:t>regulatory agency with responsibility for administering automated vehicle safety.</w:t>
      </w:r>
    </w:p>
    <w:p w:rsidR="00490820" w:rsidRDefault="00490820" w:rsidP="00490820">
      <w:pPr>
        <w:suppressAutoHyphens/>
        <w:spacing w:after="0" w:line="240" w:lineRule="auto"/>
        <w:outlineLvl w:val="0"/>
        <w:rPr>
          <w:rFonts w:ascii="Arial" w:eastAsia="Calibri" w:hAnsi="Arial" w:cs="Arial"/>
          <w:lang w:eastAsia="ar-SA"/>
        </w:rPr>
      </w:pPr>
    </w:p>
    <w:p w:rsidR="00490820" w:rsidRDefault="00490820" w:rsidP="00490820">
      <w:pPr>
        <w:suppressAutoHyphens/>
        <w:spacing w:after="0" w:line="240" w:lineRule="auto"/>
        <w:outlineLvl w:val="0"/>
        <w:rPr>
          <w:rFonts w:ascii="Arial" w:eastAsia="Calibri" w:hAnsi="Arial" w:cs="Arial"/>
          <w:lang w:eastAsia="ar-SA"/>
        </w:rPr>
      </w:pPr>
      <w:r w:rsidRPr="00490820">
        <w:rPr>
          <w:rFonts w:ascii="Arial" w:eastAsia="Calibri" w:hAnsi="Arial" w:cs="Arial"/>
          <w:u w:val="single"/>
          <w:lang w:eastAsia="ar-SA"/>
        </w:rPr>
        <w:t>Option 4:</w:t>
      </w:r>
      <w:r w:rsidRPr="00490820">
        <w:rPr>
          <w:rFonts w:ascii="Arial" w:eastAsia="Calibri" w:hAnsi="Arial" w:cs="Arial"/>
          <w:lang w:eastAsia="ar-SA"/>
        </w:rPr>
        <w:t xml:space="preserve"> Legislative safety assurance system + primary safety duty – A safety</w:t>
      </w:r>
      <w:r>
        <w:rPr>
          <w:rFonts w:ascii="Arial" w:eastAsia="Calibri" w:hAnsi="Arial" w:cs="Arial"/>
          <w:lang w:eastAsia="ar-SA"/>
        </w:rPr>
        <w:t xml:space="preserve"> </w:t>
      </w:r>
      <w:r w:rsidRPr="00490820">
        <w:rPr>
          <w:rFonts w:ascii="Arial" w:eastAsia="Calibri" w:hAnsi="Arial" w:cs="Arial"/>
          <w:lang w:eastAsia="ar-SA"/>
        </w:rPr>
        <w:t xml:space="preserve">assurance system that includes </w:t>
      </w:r>
      <w:r w:rsidR="00826231" w:rsidRPr="00490820">
        <w:rPr>
          <w:rFonts w:ascii="Arial" w:eastAsia="Calibri" w:hAnsi="Arial" w:cs="Arial"/>
          <w:lang w:eastAsia="ar-SA"/>
        </w:rPr>
        <w:t>all</w:t>
      </w:r>
      <w:r w:rsidRPr="00490820">
        <w:rPr>
          <w:rFonts w:ascii="Arial" w:eastAsia="Calibri" w:hAnsi="Arial" w:cs="Arial"/>
          <w:lang w:eastAsia="ar-SA"/>
        </w:rPr>
        <w:t xml:space="preserve"> the elements of option 3, plus a primary safety duty</w:t>
      </w:r>
      <w:r>
        <w:rPr>
          <w:rFonts w:ascii="Arial" w:eastAsia="Calibri" w:hAnsi="Arial" w:cs="Arial"/>
          <w:lang w:eastAsia="ar-SA"/>
        </w:rPr>
        <w:t xml:space="preserve"> </w:t>
      </w:r>
      <w:r w:rsidRPr="00490820">
        <w:rPr>
          <w:rFonts w:ascii="Arial" w:eastAsia="Calibri" w:hAnsi="Arial" w:cs="Arial"/>
          <w:lang w:eastAsia="ar-SA"/>
        </w:rPr>
        <w:t>on ADSEs</w:t>
      </w:r>
      <w:sdt>
        <w:sdtPr>
          <w:rPr>
            <w:rFonts w:ascii="Arial" w:eastAsia="Calibri" w:hAnsi="Arial" w:cs="Arial"/>
            <w:lang w:eastAsia="ar-SA"/>
          </w:rPr>
          <w:id w:val="-148450858"/>
          <w:citation/>
        </w:sdtPr>
        <w:sdtEndPr/>
        <w:sdtContent>
          <w:r w:rsidR="008C435F">
            <w:rPr>
              <w:rFonts w:ascii="Arial" w:eastAsia="Calibri" w:hAnsi="Arial" w:cs="Arial"/>
              <w:lang w:eastAsia="ar-SA"/>
            </w:rPr>
            <w:fldChar w:fldCharType="begin"/>
          </w:r>
          <w:r w:rsidR="00B742E7">
            <w:rPr>
              <w:rFonts w:ascii="Arial" w:eastAsia="Calibri" w:hAnsi="Arial" w:cs="Arial"/>
              <w:lang w:eastAsia="ar-SA"/>
            </w:rPr>
            <w:instrText xml:space="preserve">CITATION NTC18 \p 24 \l 3081 </w:instrText>
          </w:r>
          <w:r w:rsidR="008C435F">
            <w:rPr>
              <w:rFonts w:ascii="Arial" w:eastAsia="Calibri" w:hAnsi="Arial" w:cs="Arial"/>
              <w:lang w:eastAsia="ar-SA"/>
            </w:rPr>
            <w:fldChar w:fldCharType="separate"/>
          </w:r>
          <w:r w:rsidR="00B742E7">
            <w:rPr>
              <w:rFonts w:ascii="Arial" w:eastAsia="Calibri" w:hAnsi="Arial" w:cs="Arial"/>
              <w:noProof/>
              <w:lang w:eastAsia="ar-SA"/>
            </w:rPr>
            <w:t xml:space="preserve"> </w:t>
          </w:r>
          <w:r w:rsidR="00B742E7" w:rsidRPr="00B742E7">
            <w:rPr>
              <w:rFonts w:ascii="Arial" w:eastAsia="Calibri" w:hAnsi="Arial" w:cs="Arial"/>
              <w:noProof/>
              <w:lang w:eastAsia="ar-SA"/>
            </w:rPr>
            <w:t>(NTC, 2018, p. 24)</w:t>
          </w:r>
          <w:r w:rsidR="008C435F">
            <w:rPr>
              <w:rFonts w:ascii="Arial" w:eastAsia="Calibri" w:hAnsi="Arial" w:cs="Arial"/>
              <w:lang w:eastAsia="ar-SA"/>
            </w:rPr>
            <w:fldChar w:fldCharType="end"/>
          </w:r>
        </w:sdtContent>
      </w:sdt>
      <w:r>
        <w:rPr>
          <w:rFonts w:ascii="Arial" w:eastAsia="Calibri" w:hAnsi="Arial" w:cs="Arial"/>
          <w:lang w:eastAsia="ar-SA"/>
        </w:rPr>
        <w:t>.</w:t>
      </w:r>
    </w:p>
    <w:p w:rsidR="006D766D" w:rsidRDefault="006D766D" w:rsidP="00490820">
      <w:pPr>
        <w:suppressAutoHyphens/>
        <w:spacing w:after="0" w:line="240" w:lineRule="auto"/>
        <w:outlineLvl w:val="0"/>
        <w:rPr>
          <w:rFonts w:ascii="Arial" w:eastAsia="Calibri" w:hAnsi="Arial" w:cs="Arial"/>
          <w:lang w:eastAsia="ar-SA"/>
        </w:rPr>
      </w:pPr>
    </w:p>
    <w:p w:rsidR="006D766D" w:rsidRDefault="006D766D" w:rsidP="00490820">
      <w:pPr>
        <w:suppressAutoHyphens/>
        <w:spacing w:after="0" w:line="240" w:lineRule="auto"/>
        <w:outlineLvl w:val="0"/>
        <w:rPr>
          <w:rFonts w:ascii="Arial" w:eastAsia="Calibri" w:hAnsi="Arial" w:cs="Arial"/>
          <w:lang w:eastAsia="ar-SA"/>
        </w:rPr>
      </w:pPr>
    </w:p>
    <w:p w:rsidR="0072407A" w:rsidRPr="004C73D8" w:rsidRDefault="006D766D" w:rsidP="006D766D">
      <w:pPr>
        <w:suppressAutoHyphens/>
        <w:spacing w:after="0" w:line="240" w:lineRule="auto"/>
        <w:outlineLvl w:val="0"/>
        <w:rPr>
          <w:rFonts w:ascii="Arial" w:eastAsia="Calibri" w:hAnsi="Arial" w:cs="Arial"/>
          <w:i/>
          <w:lang w:eastAsia="ar-SA"/>
        </w:rPr>
      </w:pPr>
      <w:r w:rsidRPr="004C73D8">
        <w:rPr>
          <w:rFonts w:ascii="Arial" w:eastAsia="Calibri" w:hAnsi="Arial" w:cs="Arial"/>
          <w:i/>
          <w:lang w:eastAsia="ar-SA"/>
        </w:rPr>
        <w:t>Safety assessment criteria</w:t>
      </w:r>
      <w:r w:rsidR="0072407A" w:rsidRPr="004C73D8">
        <w:rPr>
          <w:rFonts w:ascii="Arial" w:eastAsia="Calibri" w:hAnsi="Arial" w:cs="Arial"/>
          <w:i/>
          <w:lang w:eastAsia="ar-SA"/>
        </w:rPr>
        <w:t xml:space="preserve">: </w:t>
      </w:r>
    </w:p>
    <w:p w:rsidR="004C73D8" w:rsidRPr="004C73D8" w:rsidRDefault="004C73D8" w:rsidP="006D766D">
      <w:pPr>
        <w:suppressAutoHyphens/>
        <w:spacing w:after="0" w:line="240" w:lineRule="auto"/>
        <w:outlineLvl w:val="0"/>
        <w:rPr>
          <w:rFonts w:ascii="Arial" w:eastAsia="Calibri" w:hAnsi="Arial" w:cs="Arial"/>
          <w:lang w:eastAsia="ar-SA"/>
        </w:rPr>
      </w:pPr>
    </w:p>
    <w:p w:rsidR="006D766D" w:rsidRDefault="006D766D" w:rsidP="006D766D">
      <w:pPr>
        <w:suppressAutoHyphens/>
        <w:spacing w:after="0" w:line="240" w:lineRule="auto"/>
        <w:outlineLvl w:val="0"/>
        <w:rPr>
          <w:rFonts w:ascii="Arial" w:eastAsia="Calibri" w:hAnsi="Arial" w:cs="Arial"/>
          <w:lang w:eastAsia="ar-SA"/>
        </w:rPr>
      </w:pPr>
      <w:r w:rsidRPr="006D766D">
        <w:rPr>
          <w:rFonts w:ascii="Arial" w:eastAsia="Calibri" w:hAnsi="Arial" w:cs="Arial"/>
          <w:lang w:eastAsia="ar-SA"/>
        </w:rPr>
        <w:t xml:space="preserve">Options 2, 3 and 4 require companies to self-certify their ADSs. The NTC </w:t>
      </w:r>
      <w:r w:rsidR="00D01C10">
        <w:rPr>
          <w:rFonts w:ascii="Arial" w:eastAsia="Calibri" w:hAnsi="Arial" w:cs="Arial"/>
          <w:lang w:eastAsia="ar-SA"/>
        </w:rPr>
        <w:t>proposes</w:t>
      </w:r>
      <w:r w:rsidRPr="006D766D">
        <w:rPr>
          <w:rFonts w:ascii="Arial" w:eastAsia="Calibri" w:hAnsi="Arial" w:cs="Arial"/>
          <w:lang w:eastAsia="ar-SA"/>
        </w:rPr>
        <w:t xml:space="preserve"> 11</w:t>
      </w:r>
      <w:r w:rsidR="0072407A">
        <w:rPr>
          <w:rFonts w:ascii="Arial" w:eastAsia="Calibri" w:hAnsi="Arial" w:cs="Arial"/>
          <w:lang w:eastAsia="ar-SA"/>
        </w:rPr>
        <w:t xml:space="preserve"> </w:t>
      </w:r>
      <w:r w:rsidRPr="006D766D">
        <w:rPr>
          <w:rFonts w:ascii="Arial" w:eastAsia="Calibri" w:hAnsi="Arial" w:cs="Arial"/>
          <w:lang w:eastAsia="ar-SA"/>
        </w:rPr>
        <w:t>safety criteria that the applicant must self-certify against, to demonstrate its processes for</w:t>
      </w:r>
      <w:r w:rsidR="0072407A">
        <w:rPr>
          <w:rFonts w:ascii="Arial" w:eastAsia="Calibri" w:hAnsi="Arial" w:cs="Arial"/>
          <w:lang w:eastAsia="ar-SA"/>
        </w:rPr>
        <w:t xml:space="preserve"> </w:t>
      </w:r>
      <w:r w:rsidRPr="006D766D">
        <w:rPr>
          <w:rFonts w:ascii="Arial" w:eastAsia="Calibri" w:hAnsi="Arial" w:cs="Arial"/>
          <w:lang w:eastAsia="ar-SA"/>
        </w:rPr>
        <w:t>managing safety risks:</w:t>
      </w:r>
    </w:p>
    <w:p w:rsidR="0072407A" w:rsidRPr="006D766D" w:rsidRDefault="0072407A" w:rsidP="006D766D">
      <w:pPr>
        <w:suppressAutoHyphens/>
        <w:spacing w:after="0" w:line="240" w:lineRule="auto"/>
        <w:outlineLvl w:val="0"/>
        <w:rPr>
          <w:rFonts w:ascii="Arial" w:eastAsia="Calibri" w:hAnsi="Arial" w:cs="Arial"/>
          <w:lang w:eastAsia="ar-SA"/>
        </w:rPr>
      </w:pP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Safe system design and validation processes</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Operational Design Domain</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Human Machine Interface</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Compliance with relevant road traffic laws</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Interaction with enforcement and other emergency services</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Minimal risk condition</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On-road behavioural competency</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Installation of system upgrades</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Testing for the Australian road environment</w:t>
      </w:r>
    </w:p>
    <w:p w:rsidR="006D766D" w:rsidRPr="0072407A"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Cybersecurity</w:t>
      </w:r>
    </w:p>
    <w:p w:rsidR="006D766D" w:rsidRDefault="006D766D" w:rsidP="0072407A">
      <w:pPr>
        <w:pStyle w:val="ListParagraph"/>
        <w:numPr>
          <w:ilvl w:val="0"/>
          <w:numId w:val="31"/>
        </w:numPr>
        <w:suppressAutoHyphens/>
        <w:spacing w:after="0" w:line="360" w:lineRule="auto"/>
        <w:ind w:left="714" w:hanging="357"/>
        <w:outlineLvl w:val="0"/>
        <w:rPr>
          <w:rFonts w:ascii="Arial" w:eastAsia="Calibri" w:hAnsi="Arial" w:cs="Arial"/>
          <w:lang w:eastAsia="ar-SA"/>
        </w:rPr>
      </w:pPr>
      <w:r w:rsidRPr="0072407A">
        <w:rPr>
          <w:rFonts w:ascii="Arial" w:eastAsia="Calibri" w:hAnsi="Arial" w:cs="Arial"/>
          <w:lang w:eastAsia="ar-SA"/>
        </w:rPr>
        <w:t>Education and training</w:t>
      </w:r>
      <w:sdt>
        <w:sdtPr>
          <w:rPr>
            <w:rFonts w:ascii="Arial" w:eastAsia="Calibri" w:hAnsi="Arial" w:cs="Arial"/>
            <w:lang w:eastAsia="ar-SA"/>
          </w:rPr>
          <w:id w:val="1290008066"/>
          <w:citation/>
        </w:sdtPr>
        <w:sdtEndPr/>
        <w:sdtContent>
          <w:r w:rsidR="00FC2F20">
            <w:rPr>
              <w:rFonts w:ascii="Arial" w:eastAsia="Calibri" w:hAnsi="Arial" w:cs="Arial"/>
              <w:lang w:eastAsia="ar-SA"/>
            </w:rPr>
            <w:fldChar w:fldCharType="begin"/>
          </w:r>
          <w:r w:rsidR="00B742E7">
            <w:rPr>
              <w:rFonts w:ascii="Arial" w:eastAsia="Calibri" w:hAnsi="Arial" w:cs="Arial"/>
              <w:lang w:eastAsia="ar-SA"/>
            </w:rPr>
            <w:instrText xml:space="preserve">CITATION NTC18 \p 34 \l 3081 </w:instrText>
          </w:r>
          <w:r w:rsidR="00FC2F20">
            <w:rPr>
              <w:rFonts w:ascii="Arial" w:eastAsia="Calibri" w:hAnsi="Arial" w:cs="Arial"/>
              <w:lang w:eastAsia="ar-SA"/>
            </w:rPr>
            <w:fldChar w:fldCharType="separate"/>
          </w:r>
          <w:r w:rsidR="00B742E7">
            <w:rPr>
              <w:rFonts w:ascii="Arial" w:eastAsia="Calibri" w:hAnsi="Arial" w:cs="Arial"/>
              <w:noProof/>
              <w:lang w:eastAsia="ar-SA"/>
            </w:rPr>
            <w:t xml:space="preserve"> </w:t>
          </w:r>
          <w:r w:rsidR="00B742E7" w:rsidRPr="00B742E7">
            <w:rPr>
              <w:rFonts w:ascii="Arial" w:eastAsia="Calibri" w:hAnsi="Arial" w:cs="Arial"/>
              <w:noProof/>
              <w:lang w:eastAsia="ar-SA"/>
            </w:rPr>
            <w:t>(NTC, 2018, p. 34)</w:t>
          </w:r>
          <w:r w:rsidR="00FC2F20">
            <w:rPr>
              <w:rFonts w:ascii="Arial" w:eastAsia="Calibri" w:hAnsi="Arial" w:cs="Arial"/>
              <w:lang w:eastAsia="ar-SA"/>
            </w:rPr>
            <w:fldChar w:fldCharType="end"/>
          </w:r>
        </w:sdtContent>
      </w:sdt>
    </w:p>
    <w:p w:rsidR="00106DC4" w:rsidRDefault="00106DC4">
      <w:pPr>
        <w:rPr>
          <w:rFonts w:ascii="Arial" w:eastAsia="Calibri" w:hAnsi="Arial" w:cs="Arial"/>
          <w:lang w:eastAsia="ar-SA"/>
        </w:rPr>
      </w:pPr>
      <w:r>
        <w:rPr>
          <w:rFonts w:ascii="Arial" w:eastAsia="Calibri" w:hAnsi="Arial" w:cs="Arial"/>
          <w:lang w:eastAsia="ar-SA"/>
        </w:rPr>
        <w:br w:type="page"/>
      </w:r>
    </w:p>
    <w:p w:rsidR="006D766D" w:rsidRDefault="00FC2F20" w:rsidP="00FC2F20">
      <w:pPr>
        <w:suppressAutoHyphens/>
        <w:spacing w:after="0" w:line="240" w:lineRule="auto"/>
        <w:outlineLvl w:val="0"/>
        <w:rPr>
          <w:rFonts w:ascii="Arial" w:eastAsia="Calibri" w:hAnsi="Arial" w:cs="Arial"/>
          <w:lang w:eastAsia="ar-SA"/>
        </w:rPr>
      </w:pPr>
      <w:r>
        <w:rPr>
          <w:rFonts w:ascii="Arial" w:eastAsia="Calibri" w:hAnsi="Arial" w:cs="Arial"/>
          <w:lang w:eastAsia="ar-SA"/>
        </w:rPr>
        <w:lastRenderedPageBreak/>
        <w:t>The NTC proposes</w:t>
      </w:r>
      <w:r w:rsidR="006D766D" w:rsidRPr="00DA3685">
        <w:rPr>
          <w:rFonts w:ascii="Arial" w:eastAsia="Calibri" w:hAnsi="Arial" w:cs="Arial"/>
          <w:lang w:eastAsia="ar-SA"/>
        </w:rPr>
        <w:t xml:space="preserve"> three other obligations on ADSEs to manage liability for events such</w:t>
      </w:r>
      <w:r w:rsidR="00DA3685">
        <w:rPr>
          <w:rFonts w:ascii="Arial" w:eastAsia="Calibri" w:hAnsi="Arial" w:cs="Arial"/>
          <w:lang w:eastAsia="ar-SA"/>
        </w:rPr>
        <w:t xml:space="preserve"> </w:t>
      </w:r>
      <w:r w:rsidR="006D766D" w:rsidRPr="00DA3685">
        <w:rPr>
          <w:rFonts w:ascii="Arial" w:eastAsia="Calibri" w:hAnsi="Arial" w:cs="Arial"/>
          <w:lang w:eastAsia="ar-SA"/>
        </w:rPr>
        <w:t>as road traffic law breaches and crashes:</w:t>
      </w:r>
    </w:p>
    <w:p w:rsidR="00F5410F" w:rsidRPr="00DA3685" w:rsidRDefault="00F5410F" w:rsidP="00FC2F20">
      <w:pPr>
        <w:suppressAutoHyphens/>
        <w:spacing w:after="0" w:line="240" w:lineRule="auto"/>
        <w:outlineLvl w:val="0"/>
        <w:rPr>
          <w:rFonts w:ascii="Arial" w:eastAsia="Calibri" w:hAnsi="Arial" w:cs="Arial"/>
          <w:lang w:eastAsia="ar-SA"/>
        </w:rPr>
      </w:pPr>
    </w:p>
    <w:p w:rsidR="006D766D" w:rsidRPr="00DA3685" w:rsidRDefault="006D766D" w:rsidP="00DA3685">
      <w:pPr>
        <w:pStyle w:val="ListParagraph"/>
        <w:numPr>
          <w:ilvl w:val="0"/>
          <w:numId w:val="32"/>
        </w:numPr>
        <w:suppressAutoHyphens/>
        <w:spacing w:after="0" w:line="360" w:lineRule="auto"/>
        <w:outlineLvl w:val="0"/>
        <w:rPr>
          <w:rFonts w:ascii="Arial" w:eastAsia="Calibri" w:hAnsi="Arial" w:cs="Arial"/>
          <w:lang w:eastAsia="ar-SA"/>
        </w:rPr>
      </w:pPr>
      <w:r w:rsidRPr="00DA3685">
        <w:rPr>
          <w:rFonts w:ascii="Arial" w:eastAsia="Calibri" w:hAnsi="Arial" w:cs="Arial"/>
          <w:lang w:eastAsia="ar-SA"/>
        </w:rPr>
        <w:t>Data recording and sharing</w:t>
      </w:r>
    </w:p>
    <w:p w:rsidR="006D766D" w:rsidRPr="00DA3685" w:rsidRDefault="006D766D" w:rsidP="00DA3685">
      <w:pPr>
        <w:pStyle w:val="ListParagraph"/>
        <w:numPr>
          <w:ilvl w:val="0"/>
          <w:numId w:val="32"/>
        </w:numPr>
        <w:suppressAutoHyphens/>
        <w:spacing w:after="0" w:line="360" w:lineRule="auto"/>
        <w:outlineLvl w:val="0"/>
        <w:rPr>
          <w:rFonts w:ascii="Arial" w:eastAsia="Calibri" w:hAnsi="Arial" w:cs="Arial"/>
          <w:lang w:eastAsia="ar-SA"/>
        </w:rPr>
      </w:pPr>
      <w:r w:rsidRPr="00DA3685">
        <w:rPr>
          <w:rFonts w:ascii="Arial" w:eastAsia="Calibri" w:hAnsi="Arial" w:cs="Arial"/>
          <w:lang w:eastAsia="ar-SA"/>
        </w:rPr>
        <w:t>Corporate presence in Australia</w:t>
      </w:r>
    </w:p>
    <w:p w:rsidR="0072407A" w:rsidRPr="00FC2F20" w:rsidRDefault="006D766D" w:rsidP="00DA3685">
      <w:pPr>
        <w:pStyle w:val="ListParagraph"/>
        <w:numPr>
          <w:ilvl w:val="0"/>
          <w:numId w:val="32"/>
        </w:numPr>
        <w:suppressAutoHyphens/>
        <w:spacing w:after="0" w:line="360" w:lineRule="auto"/>
        <w:outlineLvl w:val="0"/>
        <w:rPr>
          <w:rFonts w:ascii="Arial" w:eastAsia="Calibri" w:hAnsi="Arial" w:cs="Arial"/>
          <w:lang w:eastAsia="ar-SA"/>
        </w:rPr>
      </w:pPr>
      <w:r w:rsidRPr="00DA3685">
        <w:rPr>
          <w:rFonts w:ascii="Arial" w:eastAsia="Calibri" w:hAnsi="Arial" w:cs="Arial"/>
          <w:lang w:eastAsia="ar-SA"/>
        </w:rPr>
        <w:t>Minimum financial requirements</w:t>
      </w:r>
      <w:sdt>
        <w:sdtPr>
          <w:rPr>
            <w:rFonts w:ascii="Arial" w:eastAsia="Calibri" w:hAnsi="Arial" w:cs="Arial"/>
            <w:lang w:eastAsia="ar-SA"/>
          </w:rPr>
          <w:id w:val="-1604636400"/>
          <w:citation/>
        </w:sdtPr>
        <w:sdtEndPr/>
        <w:sdtContent>
          <w:r w:rsidR="00FC2F20">
            <w:rPr>
              <w:rFonts w:ascii="Arial" w:eastAsia="Calibri" w:hAnsi="Arial" w:cs="Arial"/>
              <w:lang w:eastAsia="ar-SA"/>
            </w:rPr>
            <w:fldChar w:fldCharType="begin"/>
          </w:r>
          <w:r w:rsidR="00B742E7">
            <w:rPr>
              <w:rFonts w:ascii="Arial" w:eastAsia="Calibri" w:hAnsi="Arial" w:cs="Arial"/>
              <w:lang w:eastAsia="ar-SA"/>
            </w:rPr>
            <w:instrText xml:space="preserve">CITATION NTC18 \p 37 \l 3081 </w:instrText>
          </w:r>
          <w:r w:rsidR="00FC2F20">
            <w:rPr>
              <w:rFonts w:ascii="Arial" w:eastAsia="Calibri" w:hAnsi="Arial" w:cs="Arial"/>
              <w:lang w:eastAsia="ar-SA"/>
            </w:rPr>
            <w:fldChar w:fldCharType="separate"/>
          </w:r>
          <w:r w:rsidR="00B742E7">
            <w:rPr>
              <w:rFonts w:ascii="Arial" w:eastAsia="Calibri" w:hAnsi="Arial" w:cs="Arial"/>
              <w:noProof/>
              <w:lang w:eastAsia="ar-SA"/>
            </w:rPr>
            <w:t xml:space="preserve"> </w:t>
          </w:r>
          <w:r w:rsidR="00B742E7" w:rsidRPr="00B742E7">
            <w:rPr>
              <w:rFonts w:ascii="Arial" w:eastAsia="Calibri" w:hAnsi="Arial" w:cs="Arial"/>
              <w:noProof/>
              <w:lang w:eastAsia="ar-SA"/>
            </w:rPr>
            <w:t>(NTC, 2018, p. 37)</w:t>
          </w:r>
          <w:r w:rsidR="00FC2F20">
            <w:rPr>
              <w:rFonts w:ascii="Arial" w:eastAsia="Calibri" w:hAnsi="Arial" w:cs="Arial"/>
              <w:lang w:eastAsia="ar-SA"/>
            </w:rPr>
            <w:fldChar w:fldCharType="end"/>
          </w:r>
        </w:sdtContent>
      </w:sdt>
    </w:p>
    <w:p w:rsidR="00FC2F20" w:rsidRDefault="00FC2F20" w:rsidP="00DA3685">
      <w:pPr>
        <w:suppressAutoHyphens/>
        <w:spacing w:after="0" w:line="360" w:lineRule="auto"/>
        <w:outlineLvl w:val="0"/>
        <w:rPr>
          <w:rFonts w:ascii="Arial" w:eastAsia="Calibri" w:hAnsi="Arial" w:cs="Arial"/>
          <w:i/>
          <w:lang w:eastAsia="ar-SA"/>
        </w:rPr>
      </w:pPr>
    </w:p>
    <w:p w:rsidR="0072407A" w:rsidRPr="008D73C7" w:rsidRDefault="004C73D8" w:rsidP="00F5410F">
      <w:pPr>
        <w:suppressAutoHyphens/>
        <w:spacing w:after="0" w:line="240" w:lineRule="auto"/>
        <w:outlineLvl w:val="0"/>
        <w:rPr>
          <w:rFonts w:ascii="Arial" w:eastAsia="Calibri" w:hAnsi="Arial" w:cs="Arial"/>
          <w:i/>
          <w:lang w:eastAsia="ar-SA"/>
        </w:rPr>
      </w:pPr>
      <w:r w:rsidRPr="008D73C7">
        <w:rPr>
          <w:rFonts w:ascii="Arial" w:eastAsia="Calibri" w:hAnsi="Arial" w:cs="Arial"/>
          <w:i/>
          <w:lang w:eastAsia="ar-SA"/>
        </w:rPr>
        <w:t>Assessment of the reform options</w:t>
      </w:r>
    </w:p>
    <w:p w:rsidR="00F873E4" w:rsidRDefault="00F873E4" w:rsidP="00F5410F">
      <w:pPr>
        <w:suppressAutoHyphens/>
        <w:spacing w:after="0" w:line="240" w:lineRule="auto"/>
        <w:outlineLvl w:val="0"/>
        <w:rPr>
          <w:rFonts w:ascii="Arial" w:eastAsia="Calibri" w:hAnsi="Arial" w:cs="Arial"/>
          <w:lang w:eastAsia="ar-SA"/>
        </w:rPr>
      </w:pPr>
    </w:p>
    <w:p w:rsidR="00F873E4" w:rsidRDefault="008D73C7" w:rsidP="008D73C7">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Due to the degree of uncertainty and lack of </w:t>
      </w:r>
      <w:r w:rsidR="00FC2F20">
        <w:rPr>
          <w:rFonts w:ascii="Arial" w:eastAsia="Calibri" w:hAnsi="Arial" w:cs="Arial"/>
          <w:lang w:eastAsia="ar-SA"/>
        </w:rPr>
        <w:t>relevant information the NTC did not undertake</w:t>
      </w:r>
      <w:r>
        <w:rPr>
          <w:rFonts w:ascii="Arial" w:eastAsia="Calibri" w:hAnsi="Arial" w:cs="Arial"/>
          <w:lang w:eastAsia="ar-SA"/>
        </w:rPr>
        <w:t xml:space="preserve"> a </w:t>
      </w:r>
      <w:r w:rsidR="00B742E7">
        <w:rPr>
          <w:rFonts w:ascii="Arial" w:eastAsia="Calibri" w:hAnsi="Arial" w:cs="Arial"/>
          <w:lang w:eastAsia="ar-SA"/>
        </w:rPr>
        <w:t xml:space="preserve">full </w:t>
      </w:r>
      <w:r>
        <w:rPr>
          <w:rFonts w:ascii="Arial" w:eastAsia="Calibri" w:hAnsi="Arial" w:cs="Arial"/>
          <w:lang w:eastAsia="ar-SA"/>
        </w:rPr>
        <w:t>qua</w:t>
      </w:r>
      <w:r w:rsidR="00636CD7">
        <w:rPr>
          <w:rFonts w:ascii="Arial" w:eastAsia="Calibri" w:hAnsi="Arial" w:cs="Arial"/>
          <w:lang w:eastAsia="ar-SA"/>
        </w:rPr>
        <w:t>ntitative cost-benefit analysis</w:t>
      </w:r>
      <w:sdt>
        <w:sdtPr>
          <w:rPr>
            <w:rFonts w:ascii="Arial" w:eastAsia="Calibri" w:hAnsi="Arial" w:cs="Arial"/>
            <w:lang w:eastAsia="ar-SA"/>
          </w:rPr>
          <w:id w:val="-1979986478"/>
          <w:citation/>
        </w:sdtPr>
        <w:sdtEndPr/>
        <w:sdtContent>
          <w:r w:rsidR="00FC2F20">
            <w:rPr>
              <w:rFonts w:ascii="Arial" w:eastAsia="Calibri" w:hAnsi="Arial" w:cs="Arial"/>
              <w:lang w:eastAsia="ar-SA"/>
            </w:rPr>
            <w:fldChar w:fldCharType="begin"/>
          </w:r>
          <w:r w:rsidR="00B742E7">
            <w:rPr>
              <w:rFonts w:ascii="Arial" w:eastAsia="Calibri" w:hAnsi="Arial" w:cs="Arial"/>
              <w:lang w:eastAsia="ar-SA"/>
            </w:rPr>
            <w:instrText xml:space="preserve">CITATION NTC18 \p 38 \l 3081 </w:instrText>
          </w:r>
          <w:r w:rsidR="00FC2F20">
            <w:rPr>
              <w:rFonts w:ascii="Arial" w:eastAsia="Calibri" w:hAnsi="Arial" w:cs="Arial"/>
              <w:lang w:eastAsia="ar-SA"/>
            </w:rPr>
            <w:fldChar w:fldCharType="separate"/>
          </w:r>
          <w:r w:rsidR="00B742E7">
            <w:rPr>
              <w:rFonts w:ascii="Arial" w:eastAsia="Calibri" w:hAnsi="Arial" w:cs="Arial"/>
              <w:noProof/>
              <w:lang w:eastAsia="ar-SA"/>
            </w:rPr>
            <w:t xml:space="preserve"> </w:t>
          </w:r>
          <w:r w:rsidR="00B742E7" w:rsidRPr="00B742E7">
            <w:rPr>
              <w:rFonts w:ascii="Arial" w:eastAsia="Calibri" w:hAnsi="Arial" w:cs="Arial"/>
              <w:noProof/>
              <w:lang w:eastAsia="ar-SA"/>
            </w:rPr>
            <w:t>(NTC, 2018, p. 38)</w:t>
          </w:r>
          <w:r w:rsidR="00FC2F20">
            <w:rPr>
              <w:rFonts w:ascii="Arial" w:eastAsia="Calibri" w:hAnsi="Arial" w:cs="Arial"/>
              <w:lang w:eastAsia="ar-SA"/>
            </w:rPr>
            <w:fldChar w:fldCharType="end"/>
          </w:r>
        </w:sdtContent>
      </w:sdt>
      <w:r w:rsidR="00636CD7">
        <w:rPr>
          <w:rFonts w:ascii="Arial" w:eastAsia="Calibri" w:hAnsi="Arial" w:cs="Arial"/>
          <w:lang w:eastAsia="ar-SA"/>
        </w:rPr>
        <w:t>.</w:t>
      </w:r>
    </w:p>
    <w:p w:rsidR="008D73C7" w:rsidRDefault="008D73C7" w:rsidP="008D73C7">
      <w:pPr>
        <w:suppressAutoHyphens/>
        <w:spacing w:after="0" w:line="240" w:lineRule="auto"/>
        <w:outlineLvl w:val="0"/>
        <w:rPr>
          <w:rFonts w:ascii="Arial" w:eastAsia="Calibri" w:hAnsi="Arial" w:cs="Arial"/>
          <w:lang w:eastAsia="ar-SA"/>
        </w:rPr>
      </w:pPr>
    </w:p>
    <w:p w:rsidR="008D73C7" w:rsidRDefault="008D73C7" w:rsidP="008D73C7">
      <w:pPr>
        <w:suppressAutoHyphens/>
        <w:spacing w:after="0" w:line="240" w:lineRule="auto"/>
        <w:outlineLvl w:val="0"/>
        <w:rPr>
          <w:rFonts w:ascii="Arial" w:eastAsia="Calibri" w:hAnsi="Arial" w:cs="Arial"/>
          <w:lang w:eastAsia="ar-SA"/>
        </w:rPr>
      </w:pPr>
      <w:r>
        <w:rPr>
          <w:rFonts w:ascii="Arial" w:eastAsia="Calibri" w:hAnsi="Arial" w:cs="Arial"/>
          <w:lang w:eastAsia="ar-SA"/>
        </w:rPr>
        <w:t>The NTC based its assessment on qualitative information around key impact categories and assessment criteria. The five key impact categories are:</w:t>
      </w:r>
    </w:p>
    <w:p w:rsidR="008D73C7" w:rsidRDefault="008D73C7" w:rsidP="008D73C7">
      <w:pPr>
        <w:suppressAutoHyphens/>
        <w:spacing w:after="0" w:line="240" w:lineRule="auto"/>
        <w:outlineLvl w:val="0"/>
        <w:rPr>
          <w:rFonts w:ascii="Arial" w:eastAsia="Calibri" w:hAnsi="Arial" w:cs="Arial"/>
          <w:lang w:eastAsia="ar-SA"/>
        </w:rPr>
      </w:pPr>
    </w:p>
    <w:p w:rsidR="008D73C7" w:rsidRPr="008D73C7" w:rsidRDefault="008D73C7" w:rsidP="008D73C7">
      <w:pPr>
        <w:pStyle w:val="ListParagraph"/>
        <w:numPr>
          <w:ilvl w:val="0"/>
          <w:numId w:val="33"/>
        </w:numPr>
        <w:suppressAutoHyphens/>
        <w:spacing w:after="0" w:line="240" w:lineRule="auto"/>
        <w:outlineLvl w:val="0"/>
        <w:rPr>
          <w:rFonts w:ascii="Arial" w:eastAsia="Calibri" w:hAnsi="Arial" w:cs="Arial"/>
          <w:lang w:eastAsia="ar-SA"/>
        </w:rPr>
      </w:pPr>
      <w:r w:rsidRPr="008D73C7">
        <w:rPr>
          <w:rFonts w:ascii="Arial" w:eastAsia="Calibri" w:hAnsi="Arial" w:cs="Arial"/>
          <w:lang w:eastAsia="ar-SA"/>
        </w:rPr>
        <w:t>Road safety</w:t>
      </w:r>
    </w:p>
    <w:p w:rsidR="008D73C7" w:rsidRPr="008D73C7" w:rsidRDefault="008D73C7" w:rsidP="008D73C7">
      <w:pPr>
        <w:pStyle w:val="ListParagraph"/>
        <w:numPr>
          <w:ilvl w:val="0"/>
          <w:numId w:val="33"/>
        </w:numPr>
        <w:suppressAutoHyphens/>
        <w:spacing w:after="0" w:line="240" w:lineRule="auto"/>
        <w:outlineLvl w:val="0"/>
        <w:rPr>
          <w:rFonts w:ascii="Arial" w:eastAsia="Calibri" w:hAnsi="Arial" w:cs="Arial"/>
          <w:lang w:eastAsia="ar-SA"/>
        </w:rPr>
      </w:pPr>
      <w:r w:rsidRPr="008D73C7">
        <w:rPr>
          <w:rFonts w:ascii="Arial" w:eastAsia="Calibri" w:hAnsi="Arial" w:cs="Arial"/>
          <w:lang w:eastAsia="ar-SA"/>
        </w:rPr>
        <w:t>Uptake of automated vehicles</w:t>
      </w:r>
    </w:p>
    <w:p w:rsidR="008D73C7" w:rsidRPr="008D73C7" w:rsidRDefault="008D73C7" w:rsidP="008D73C7">
      <w:pPr>
        <w:pStyle w:val="ListParagraph"/>
        <w:numPr>
          <w:ilvl w:val="0"/>
          <w:numId w:val="33"/>
        </w:numPr>
        <w:suppressAutoHyphens/>
        <w:spacing w:after="0" w:line="240" w:lineRule="auto"/>
        <w:outlineLvl w:val="0"/>
        <w:rPr>
          <w:rFonts w:ascii="Arial" w:eastAsia="Calibri" w:hAnsi="Arial" w:cs="Arial"/>
          <w:lang w:eastAsia="ar-SA"/>
        </w:rPr>
      </w:pPr>
      <w:r w:rsidRPr="008D73C7">
        <w:rPr>
          <w:rFonts w:ascii="Arial" w:eastAsia="Calibri" w:hAnsi="Arial" w:cs="Arial"/>
          <w:lang w:eastAsia="ar-SA"/>
        </w:rPr>
        <w:t>Regulatory costs to industry</w:t>
      </w:r>
    </w:p>
    <w:p w:rsidR="008D73C7" w:rsidRPr="008D73C7" w:rsidRDefault="008D73C7" w:rsidP="008D73C7">
      <w:pPr>
        <w:pStyle w:val="ListParagraph"/>
        <w:numPr>
          <w:ilvl w:val="0"/>
          <w:numId w:val="33"/>
        </w:numPr>
        <w:suppressAutoHyphens/>
        <w:spacing w:after="0" w:line="240" w:lineRule="auto"/>
        <w:outlineLvl w:val="0"/>
        <w:rPr>
          <w:rFonts w:ascii="Arial" w:eastAsia="Calibri" w:hAnsi="Arial" w:cs="Arial"/>
          <w:lang w:eastAsia="ar-SA"/>
        </w:rPr>
      </w:pPr>
      <w:r w:rsidRPr="008D73C7">
        <w:rPr>
          <w:rFonts w:ascii="Arial" w:eastAsia="Calibri" w:hAnsi="Arial" w:cs="Arial"/>
          <w:lang w:eastAsia="ar-SA"/>
        </w:rPr>
        <w:t>Cost to governments</w:t>
      </w:r>
    </w:p>
    <w:p w:rsidR="008D73C7" w:rsidRPr="008D73C7" w:rsidRDefault="008D73C7" w:rsidP="008D73C7">
      <w:pPr>
        <w:pStyle w:val="ListParagraph"/>
        <w:numPr>
          <w:ilvl w:val="0"/>
          <w:numId w:val="33"/>
        </w:numPr>
        <w:suppressAutoHyphens/>
        <w:spacing w:after="0" w:line="240" w:lineRule="auto"/>
        <w:outlineLvl w:val="0"/>
        <w:rPr>
          <w:rFonts w:ascii="Arial" w:eastAsia="Calibri" w:hAnsi="Arial" w:cs="Arial"/>
          <w:lang w:eastAsia="ar-SA"/>
        </w:rPr>
      </w:pPr>
      <w:r w:rsidRPr="008D73C7">
        <w:rPr>
          <w:rFonts w:ascii="Arial" w:eastAsia="Calibri" w:hAnsi="Arial" w:cs="Arial"/>
          <w:lang w:eastAsia="ar-SA"/>
        </w:rPr>
        <w:t xml:space="preserve">Flexibility and responsiveness </w:t>
      </w:r>
      <w:sdt>
        <w:sdtPr>
          <w:rPr>
            <w:rFonts w:ascii="Arial" w:eastAsia="Calibri" w:hAnsi="Arial" w:cs="Arial"/>
            <w:lang w:eastAsia="ar-SA"/>
          </w:rPr>
          <w:id w:val="-537279981"/>
          <w:citation/>
        </w:sdtPr>
        <w:sdtEndPr/>
        <w:sdtContent>
          <w:r w:rsidR="00FC2F20">
            <w:rPr>
              <w:rFonts w:ascii="Arial" w:eastAsia="Calibri" w:hAnsi="Arial" w:cs="Arial"/>
              <w:lang w:eastAsia="ar-SA"/>
            </w:rPr>
            <w:fldChar w:fldCharType="begin"/>
          </w:r>
          <w:r w:rsidR="00B742E7">
            <w:rPr>
              <w:rFonts w:ascii="Arial" w:eastAsia="Calibri" w:hAnsi="Arial" w:cs="Arial"/>
              <w:lang w:eastAsia="ar-SA"/>
            </w:rPr>
            <w:instrText xml:space="preserve">CITATION NTC18 \p 38 \l 3081 </w:instrText>
          </w:r>
          <w:r w:rsidR="00FC2F20">
            <w:rPr>
              <w:rFonts w:ascii="Arial" w:eastAsia="Calibri" w:hAnsi="Arial" w:cs="Arial"/>
              <w:lang w:eastAsia="ar-SA"/>
            </w:rPr>
            <w:fldChar w:fldCharType="separate"/>
          </w:r>
          <w:r w:rsidR="00B742E7" w:rsidRPr="00B742E7">
            <w:rPr>
              <w:rFonts w:ascii="Arial" w:eastAsia="Calibri" w:hAnsi="Arial" w:cs="Arial"/>
              <w:noProof/>
              <w:lang w:eastAsia="ar-SA"/>
            </w:rPr>
            <w:t>(NTC, 2018, p. 38)</w:t>
          </w:r>
          <w:r w:rsidR="00FC2F20">
            <w:rPr>
              <w:rFonts w:ascii="Arial" w:eastAsia="Calibri" w:hAnsi="Arial" w:cs="Arial"/>
              <w:lang w:eastAsia="ar-SA"/>
            </w:rPr>
            <w:fldChar w:fldCharType="end"/>
          </w:r>
        </w:sdtContent>
      </w:sdt>
    </w:p>
    <w:p w:rsidR="008D73C7" w:rsidRDefault="008D73C7" w:rsidP="008D73C7">
      <w:pPr>
        <w:suppressAutoHyphens/>
        <w:spacing w:after="0" w:line="240" w:lineRule="auto"/>
        <w:outlineLvl w:val="0"/>
        <w:rPr>
          <w:rFonts w:ascii="Arial" w:eastAsia="Calibri" w:hAnsi="Arial" w:cs="Arial"/>
          <w:lang w:eastAsia="ar-SA"/>
        </w:rPr>
      </w:pPr>
    </w:p>
    <w:p w:rsidR="00FC2F20" w:rsidRDefault="00FC2F20" w:rsidP="008D73C7">
      <w:pPr>
        <w:suppressAutoHyphens/>
        <w:spacing w:after="0" w:line="240" w:lineRule="auto"/>
        <w:outlineLvl w:val="0"/>
        <w:rPr>
          <w:rFonts w:ascii="Arial" w:eastAsia="Calibri" w:hAnsi="Arial" w:cs="Arial"/>
          <w:lang w:eastAsia="ar-SA"/>
        </w:rPr>
      </w:pPr>
    </w:p>
    <w:p w:rsidR="008D73C7" w:rsidRPr="00F908AE" w:rsidRDefault="008D73C7" w:rsidP="008D73C7">
      <w:pPr>
        <w:suppressAutoHyphens/>
        <w:spacing w:after="0" w:line="240" w:lineRule="auto"/>
        <w:outlineLvl w:val="0"/>
        <w:rPr>
          <w:rFonts w:ascii="Arial" w:eastAsia="Calibri" w:hAnsi="Arial" w:cs="Arial"/>
          <w:i/>
          <w:lang w:eastAsia="ar-SA"/>
        </w:rPr>
      </w:pPr>
      <w:r w:rsidRPr="00F908AE">
        <w:rPr>
          <w:rFonts w:ascii="Arial" w:eastAsia="Calibri" w:hAnsi="Arial" w:cs="Arial"/>
          <w:i/>
          <w:lang w:eastAsia="ar-SA"/>
        </w:rPr>
        <w:t xml:space="preserve">NTC’s </w:t>
      </w:r>
      <w:r w:rsidR="00FC2F20">
        <w:rPr>
          <w:rFonts w:ascii="Arial" w:eastAsia="Calibri" w:hAnsi="Arial" w:cs="Arial"/>
          <w:i/>
          <w:lang w:eastAsia="ar-SA"/>
        </w:rPr>
        <w:t>preferred option</w:t>
      </w:r>
    </w:p>
    <w:p w:rsidR="002F6358" w:rsidRDefault="002F6358" w:rsidP="008D73C7">
      <w:pPr>
        <w:suppressAutoHyphens/>
        <w:spacing w:after="0" w:line="240" w:lineRule="auto"/>
        <w:outlineLvl w:val="0"/>
        <w:rPr>
          <w:rFonts w:ascii="Arial" w:eastAsia="Calibri" w:hAnsi="Arial" w:cs="Arial"/>
          <w:lang w:eastAsia="ar-SA"/>
        </w:rPr>
      </w:pPr>
    </w:p>
    <w:p w:rsidR="002F6358" w:rsidRDefault="00D92E12" w:rsidP="008D73C7">
      <w:pPr>
        <w:suppressAutoHyphens/>
        <w:spacing w:after="0" w:line="240" w:lineRule="auto"/>
        <w:outlineLvl w:val="0"/>
        <w:rPr>
          <w:rFonts w:ascii="Arial" w:eastAsia="Calibri" w:hAnsi="Arial" w:cs="Arial"/>
          <w:lang w:eastAsia="ar-SA"/>
        </w:rPr>
      </w:pPr>
      <w:r>
        <w:rPr>
          <w:rFonts w:ascii="Arial" w:eastAsia="Calibri" w:hAnsi="Arial" w:cs="Arial"/>
          <w:lang w:eastAsia="ar-SA"/>
        </w:rPr>
        <w:t>The NTC has identified O</w:t>
      </w:r>
      <w:r w:rsidR="002F6358">
        <w:rPr>
          <w:rFonts w:ascii="Arial" w:eastAsia="Calibri" w:hAnsi="Arial" w:cs="Arial"/>
          <w:lang w:eastAsia="ar-SA"/>
        </w:rPr>
        <w:t>ption 4 as the preferred option</w:t>
      </w:r>
      <w:r w:rsidR="00F908AE">
        <w:rPr>
          <w:rFonts w:ascii="Arial" w:eastAsia="Calibri" w:hAnsi="Arial" w:cs="Arial"/>
          <w:lang w:eastAsia="ar-SA"/>
        </w:rPr>
        <w:t xml:space="preserve"> with the following rationale</w:t>
      </w:r>
      <w:r w:rsidR="002F6358">
        <w:rPr>
          <w:rFonts w:ascii="Arial" w:eastAsia="Calibri" w:hAnsi="Arial" w:cs="Arial"/>
          <w:lang w:eastAsia="ar-SA"/>
        </w:rPr>
        <w:t>:</w:t>
      </w:r>
    </w:p>
    <w:p w:rsidR="008D73C7" w:rsidRDefault="008D73C7" w:rsidP="008D73C7">
      <w:pPr>
        <w:suppressAutoHyphens/>
        <w:spacing w:after="0" w:line="240" w:lineRule="auto"/>
        <w:outlineLvl w:val="0"/>
        <w:rPr>
          <w:rFonts w:ascii="Arial" w:eastAsia="Calibri" w:hAnsi="Arial" w:cs="Arial"/>
          <w:lang w:eastAsia="ar-SA"/>
        </w:rPr>
      </w:pPr>
    </w:p>
    <w:p w:rsidR="008D73C7" w:rsidRPr="008D73C7" w:rsidRDefault="008D73C7" w:rsidP="008D73C7">
      <w:pPr>
        <w:pStyle w:val="ListParagraph"/>
        <w:numPr>
          <w:ilvl w:val="0"/>
          <w:numId w:val="34"/>
        </w:numPr>
        <w:suppressAutoHyphens/>
        <w:spacing w:after="0" w:line="240" w:lineRule="auto"/>
        <w:outlineLvl w:val="0"/>
        <w:rPr>
          <w:rFonts w:ascii="Arial" w:hAnsi="Arial" w:cs="Arial"/>
        </w:rPr>
      </w:pPr>
      <w:r w:rsidRPr="008D73C7">
        <w:rPr>
          <w:rFonts w:ascii="Arial" w:hAnsi="Arial" w:cs="Arial"/>
        </w:rPr>
        <w:t xml:space="preserve">Option 4 exhibits the most positive impacts, with large improvements to road safety and flexibility and responsiveness impacts, and moderate improvements to uptake of automated vehicles. </w:t>
      </w:r>
    </w:p>
    <w:p w:rsidR="008D73C7" w:rsidRPr="008D73C7" w:rsidRDefault="008D73C7" w:rsidP="008D73C7">
      <w:pPr>
        <w:suppressAutoHyphens/>
        <w:spacing w:after="0" w:line="240" w:lineRule="auto"/>
        <w:outlineLvl w:val="0"/>
        <w:rPr>
          <w:rFonts w:ascii="Arial" w:hAnsi="Arial" w:cs="Arial"/>
        </w:rPr>
      </w:pPr>
    </w:p>
    <w:p w:rsidR="008D73C7" w:rsidRPr="008D73C7" w:rsidRDefault="008D73C7" w:rsidP="008D73C7">
      <w:pPr>
        <w:pStyle w:val="ListParagraph"/>
        <w:numPr>
          <w:ilvl w:val="0"/>
          <w:numId w:val="34"/>
        </w:numPr>
        <w:suppressAutoHyphens/>
        <w:spacing w:after="0" w:line="240" w:lineRule="auto"/>
        <w:outlineLvl w:val="0"/>
        <w:rPr>
          <w:rFonts w:ascii="Arial" w:hAnsi="Arial" w:cs="Arial"/>
        </w:rPr>
      </w:pPr>
      <w:r w:rsidRPr="008D73C7">
        <w:rPr>
          <w:rFonts w:ascii="Arial" w:hAnsi="Arial" w:cs="Arial"/>
        </w:rPr>
        <w:t xml:space="preserve">Option 3 presents similar results but somewhat lesser improvements to road safety and flexibility and responsiveness impacts compared with option 4. Option 3 does, however, present somewhat greater certainty around regulatory costs than option 4. </w:t>
      </w:r>
    </w:p>
    <w:p w:rsidR="008D73C7" w:rsidRPr="008D73C7" w:rsidRDefault="008D73C7" w:rsidP="008D73C7">
      <w:pPr>
        <w:suppressAutoHyphens/>
        <w:spacing w:after="0" w:line="240" w:lineRule="auto"/>
        <w:outlineLvl w:val="0"/>
        <w:rPr>
          <w:rFonts w:ascii="Arial" w:hAnsi="Arial" w:cs="Arial"/>
        </w:rPr>
      </w:pPr>
    </w:p>
    <w:p w:rsidR="008D73C7" w:rsidRPr="008D73C7" w:rsidRDefault="008D73C7" w:rsidP="008D73C7">
      <w:pPr>
        <w:pStyle w:val="ListParagraph"/>
        <w:numPr>
          <w:ilvl w:val="0"/>
          <w:numId w:val="34"/>
        </w:numPr>
        <w:suppressAutoHyphens/>
        <w:spacing w:after="0" w:line="240" w:lineRule="auto"/>
        <w:outlineLvl w:val="0"/>
        <w:rPr>
          <w:rFonts w:ascii="Arial" w:hAnsi="Arial" w:cs="Arial"/>
        </w:rPr>
      </w:pPr>
      <w:r w:rsidRPr="008D73C7">
        <w:rPr>
          <w:rFonts w:ascii="Arial" w:hAnsi="Arial" w:cs="Arial"/>
        </w:rPr>
        <w:t xml:space="preserve">Option 2 exhibits similar impacts to option 3 but to an equal or lesser extent in all impact categories. </w:t>
      </w:r>
    </w:p>
    <w:p w:rsidR="008D73C7" w:rsidRPr="008D73C7" w:rsidRDefault="008D73C7" w:rsidP="008D73C7">
      <w:pPr>
        <w:suppressAutoHyphens/>
        <w:spacing w:after="0" w:line="240" w:lineRule="auto"/>
        <w:outlineLvl w:val="0"/>
        <w:rPr>
          <w:rFonts w:ascii="Arial" w:hAnsi="Arial" w:cs="Arial"/>
        </w:rPr>
      </w:pPr>
    </w:p>
    <w:p w:rsidR="008D73C7" w:rsidRPr="00B0767C" w:rsidRDefault="008D73C7" w:rsidP="008D73C7">
      <w:pPr>
        <w:pStyle w:val="ListParagraph"/>
        <w:numPr>
          <w:ilvl w:val="0"/>
          <w:numId w:val="34"/>
        </w:numPr>
        <w:suppressAutoHyphens/>
        <w:spacing w:after="0" w:line="240" w:lineRule="auto"/>
        <w:outlineLvl w:val="0"/>
        <w:rPr>
          <w:rFonts w:ascii="Arial" w:eastAsia="Calibri" w:hAnsi="Arial" w:cs="Arial"/>
          <w:lang w:eastAsia="ar-SA"/>
        </w:rPr>
      </w:pPr>
      <w:r w:rsidRPr="008D73C7">
        <w:rPr>
          <w:rFonts w:ascii="Arial" w:hAnsi="Arial" w:cs="Arial"/>
        </w:rPr>
        <w:t>Options 2, 3 and 4 all result in an overa</w:t>
      </w:r>
      <w:r w:rsidR="00636CD7">
        <w:rPr>
          <w:rFonts w:ascii="Arial" w:hAnsi="Arial" w:cs="Arial"/>
        </w:rPr>
        <w:t>ll benefit relative to option 1</w:t>
      </w:r>
      <w:sdt>
        <w:sdtPr>
          <w:rPr>
            <w:rFonts w:ascii="Arial" w:hAnsi="Arial" w:cs="Arial"/>
          </w:rPr>
          <w:id w:val="1045717061"/>
          <w:citation/>
        </w:sdtPr>
        <w:sdtEndPr/>
        <w:sdtContent>
          <w:r w:rsidR="00FC2F20">
            <w:rPr>
              <w:rFonts w:ascii="Arial" w:hAnsi="Arial" w:cs="Arial"/>
            </w:rPr>
            <w:fldChar w:fldCharType="begin"/>
          </w:r>
          <w:r w:rsidR="00B742E7">
            <w:rPr>
              <w:rFonts w:ascii="Arial" w:hAnsi="Arial" w:cs="Arial"/>
            </w:rPr>
            <w:instrText xml:space="preserve">CITATION NTC18 \p 46 \l 3081 </w:instrText>
          </w:r>
          <w:r w:rsidR="00FC2F20">
            <w:rPr>
              <w:rFonts w:ascii="Arial" w:hAnsi="Arial" w:cs="Arial"/>
            </w:rPr>
            <w:fldChar w:fldCharType="separate"/>
          </w:r>
          <w:r w:rsidR="00B742E7">
            <w:rPr>
              <w:rFonts w:ascii="Arial" w:hAnsi="Arial" w:cs="Arial"/>
              <w:noProof/>
            </w:rPr>
            <w:t xml:space="preserve"> </w:t>
          </w:r>
          <w:r w:rsidR="00B742E7" w:rsidRPr="00B742E7">
            <w:rPr>
              <w:rFonts w:ascii="Arial" w:hAnsi="Arial" w:cs="Arial"/>
              <w:noProof/>
            </w:rPr>
            <w:t>(NTC, 2018, p. 46)</w:t>
          </w:r>
          <w:r w:rsidR="00FC2F20">
            <w:rPr>
              <w:rFonts w:ascii="Arial" w:hAnsi="Arial" w:cs="Arial"/>
            </w:rPr>
            <w:fldChar w:fldCharType="end"/>
          </w:r>
        </w:sdtContent>
      </w:sdt>
    </w:p>
    <w:p w:rsidR="00B0767C" w:rsidRDefault="00B0767C" w:rsidP="00B0767C">
      <w:pPr>
        <w:pStyle w:val="ListParagraph"/>
        <w:rPr>
          <w:rFonts w:ascii="Arial" w:eastAsia="Calibri" w:hAnsi="Arial" w:cs="Arial"/>
          <w:lang w:eastAsia="ar-SA"/>
        </w:rPr>
      </w:pPr>
    </w:p>
    <w:p w:rsidR="00ED048E" w:rsidRPr="00B0767C" w:rsidRDefault="00ED048E" w:rsidP="00B0767C">
      <w:pPr>
        <w:pStyle w:val="ListParagraph"/>
        <w:rPr>
          <w:rFonts w:ascii="Arial" w:eastAsia="Calibri" w:hAnsi="Arial" w:cs="Arial"/>
          <w:lang w:eastAsia="ar-SA"/>
        </w:rPr>
      </w:pPr>
    </w:p>
    <w:p w:rsidR="00DB1CE4" w:rsidRDefault="00DB1CE4" w:rsidP="00DB1CE4">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The ATA’s preferred option</w:t>
      </w:r>
    </w:p>
    <w:p w:rsidR="00CD6A77" w:rsidRDefault="00CD6A77" w:rsidP="00CD6A77">
      <w:pPr>
        <w:suppressAutoHyphens/>
        <w:spacing w:after="0" w:line="240" w:lineRule="auto"/>
        <w:outlineLvl w:val="0"/>
        <w:rPr>
          <w:rFonts w:ascii="Arial" w:eastAsia="Calibri" w:hAnsi="Arial" w:cs="Arial"/>
          <w:b/>
          <w:sz w:val="24"/>
          <w:szCs w:val="24"/>
          <w:lang w:eastAsia="ar-SA"/>
        </w:rPr>
      </w:pPr>
    </w:p>
    <w:p w:rsidR="00D92E12" w:rsidRDefault="00C41A7F" w:rsidP="00CD6A77">
      <w:pPr>
        <w:suppressAutoHyphens/>
        <w:spacing w:after="0" w:line="240" w:lineRule="auto"/>
        <w:outlineLvl w:val="0"/>
        <w:rPr>
          <w:rFonts w:ascii="Arial" w:eastAsia="Calibri" w:hAnsi="Arial" w:cs="Arial"/>
          <w:lang w:eastAsia="ar-SA"/>
        </w:rPr>
      </w:pPr>
      <w:r w:rsidRPr="00C41A7F">
        <w:rPr>
          <w:rFonts w:ascii="Arial" w:eastAsia="Calibri" w:hAnsi="Arial" w:cs="Arial"/>
          <w:lang w:eastAsia="ar-SA"/>
        </w:rPr>
        <w:t>The ATA</w:t>
      </w:r>
      <w:r>
        <w:rPr>
          <w:rFonts w:ascii="Arial" w:eastAsia="Calibri" w:hAnsi="Arial" w:cs="Arial"/>
          <w:lang w:eastAsia="ar-SA"/>
        </w:rPr>
        <w:t xml:space="preserve"> </w:t>
      </w:r>
      <w:r w:rsidR="00FC2F20">
        <w:rPr>
          <w:rFonts w:ascii="Arial" w:eastAsia="Calibri" w:hAnsi="Arial" w:cs="Arial"/>
          <w:lang w:eastAsia="ar-SA"/>
        </w:rPr>
        <w:t xml:space="preserve">agrees </w:t>
      </w:r>
      <w:r>
        <w:rPr>
          <w:rFonts w:ascii="Arial" w:eastAsia="Calibri" w:hAnsi="Arial" w:cs="Arial"/>
          <w:lang w:eastAsia="ar-SA"/>
        </w:rPr>
        <w:t xml:space="preserve">that </w:t>
      </w:r>
      <w:r w:rsidR="00FC2F20">
        <w:rPr>
          <w:rFonts w:ascii="Arial" w:eastAsia="Calibri" w:hAnsi="Arial" w:cs="Arial"/>
          <w:lang w:eastAsia="ar-SA"/>
        </w:rPr>
        <w:t>o</w:t>
      </w:r>
      <w:r w:rsidR="00CF04EE">
        <w:rPr>
          <w:rFonts w:ascii="Arial" w:eastAsia="Calibri" w:hAnsi="Arial" w:cs="Arial"/>
          <w:lang w:eastAsia="ar-SA"/>
        </w:rPr>
        <w:t>ption 4 is the best option to progress.</w:t>
      </w:r>
    </w:p>
    <w:p w:rsidR="00CF04EE" w:rsidRDefault="00CF04EE" w:rsidP="00CD6A77">
      <w:pPr>
        <w:suppressAutoHyphens/>
        <w:spacing w:after="0" w:line="240" w:lineRule="auto"/>
        <w:outlineLvl w:val="0"/>
        <w:rPr>
          <w:rFonts w:ascii="Arial" w:eastAsia="Calibri" w:hAnsi="Arial" w:cs="Arial"/>
          <w:lang w:eastAsia="ar-SA"/>
        </w:rPr>
      </w:pPr>
    </w:p>
    <w:p w:rsidR="00CF04EE" w:rsidRDefault="00CF04EE" w:rsidP="00CD6A77">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Options 1 and 2 are not sufficiently comprehensive and </w:t>
      </w:r>
      <w:r w:rsidR="00A90815">
        <w:rPr>
          <w:rFonts w:ascii="Arial" w:eastAsia="Calibri" w:hAnsi="Arial" w:cs="Arial"/>
          <w:lang w:eastAsia="ar-SA"/>
        </w:rPr>
        <w:t xml:space="preserve">will not </w:t>
      </w:r>
      <w:r>
        <w:rPr>
          <w:rFonts w:ascii="Arial" w:eastAsia="Calibri" w:hAnsi="Arial" w:cs="Arial"/>
          <w:lang w:eastAsia="ar-SA"/>
        </w:rPr>
        <w:t xml:space="preserve">offer adequate safety outcomes. </w:t>
      </w:r>
    </w:p>
    <w:p w:rsidR="00CF04EE" w:rsidRDefault="00CF04EE" w:rsidP="00CD6A77">
      <w:pPr>
        <w:suppressAutoHyphens/>
        <w:spacing w:after="0" w:line="240" w:lineRule="auto"/>
        <w:outlineLvl w:val="0"/>
        <w:rPr>
          <w:rFonts w:ascii="Arial" w:eastAsia="Calibri" w:hAnsi="Arial" w:cs="Arial"/>
          <w:lang w:eastAsia="ar-SA"/>
        </w:rPr>
      </w:pPr>
    </w:p>
    <w:p w:rsidR="00A22440" w:rsidRDefault="00FC2F20" w:rsidP="00CD6A77">
      <w:pPr>
        <w:suppressAutoHyphens/>
        <w:spacing w:after="0" w:line="240" w:lineRule="auto"/>
        <w:outlineLvl w:val="0"/>
        <w:rPr>
          <w:rFonts w:ascii="Arial" w:eastAsia="Calibri" w:hAnsi="Arial" w:cs="Arial"/>
          <w:lang w:eastAsia="ar-SA"/>
        </w:rPr>
      </w:pPr>
      <w:r>
        <w:rPr>
          <w:rFonts w:ascii="Arial" w:eastAsia="Calibri" w:hAnsi="Arial" w:cs="Arial"/>
          <w:lang w:eastAsia="ar-SA"/>
        </w:rPr>
        <w:t>Option 4 is preferred over o</w:t>
      </w:r>
      <w:r w:rsidR="00CF04EE">
        <w:rPr>
          <w:rFonts w:ascii="Arial" w:eastAsia="Calibri" w:hAnsi="Arial" w:cs="Arial"/>
          <w:lang w:eastAsia="ar-SA"/>
        </w:rPr>
        <w:t>ption 3 as it includes a prima</w:t>
      </w:r>
      <w:r>
        <w:rPr>
          <w:rFonts w:ascii="Arial" w:eastAsia="Calibri" w:hAnsi="Arial" w:cs="Arial"/>
          <w:lang w:eastAsia="ar-SA"/>
        </w:rPr>
        <w:t>ry safety duty, which the ATA supports</w:t>
      </w:r>
      <w:r w:rsidR="00CF04EE">
        <w:rPr>
          <w:rFonts w:ascii="Arial" w:eastAsia="Calibri" w:hAnsi="Arial" w:cs="Arial"/>
          <w:lang w:eastAsia="ar-SA"/>
        </w:rPr>
        <w:t xml:space="preserve">. </w:t>
      </w:r>
    </w:p>
    <w:p w:rsidR="00A22440" w:rsidRDefault="00A22440" w:rsidP="00CD6A77">
      <w:pPr>
        <w:suppressAutoHyphens/>
        <w:spacing w:after="0" w:line="240" w:lineRule="auto"/>
        <w:outlineLvl w:val="0"/>
        <w:rPr>
          <w:rFonts w:ascii="Arial" w:eastAsia="Calibri" w:hAnsi="Arial" w:cs="Arial"/>
          <w:lang w:eastAsia="ar-SA"/>
        </w:rPr>
      </w:pPr>
    </w:p>
    <w:p w:rsidR="00CF04EE" w:rsidRDefault="00CF04EE" w:rsidP="00CD6A77">
      <w:pPr>
        <w:suppressAutoHyphens/>
        <w:spacing w:after="0" w:line="240" w:lineRule="auto"/>
        <w:outlineLvl w:val="0"/>
        <w:rPr>
          <w:rFonts w:ascii="Arial" w:eastAsia="Calibri" w:hAnsi="Arial" w:cs="Arial"/>
          <w:lang w:eastAsia="ar-SA"/>
        </w:rPr>
      </w:pPr>
      <w:r>
        <w:rPr>
          <w:rFonts w:ascii="Arial" w:eastAsia="Calibri" w:hAnsi="Arial" w:cs="Arial"/>
          <w:lang w:eastAsia="ar-SA"/>
        </w:rPr>
        <w:lastRenderedPageBreak/>
        <w:t xml:space="preserve">The ATA first recommended that the NTC consider a primary safety duty in our 2017 submission regarding </w:t>
      </w:r>
      <w:r w:rsidRPr="00B742E7">
        <w:rPr>
          <w:rStyle w:val="Hyperlink"/>
          <w:rFonts w:ascii="Arial" w:eastAsia="Calibri" w:hAnsi="Arial" w:cs="Arial"/>
          <w:color w:val="auto"/>
          <w:u w:val="none"/>
          <w:lang w:eastAsia="ar-SA"/>
        </w:rPr>
        <w:t>changing driving laws to support automated vehicles</w:t>
      </w:r>
      <w:r w:rsidR="00B742E7">
        <w:rPr>
          <w:rFonts w:ascii="Arial" w:eastAsia="Calibri" w:hAnsi="Arial" w:cs="Arial"/>
          <w:noProof/>
          <w:lang w:eastAsia="ar-SA"/>
        </w:rPr>
        <w:t xml:space="preserve"> </w:t>
      </w:r>
      <w:r w:rsidR="00B742E7" w:rsidRPr="00B742E7">
        <w:rPr>
          <w:rFonts w:ascii="Arial" w:eastAsia="Calibri" w:hAnsi="Arial" w:cs="Arial"/>
          <w:noProof/>
          <w:lang w:eastAsia="ar-SA"/>
        </w:rPr>
        <w:t>(Australian Trucking Association, 2017</w:t>
      </w:r>
      <w:r w:rsidR="00B742E7">
        <w:rPr>
          <w:rFonts w:ascii="Arial" w:eastAsia="Calibri" w:hAnsi="Arial" w:cs="Arial"/>
          <w:noProof/>
          <w:lang w:eastAsia="ar-SA"/>
        </w:rPr>
        <w:t>a</w:t>
      </w:r>
      <w:r w:rsidR="00B742E7" w:rsidRPr="00B742E7">
        <w:rPr>
          <w:rFonts w:ascii="Arial" w:eastAsia="Calibri" w:hAnsi="Arial" w:cs="Arial"/>
          <w:noProof/>
          <w:lang w:eastAsia="ar-SA"/>
        </w:rPr>
        <w:t>)</w:t>
      </w:r>
      <w:r>
        <w:rPr>
          <w:rFonts w:ascii="Arial" w:eastAsia="Calibri" w:hAnsi="Arial" w:cs="Arial"/>
          <w:lang w:eastAsia="ar-SA"/>
        </w:rPr>
        <w:t>.</w:t>
      </w:r>
    </w:p>
    <w:p w:rsidR="00AB0A51" w:rsidRDefault="00AB0A51" w:rsidP="00CD6A77">
      <w:pPr>
        <w:suppressAutoHyphens/>
        <w:spacing w:after="0" w:line="240" w:lineRule="auto"/>
        <w:outlineLvl w:val="0"/>
        <w:rPr>
          <w:rFonts w:ascii="Arial" w:eastAsia="Calibri" w:hAnsi="Arial" w:cs="Arial"/>
          <w:lang w:eastAsia="ar-SA"/>
        </w:rPr>
      </w:pPr>
    </w:p>
    <w:p w:rsidR="00AB0A51" w:rsidRDefault="008D514C" w:rsidP="00727F9D">
      <w:pPr>
        <w:rPr>
          <w:rFonts w:ascii="Arial" w:hAnsi="Arial" w:cs="Arial"/>
        </w:rPr>
      </w:pPr>
      <w:r>
        <w:rPr>
          <w:rFonts w:ascii="Arial" w:hAnsi="Arial" w:cs="Arial"/>
        </w:rPr>
        <w:t>The ATA’s position remains that a</w:t>
      </w:r>
      <w:r w:rsidR="00AB0A51" w:rsidRPr="00727F9D">
        <w:rPr>
          <w:rFonts w:ascii="Arial" w:hAnsi="Arial" w:cs="Arial"/>
        </w:rPr>
        <w:t xml:space="preserve">ny new laws made to specifically address the liability of an ADSE must be consistent with the existing WHS laws. A primary duty, with harmonised penalties and due diligence obligations on officers could be included in the </w:t>
      </w:r>
      <w:r w:rsidR="007D2343">
        <w:rPr>
          <w:rFonts w:ascii="Arial" w:hAnsi="Arial" w:cs="Arial"/>
        </w:rPr>
        <w:t xml:space="preserve">forthcoming </w:t>
      </w:r>
      <w:r w:rsidR="00AB0A51" w:rsidRPr="007D2343">
        <w:rPr>
          <w:rFonts w:ascii="Arial" w:hAnsi="Arial" w:cs="Arial"/>
        </w:rPr>
        <w:t>Road Vehicle Standards Act</w:t>
      </w:r>
      <w:r w:rsidR="00AB0A51" w:rsidRPr="00727F9D">
        <w:rPr>
          <w:rFonts w:ascii="Arial" w:hAnsi="Arial" w:cs="Arial"/>
        </w:rPr>
        <w:t>. This duty and associated provisions, and the necessary matching state legislation would extend the existing WHS regime to cover</w:t>
      </w:r>
      <w:r w:rsidR="005A50FC">
        <w:rPr>
          <w:rFonts w:ascii="Arial" w:hAnsi="Arial" w:cs="Arial"/>
        </w:rPr>
        <w:t xml:space="preserve"> not only vehicles that are ‘plant’ but also the</w:t>
      </w:r>
      <w:r w:rsidR="00AB0A51" w:rsidRPr="00727F9D">
        <w:rPr>
          <w:rFonts w:ascii="Arial" w:hAnsi="Arial" w:cs="Arial"/>
        </w:rPr>
        <w:t xml:space="preserve"> private use of automated vehicles.</w:t>
      </w:r>
    </w:p>
    <w:p w:rsidR="000305A6" w:rsidRDefault="000305A6" w:rsidP="00A22792">
      <w:pPr>
        <w:spacing w:after="0" w:line="240" w:lineRule="auto"/>
        <w:ind w:left="284" w:right="284"/>
        <w:rPr>
          <w:rFonts w:ascii="Arial" w:eastAsia="Calibri" w:hAnsi="Arial" w:cs="Arial"/>
          <w:i/>
          <w:u w:val="single"/>
          <w:lang w:eastAsia="ar-SA"/>
        </w:rPr>
      </w:pPr>
      <w:r w:rsidRPr="00A22792">
        <w:rPr>
          <w:rFonts w:ascii="Arial" w:eastAsia="Calibri" w:hAnsi="Arial" w:cs="Arial"/>
          <w:i/>
          <w:u w:val="single"/>
          <w:lang w:eastAsia="ar-SA"/>
        </w:rPr>
        <w:t>Recommendation</w:t>
      </w:r>
      <w:r w:rsidR="007D2343">
        <w:rPr>
          <w:rFonts w:ascii="Arial" w:eastAsia="Calibri" w:hAnsi="Arial" w:cs="Arial"/>
          <w:i/>
          <w:u w:val="single"/>
          <w:lang w:eastAsia="ar-SA"/>
        </w:rPr>
        <w:t xml:space="preserve"> </w:t>
      </w:r>
      <w:r w:rsidRPr="00A22792">
        <w:rPr>
          <w:rFonts w:ascii="Arial" w:eastAsia="Calibri" w:hAnsi="Arial" w:cs="Arial"/>
          <w:i/>
          <w:u w:val="single"/>
          <w:lang w:eastAsia="ar-SA"/>
        </w:rPr>
        <w:t>1</w:t>
      </w:r>
    </w:p>
    <w:p w:rsidR="00B742E7" w:rsidRPr="00A22792" w:rsidRDefault="00B742E7" w:rsidP="00A22792">
      <w:pPr>
        <w:spacing w:after="0" w:line="240" w:lineRule="auto"/>
        <w:ind w:left="284" w:right="284"/>
        <w:rPr>
          <w:rFonts w:ascii="Arial" w:eastAsia="Calibri" w:hAnsi="Arial" w:cs="Arial"/>
          <w:i/>
          <w:u w:val="single"/>
          <w:lang w:eastAsia="ar-SA"/>
        </w:rPr>
      </w:pPr>
    </w:p>
    <w:p w:rsidR="00A22792" w:rsidRPr="00A22792" w:rsidRDefault="00A22792" w:rsidP="00A22792">
      <w:pPr>
        <w:suppressAutoHyphens/>
        <w:spacing w:after="0" w:line="240" w:lineRule="auto"/>
        <w:ind w:left="284" w:right="284"/>
        <w:rPr>
          <w:rFonts w:ascii="Arial" w:eastAsia="Times New Roman" w:hAnsi="Arial" w:cs="Arial"/>
          <w:i/>
          <w:lang w:eastAsia="ar-SA"/>
        </w:rPr>
      </w:pPr>
      <w:r w:rsidRPr="00A22792">
        <w:rPr>
          <w:rFonts w:ascii="Arial" w:eastAsia="Calibri" w:hAnsi="Arial" w:cs="Arial"/>
          <w:i/>
          <w:lang w:eastAsia="ar-SA"/>
        </w:rPr>
        <w:t>Governments should adopt RIS option 4 because the inclusion of a primary safety duty on ADSEs will reduce risk and increase safety.</w:t>
      </w:r>
    </w:p>
    <w:p w:rsidR="00D9456E" w:rsidRPr="00A22792" w:rsidRDefault="00D9456E" w:rsidP="00A22792">
      <w:pPr>
        <w:spacing w:after="0" w:line="240" w:lineRule="auto"/>
        <w:ind w:left="284" w:right="284"/>
        <w:rPr>
          <w:rFonts w:ascii="Arial" w:hAnsi="Arial" w:cs="Arial"/>
          <w:i/>
        </w:rPr>
      </w:pPr>
    </w:p>
    <w:p w:rsidR="00AB0A51" w:rsidRDefault="00AB0A51" w:rsidP="00CD6A77">
      <w:pPr>
        <w:suppressAutoHyphens/>
        <w:spacing w:after="0" w:line="240" w:lineRule="auto"/>
        <w:outlineLvl w:val="0"/>
        <w:rPr>
          <w:rFonts w:ascii="Arial" w:eastAsia="Calibri" w:hAnsi="Arial" w:cs="Arial"/>
          <w:lang w:eastAsia="ar-SA"/>
        </w:rPr>
      </w:pPr>
    </w:p>
    <w:p w:rsidR="0006590A" w:rsidRPr="00C41A7F" w:rsidRDefault="0006590A" w:rsidP="00CD6A77">
      <w:pPr>
        <w:suppressAutoHyphens/>
        <w:spacing w:after="0" w:line="240" w:lineRule="auto"/>
        <w:outlineLvl w:val="0"/>
        <w:rPr>
          <w:rFonts w:ascii="Arial" w:eastAsia="Calibri" w:hAnsi="Arial" w:cs="Arial"/>
          <w:lang w:eastAsia="ar-SA"/>
        </w:rPr>
      </w:pPr>
    </w:p>
    <w:p w:rsidR="00BF0FE3" w:rsidRDefault="00BF0FE3" w:rsidP="00BF0FE3">
      <w:pPr>
        <w:numPr>
          <w:ilvl w:val="0"/>
          <w:numId w:val="1"/>
        </w:numPr>
        <w:suppressAutoHyphens/>
        <w:spacing w:after="0" w:line="240" w:lineRule="auto"/>
        <w:outlineLvl w:val="0"/>
        <w:rPr>
          <w:rFonts w:ascii="Arial" w:eastAsia="Calibri" w:hAnsi="Arial" w:cs="Arial"/>
          <w:b/>
          <w:sz w:val="24"/>
          <w:szCs w:val="24"/>
          <w:lang w:eastAsia="ar-SA"/>
        </w:rPr>
      </w:pPr>
      <w:r>
        <w:rPr>
          <w:rFonts w:ascii="Arial" w:eastAsia="Calibri" w:hAnsi="Arial" w:cs="Arial"/>
          <w:b/>
          <w:sz w:val="24"/>
          <w:szCs w:val="24"/>
          <w:lang w:eastAsia="ar-SA"/>
        </w:rPr>
        <w:t xml:space="preserve">Response to consultation questions </w:t>
      </w:r>
    </w:p>
    <w:p w:rsidR="00114F8B" w:rsidRDefault="00114F8B" w:rsidP="00BF0FE3">
      <w:pPr>
        <w:suppressAutoHyphens/>
        <w:spacing w:after="0" w:line="240" w:lineRule="auto"/>
        <w:outlineLvl w:val="0"/>
        <w:rPr>
          <w:rFonts w:ascii="Arial" w:eastAsia="Calibri" w:hAnsi="Arial" w:cs="Arial"/>
          <w:lang w:eastAsia="ar-SA"/>
        </w:rPr>
      </w:pPr>
    </w:p>
    <w:p w:rsidR="00114F8B" w:rsidRPr="00DB7993" w:rsidRDefault="00114F8B" w:rsidP="00BF0FE3">
      <w:pPr>
        <w:suppressAutoHyphens/>
        <w:spacing w:after="0" w:line="240" w:lineRule="auto"/>
        <w:outlineLvl w:val="0"/>
        <w:rPr>
          <w:rFonts w:ascii="Arial" w:eastAsia="Calibri" w:hAnsi="Arial" w:cs="Arial"/>
          <w:b/>
          <w:lang w:eastAsia="ar-SA"/>
        </w:rPr>
      </w:pPr>
      <w:r w:rsidRPr="00DB7993">
        <w:rPr>
          <w:rFonts w:ascii="Arial" w:eastAsia="Calibri" w:hAnsi="Arial" w:cs="Arial"/>
          <w:b/>
          <w:lang w:eastAsia="ar-SA"/>
        </w:rPr>
        <w:t>Chapter 6 Assessment of the options</w:t>
      </w:r>
    </w:p>
    <w:p w:rsidR="00DB7993" w:rsidRPr="00A51DD7" w:rsidRDefault="00DB7993" w:rsidP="00BF0FE3">
      <w:pPr>
        <w:suppressAutoHyphens/>
        <w:spacing w:after="0" w:line="240" w:lineRule="auto"/>
        <w:outlineLvl w:val="0"/>
        <w:rPr>
          <w:rFonts w:ascii="Arial" w:eastAsia="Calibri" w:hAnsi="Arial" w:cs="Arial"/>
          <w:b/>
          <w:i/>
          <w:lang w:eastAsia="ar-SA"/>
        </w:rPr>
      </w:pPr>
    </w:p>
    <w:p w:rsidR="00114F8B" w:rsidRPr="00DB7993" w:rsidRDefault="00114F8B" w:rsidP="00BF0FE3">
      <w:pPr>
        <w:suppressAutoHyphens/>
        <w:spacing w:after="0" w:line="240" w:lineRule="auto"/>
        <w:outlineLvl w:val="0"/>
        <w:rPr>
          <w:rFonts w:ascii="Arial" w:eastAsia="Calibri" w:hAnsi="Arial" w:cs="Arial"/>
          <w:b/>
          <w:lang w:eastAsia="ar-SA"/>
        </w:rPr>
      </w:pPr>
      <w:r w:rsidRPr="00DB7993">
        <w:rPr>
          <w:rFonts w:ascii="Arial" w:eastAsia="Calibri" w:hAnsi="Arial" w:cs="Arial"/>
          <w:b/>
          <w:lang w:eastAsia="ar-SA"/>
        </w:rPr>
        <w:t>Q15. Does our analysis accurately assess the costs to government for each reform option? Please provide any further information or data that may help to clearly describe or quantify the costs to government.</w:t>
      </w:r>
    </w:p>
    <w:p w:rsidR="00114F8B" w:rsidRDefault="00114F8B" w:rsidP="00BF0FE3">
      <w:pPr>
        <w:suppressAutoHyphens/>
        <w:spacing w:after="0" w:line="240" w:lineRule="auto"/>
        <w:outlineLvl w:val="0"/>
        <w:rPr>
          <w:rFonts w:ascii="Arial" w:eastAsia="Calibri" w:hAnsi="Arial" w:cs="Arial"/>
          <w:i/>
          <w:lang w:eastAsia="ar-SA"/>
        </w:rPr>
      </w:pPr>
    </w:p>
    <w:p w:rsidR="00DB7993" w:rsidRDefault="008442B8" w:rsidP="00DB7993">
      <w:pPr>
        <w:suppressAutoHyphens/>
        <w:spacing w:after="0" w:line="240" w:lineRule="auto"/>
        <w:ind w:left="284" w:right="284"/>
        <w:outlineLvl w:val="0"/>
        <w:rPr>
          <w:rFonts w:ascii="Arial" w:eastAsia="Calibri" w:hAnsi="Arial" w:cs="Arial"/>
          <w:i/>
          <w:u w:val="single"/>
          <w:lang w:eastAsia="ar-SA"/>
        </w:rPr>
      </w:pPr>
      <w:r w:rsidRPr="00AE243E">
        <w:rPr>
          <w:rFonts w:ascii="Arial" w:eastAsia="Calibri" w:hAnsi="Arial" w:cs="Arial"/>
          <w:i/>
          <w:u w:val="single"/>
          <w:lang w:eastAsia="ar-SA"/>
        </w:rPr>
        <w:t>Recommendation 2</w:t>
      </w:r>
    </w:p>
    <w:p w:rsidR="00427169" w:rsidRPr="00AE243E" w:rsidRDefault="00427169" w:rsidP="00DB7993">
      <w:pPr>
        <w:suppressAutoHyphens/>
        <w:spacing w:after="0" w:line="240" w:lineRule="auto"/>
        <w:ind w:left="284" w:right="284"/>
        <w:outlineLvl w:val="0"/>
        <w:rPr>
          <w:rFonts w:ascii="Arial" w:eastAsia="Calibri" w:hAnsi="Arial" w:cs="Arial"/>
          <w:i/>
          <w:u w:val="single"/>
          <w:lang w:eastAsia="ar-SA"/>
        </w:rPr>
      </w:pPr>
    </w:p>
    <w:p w:rsidR="00DB7993" w:rsidRPr="00AE243E" w:rsidRDefault="00AE243E" w:rsidP="00DB7993">
      <w:pPr>
        <w:suppressAutoHyphens/>
        <w:spacing w:after="0" w:line="240" w:lineRule="auto"/>
        <w:ind w:left="284" w:right="284"/>
        <w:rPr>
          <w:rFonts w:ascii="Arial" w:eastAsia="Times New Roman" w:hAnsi="Arial" w:cs="Arial"/>
          <w:i/>
          <w:lang w:eastAsia="ar-SA"/>
        </w:rPr>
      </w:pPr>
      <w:r w:rsidRPr="00AE243E">
        <w:rPr>
          <w:rFonts w:ascii="Arial" w:hAnsi="Arial" w:cs="Arial"/>
          <w:i/>
        </w:rPr>
        <w:t>The safety assurance system should include Australian Transport Safety Bureau (ATSB) investigations of road crashes involving automated vehicles</w:t>
      </w:r>
      <w:r w:rsidR="00DB7993" w:rsidRPr="00AE243E">
        <w:rPr>
          <w:rFonts w:ascii="Arial" w:hAnsi="Arial" w:cs="Arial"/>
          <w:i/>
        </w:rPr>
        <w:t>.</w:t>
      </w:r>
    </w:p>
    <w:p w:rsidR="00DB7993" w:rsidRPr="00AE243E" w:rsidRDefault="00DB7993" w:rsidP="00BF0FE3">
      <w:pPr>
        <w:suppressAutoHyphens/>
        <w:spacing w:after="0" w:line="240" w:lineRule="auto"/>
        <w:outlineLvl w:val="0"/>
        <w:rPr>
          <w:rFonts w:ascii="Arial" w:eastAsia="Calibri" w:hAnsi="Arial" w:cs="Arial"/>
          <w:i/>
          <w:lang w:eastAsia="ar-SA"/>
        </w:rPr>
      </w:pPr>
    </w:p>
    <w:p w:rsidR="008F7598" w:rsidRDefault="008F7598" w:rsidP="00BF0FE3">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assessment of option 4 does not include the costs associated with independent investigation of automated vehicle crashes by the ATSB. </w:t>
      </w:r>
    </w:p>
    <w:p w:rsidR="00E2022B" w:rsidRDefault="00E2022B" w:rsidP="00BF0FE3">
      <w:pPr>
        <w:suppressAutoHyphens/>
        <w:spacing w:after="0" w:line="240" w:lineRule="auto"/>
        <w:outlineLvl w:val="0"/>
        <w:rPr>
          <w:rFonts w:ascii="Arial" w:eastAsia="Calibri" w:hAnsi="Arial" w:cs="Arial"/>
          <w:lang w:eastAsia="ar-SA"/>
        </w:rPr>
      </w:pPr>
    </w:p>
    <w:p w:rsidR="00BA1D3E" w:rsidRDefault="00E2022B" w:rsidP="00BF0FE3">
      <w:pPr>
        <w:suppressAutoHyphens/>
        <w:spacing w:after="0" w:line="240" w:lineRule="auto"/>
        <w:outlineLvl w:val="0"/>
        <w:rPr>
          <w:rFonts w:ascii="Arial" w:eastAsia="Calibri" w:hAnsi="Arial" w:cs="Arial"/>
          <w:lang w:eastAsia="ar-SA"/>
        </w:rPr>
      </w:pPr>
      <w:r>
        <w:rPr>
          <w:rFonts w:ascii="Arial" w:eastAsia="Calibri" w:hAnsi="Arial" w:cs="Arial"/>
          <w:lang w:eastAsia="ar-SA"/>
        </w:rPr>
        <w:t>The RIS raises the issue of uncertainty around potentially significant government costs such as monitoring, investigating and enforcing in-service incidents</w:t>
      </w:r>
      <w:sdt>
        <w:sdtPr>
          <w:rPr>
            <w:rFonts w:ascii="Arial" w:eastAsia="Calibri" w:hAnsi="Arial" w:cs="Arial"/>
            <w:lang w:eastAsia="ar-SA"/>
          </w:rPr>
          <w:id w:val="-95940565"/>
          <w:citation/>
        </w:sdtPr>
        <w:sdtEndPr/>
        <w:sdtContent>
          <w:r w:rsidR="00BA1D3E">
            <w:rPr>
              <w:rFonts w:ascii="Arial" w:eastAsia="Calibri" w:hAnsi="Arial" w:cs="Arial"/>
              <w:lang w:eastAsia="ar-SA"/>
            </w:rPr>
            <w:fldChar w:fldCharType="begin"/>
          </w:r>
          <w:r w:rsidR="00427169">
            <w:rPr>
              <w:rFonts w:ascii="Arial" w:eastAsia="Calibri" w:hAnsi="Arial" w:cs="Arial"/>
              <w:lang w:eastAsia="ar-SA"/>
            </w:rPr>
            <w:instrText xml:space="preserve">CITATION NTC18 \p 55 \l 3081 </w:instrText>
          </w:r>
          <w:r w:rsidR="00BA1D3E">
            <w:rPr>
              <w:rFonts w:ascii="Arial" w:eastAsia="Calibri" w:hAnsi="Arial" w:cs="Arial"/>
              <w:lang w:eastAsia="ar-SA"/>
            </w:rPr>
            <w:fldChar w:fldCharType="separate"/>
          </w:r>
          <w:r w:rsidR="00427169">
            <w:rPr>
              <w:rFonts w:ascii="Arial" w:eastAsia="Calibri" w:hAnsi="Arial" w:cs="Arial"/>
              <w:noProof/>
              <w:lang w:eastAsia="ar-SA"/>
            </w:rPr>
            <w:t xml:space="preserve"> </w:t>
          </w:r>
          <w:r w:rsidR="00427169" w:rsidRPr="00427169">
            <w:rPr>
              <w:rFonts w:ascii="Arial" w:eastAsia="Calibri" w:hAnsi="Arial" w:cs="Arial"/>
              <w:noProof/>
              <w:lang w:eastAsia="ar-SA"/>
            </w:rPr>
            <w:t>(NTC, 2018, p. 55)</w:t>
          </w:r>
          <w:r w:rsidR="00BA1D3E">
            <w:rPr>
              <w:rFonts w:ascii="Arial" w:eastAsia="Calibri" w:hAnsi="Arial" w:cs="Arial"/>
              <w:lang w:eastAsia="ar-SA"/>
            </w:rPr>
            <w:fldChar w:fldCharType="end"/>
          </w:r>
        </w:sdtContent>
      </w:sdt>
      <w:r>
        <w:rPr>
          <w:rFonts w:ascii="Arial" w:eastAsia="Calibri" w:hAnsi="Arial" w:cs="Arial"/>
          <w:lang w:eastAsia="ar-SA"/>
        </w:rPr>
        <w:t>.</w:t>
      </w:r>
    </w:p>
    <w:p w:rsidR="00BA1D3E" w:rsidRDefault="00BA1D3E" w:rsidP="00BF0FE3">
      <w:pPr>
        <w:suppressAutoHyphens/>
        <w:spacing w:after="0" w:line="240" w:lineRule="auto"/>
        <w:outlineLvl w:val="0"/>
        <w:rPr>
          <w:rFonts w:ascii="Arial" w:eastAsia="Calibri" w:hAnsi="Arial" w:cs="Arial"/>
          <w:lang w:eastAsia="ar-SA"/>
        </w:rPr>
      </w:pPr>
    </w:p>
    <w:p w:rsidR="00E2022B" w:rsidRDefault="00BA1D3E" w:rsidP="00BF0FE3">
      <w:pPr>
        <w:suppressAutoHyphens/>
        <w:spacing w:after="0" w:line="240" w:lineRule="auto"/>
        <w:outlineLvl w:val="0"/>
        <w:rPr>
          <w:rFonts w:ascii="Arial" w:eastAsia="Calibri" w:hAnsi="Arial" w:cs="Arial"/>
          <w:lang w:eastAsia="ar-SA"/>
        </w:rPr>
      </w:pPr>
      <w:r>
        <w:rPr>
          <w:rFonts w:ascii="Arial" w:eastAsia="Calibri" w:hAnsi="Arial" w:cs="Arial"/>
          <w:lang w:eastAsia="ar-SA"/>
        </w:rPr>
        <w:t>The ATA has previously argued and continue</w:t>
      </w:r>
      <w:r w:rsidR="00F5410F">
        <w:rPr>
          <w:rFonts w:ascii="Arial" w:eastAsia="Calibri" w:hAnsi="Arial" w:cs="Arial"/>
          <w:lang w:eastAsia="ar-SA"/>
        </w:rPr>
        <w:t>s</w:t>
      </w:r>
      <w:r>
        <w:rPr>
          <w:rFonts w:ascii="Arial" w:eastAsia="Calibri" w:hAnsi="Arial" w:cs="Arial"/>
          <w:lang w:eastAsia="ar-SA"/>
        </w:rPr>
        <w:t xml:space="preserve"> to maintain that these investigations should be carried out by the ATSB.</w:t>
      </w:r>
    </w:p>
    <w:p w:rsidR="00E2022B" w:rsidRDefault="00E2022B" w:rsidP="00BF0FE3">
      <w:pPr>
        <w:suppressAutoHyphens/>
        <w:spacing w:after="0" w:line="240" w:lineRule="auto"/>
        <w:outlineLvl w:val="0"/>
        <w:rPr>
          <w:rFonts w:ascii="Arial" w:eastAsia="Calibri" w:hAnsi="Arial" w:cs="Arial"/>
          <w:lang w:eastAsia="ar-SA"/>
        </w:rPr>
      </w:pPr>
    </w:p>
    <w:p w:rsidR="008170C8" w:rsidRPr="00571B89" w:rsidRDefault="00E2022B" w:rsidP="00BF0FE3">
      <w:pPr>
        <w:suppressAutoHyphens/>
        <w:spacing w:after="0" w:line="240" w:lineRule="auto"/>
        <w:outlineLvl w:val="0"/>
        <w:rPr>
          <w:rFonts w:ascii="Arial" w:eastAsia="Calibri" w:hAnsi="Arial" w:cs="Arial"/>
          <w:lang w:eastAsia="ar-SA"/>
        </w:rPr>
      </w:pPr>
      <w:r w:rsidRPr="00571B89">
        <w:rPr>
          <w:rFonts w:ascii="Arial" w:eastAsia="Calibri" w:hAnsi="Arial" w:cs="Arial"/>
          <w:lang w:eastAsia="ar-SA"/>
        </w:rPr>
        <w:t xml:space="preserve">The cost of safety investigations must be quantified in the RIS. In </w:t>
      </w:r>
      <w:r w:rsidR="00BA1D3E">
        <w:rPr>
          <w:rFonts w:ascii="Arial" w:eastAsia="Calibri" w:hAnsi="Arial" w:cs="Arial"/>
          <w:lang w:eastAsia="ar-SA"/>
        </w:rPr>
        <w:t>2016-</w:t>
      </w:r>
      <w:r w:rsidRPr="00571B89">
        <w:rPr>
          <w:rFonts w:ascii="Arial" w:eastAsia="Calibri" w:hAnsi="Arial" w:cs="Arial"/>
          <w:lang w:eastAsia="ar-SA"/>
        </w:rPr>
        <w:t>17</w:t>
      </w:r>
      <w:r w:rsidR="00BA1D3E">
        <w:rPr>
          <w:rFonts w:ascii="Arial" w:eastAsia="Calibri" w:hAnsi="Arial" w:cs="Arial"/>
          <w:lang w:eastAsia="ar-SA"/>
        </w:rPr>
        <w:t>,</w:t>
      </w:r>
      <w:r w:rsidRPr="00571B89">
        <w:rPr>
          <w:rFonts w:ascii="Arial" w:eastAsia="Calibri" w:hAnsi="Arial" w:cs="Arial"/>
          <w:lang w:eastAsia="ar-SA"/>
        </w:rPr>
        <w:t xml:space="preserve"> the ATSB conducted 39 complex and 108 short aviation investigations, 16 rail and five marine </w:t>
      </w:r>
      <w:r w:rsidR="005E69FF" w:rsidRPr="00571B89">
        <w:rPr>
          <w:rFonts w:ascii="Arial" w:eastAsia="Calibri" w:hAnsi="Arial" w:cs="Arial"/>
          <w:lang w:eastAsia="ar-SA"/>
        </w:rPr>
        <w:t xml:space="preserve">safety </w:t>
      </w:r>
      <w:r w:rsidRPr="00571B89">
        <w:rPr>
          <w:rFonts w:ascii="Arial" w:eastAsia="Calibri" w:hAnsi="Arial" w:cs="Arial"/>
          <w:lang w:eastAsia="ar-SA"/>
        </w:rPr>
        <w:t>investigations</w:t>
      </w:r>
      <w:sdt>
        <w:sdtPr>
          <w:rPr>
            <w:rFonts w:ascii="Arial" w:eastAsia="Calibri" w:hAnsi="Arial" w:cs="Arial"/>
            <w:lang w:eastAsia="ar-SA"/>
          </w:rPr>
          <w:id w:val="1711838422"/>
          <w:citation/>
        </w:sdtPr>
        <w:sdtEndPr/>
        <w:sdtContent>
          <w:r w:rsidR="00184BF4">
            <w:rPr>
              <w:rFonts w:ascii="Arial" w:eastAsia="Calibri" w:hAnsi="Arial" w:cs="Arial"/>
              <w:lang w:eastAsia="ar-SA"/>
            </w:rPr>
            <w:fldChar w:fldCharType="begin"/>
          </w:r>
          <w:r w:rsidR="00184BF4">
            <w:rPr>
              <w:rFonts w:ascii="Arial" w:eastAsia="Calibri" w:hAnsi="Arial" w:cs="Arial"/>
              <w:lang w:eastAsia="ar-SA"/>
            </w:rPr>
            <w:instrText xml:space="preserve"> CITATION Aus171 \l 3081 </w:instrText>
          </w:r>
          <w:r w:rsidR="00184BF4">
            <w:rPr>
              <w:rFonts w:ascii="Arial" w:eastAsia="Calibri" w:hAnsi="Arial" w:cs="Arial"/>
              <w:lang w:eastAsia="ar-SA"/>
            </w:rPr>
            <w:fldChar w:fldCharType="separate"/>
          </w:r>
          <w:r w:rsidR="00B742E7">
            <w:rPr>
              <w:rFonts w:ascii="Arial" w:eastAsia="Calibri" w:hAnsi="Arial" w:cs="Arial"/>
              <w:noProof/>
              <w:lang w:eastAsia="ar-SA"/>
            </w:rPr>
            <w:t xml:space="preserve"> </w:t>
          </w:r>
          <w:r w:rsidR="00B742E7" w:rsidRPr="00B742E7">
            <w:rPr>
              <w:rFonts w:ascii="Arial" w:eastAsia="Calibri" w:hAnsi="Arial" w:cs="Arial"/>
              <w:noProof/>
              <w:lang w:eastAsia="ar-SA"/>
            </w:rPr>
            <w:t>(Australian Transport Safety Bureau, 2017)</w:t>
          </w:r>
          <w:r w:rsidR="00184BF4">
            <w:rPr>
              <w:rFonts w:ascii="Arial" w:eastAsia="Calibri" w:hAnsi="Arial" w:cs="Arial"/>
              <w:lang w:eastAsia="ar-SA"/>
            </w:rPr>
            <w:fldChar w:fldCharType="end"/>
          </w:r>
        </w:sdtContent>
      </w:sdt>
      <w:r w:rsidR="00BA1D3E">
        <w:rPr>
          <w:rFonts w:ascii="Arial" w:eastAsia="Calibri" w:hAnsi="Arial" w:cs="Arial"/>
          <w:lang w:eastAsia="ar-SA"/>
        </w:rPr>
        <w:t>.</w:t>
      </w:r>
      <w:r w:rsidRPr="00571B89">
        <w:rPr>
          <w:rFonts w:ascii="Arial" w:eastAsia="Calibri" w:hAnsi="Arial" w:cs="Arial"/>
          <w:lang w:eastAsia="ar-SA"/>
        </w:rPr>
        <w:t xml:space="preserve"> </w:t>
      </w:r>
    </w:p>
    <w:p w:rsidR="008170C8" w:rsidRPr="00571B89" w:rsidRDefault="008170C8" w:rsidP="00BF0FE3">
      <w:pPr>
        <w:suppressAutoHyphens/>
        <w:spacing w:after="0" w:line="240" w:lineRule="auto"/>
        <w:outlineLvl w:val="0"/>
        <w:rPr>
          <w:rFonts w:ascii="Arial" w:eastAsia="Calibri" w:hAnsi="Arial" w:cs="Arial"/>
          <w:lang w:eastAsia="ar-SA"/>
        </w:rPr>
      </w:pPr>
    </w:p>
    <w:p w:rsidR="00E2022B" w:rsidRPr="00571B89" w:rsidRDefault="005E69FF" w:rsidP="00BF0FE3">
      <w:pPr>
        <w:suppressAutoHyphens/>
        <w:spacing w:after="0" w:line="240" w:lineRule="auto"/>
        <w:outlineLvl w:val="0"/>
        <w:rPr>
          <w:rFonts w:ascii="Arial" w:hAnsi="Arial" w:cs="Arial"/>
          <w:shd w:val="clear" w:color="auto" w:fill="FFFFFF"/>
        </w:rPr>
      </w:pPr>
      <w:r w:rsidRPr="00571B89">
        <w:rPr>
          <w:rFonts w:ascii="Arial" w:eastAsia="Calibri" w:hAnsi="Arial" w:cs="Arial"/>
          <w:lang w:eastAsia="ar-SA"/>
        </w:rPr>
        <w:t>The cost</w:t>
      </w:r>
      <w:r w:rsidR="00E2022B" w:rsidRPr="00571B89">
        <w:rPr>
          <w:rFonts w:ascii="Arial" w:eastAsia="Calibri" w:hAnsi="Arial" w:cs="Arial"/>
          <w:lang w:eastAsia="ar-SA"/>
        </w:rPr>
        <w:t xml:space="preserve"> of investigation</w:t>
      </w:r>
      <w:r w:rsidRPr="00571B89">
        <w:rPr>
          <w:rFonts w:ascii="Arial" w:eastAsia="Calibri" w:hAnsi="Arial" w:cs="Arial"/>
          <w:lang w:eastAsia="ar-SA"/>
        </w:rPr>
        <w:t>s</w:t>
      </w:r>
      <w:r w:rsidR="00E2022B" w:rsidRPr="00571B89">
        <w:rPr>
          <w:rFonts w:ascii="Arial" w:eastAsia="Calibri" w:hAnsi="Arial" w:cs="Arial"/>
          <w:lang w:eastAsia="ar-SA"/>
        </w:rPr>
        <w:t xml:space="preserve"> </w:t>
      </w:r>
      <w:r w:rsidR="00826231" w:rsidRPr="00571B89">
        <w:rPr>
          <w:rFonts w:ascii="Arial" w:eastAsia="Calibri" w:hAnsi="Arial" w:cs="Arial"/>
          <w:lang w:eastAsia="ar-SA"/>
        </w:rPr>
        <w:t>is</w:t>
      </w:r>
      <w:r w:rsidR="00E2022B" w:rsidRPr="00571B89">
        <w:rPr>
          <w:rFonts w:ascii="Arial" w:eastAsia="Calibri" w:hAnsi="Arial" w:cs="Arial"/>
          <w:lang w:eastAsia="ar-SA"/>
        </w:rPr>
        <w:t xml:space="preserve"> not </w:t>
      </w:r>
      <w:r w:rsidR="008170C8" w:rsidRPr="00571B89">
        <w:rPr>
          <w:rFonts w:ascii="Arial" w:eastAsia="Calibri" w:hAnsi="Arial" w:cs="Arial"/>
          <w:lang w:eastAsia="ar-SA"/>
        </w:rPr>
        <w:t xml:space="preserve">itemised </w:t>
      </w:r>
      <w:r w:rsidR="00E2022B" w:rsidRPr="00571B89">
        <w:rPr>
          <w:rFonts w:ascii="Arial" w:eastAsia="Calibri" w:hAnsi="Arial" w:cs="Arial"/>
          <w:lang w:eastAsia="ar-SA"/>
        </w:rPr>
        <w:t xml:space="preserve">in the </w:t>
      </w:r>
      <w:r w:rsidR="008170C8" w:rsidRPr="00571B89">
        <w:rPr>
          <w:rFonts w:ascii="Arial" w:eastAsia="Calibri" w:hAnsi="Arial" w:cs="Arial"/>
          <w:lang w:eastAsia="ar-SA"/>
        </w:rPr>
        <w:t>ATSB resource statement</w:t>
      </w:r>
      <w:r w:rsidRPr="00571B89">
        <w:rPr>
          <w:rFonts w:ascii="Arial" w:eastAsia="Calibri" w:hAnsi="Arial" w:cs="Arial"/>
          <w:lang w:eastAsia="ar-SA"/>
        </w:rPr>
        <w:t>. However,</w:t>
      </w:r>
      <w:r w:rsidR="008170C8" w:rsidRPr="00571B89">
        <w:rPr>
          <w:rFonts w:ascii="Arial" w:eastAsia="Calibri" w:hAnsi="Arial" w:cs="Arial"/>
          <w:lang w:eastAsia="ar-SA"/>
        </w:rPr>
        <w:t xml:space="preserve"> expenses for ATSB </w:t>
      </w:r>
      <w:r w:rsidR="008170C8" w:rsidRPr="00571B89">
        <w:rPr>
          <w:rFonts w:ascii="Arial" w:eastAsia="Calibri" w:hAnsi="Arial" w:cs="Arial"/>
          <w:i/>
          <w:lang w:eastAsia="ar-SA"/>
        </w:rPr>
        <w:t>Outcome 1</w:t>
      </w:r>
      <w:r w:rsidRPr="00571B89">
        <w:rPr>
          <w:rFonts w:ascii="Arial" w:hAnsi="Arial" w:cs="Arial"/>
          <w:i/>
          <w:shd w:val="clear" w:color="auto" w:fill="FFFFFF"/>
        </w:rPr>
        <w:t xml:space="preserve"> </w:t>
      </w:r>
      <w:r w:rsidR="008170C8" w:rsidRPr="00571B89">
        <w:rPr>
          <w:rFonts w:ascii="Arial" w:hAnsi="Arial" w:cs="Arial"/>
          <w:shd w:val="clear" w:color="auto" w:fill="FFFFFF"/>
        </w:rPr>
        <w:t>show</w:t>
      </w:r>
      <w:r w:rsidRPr="00571B89">
        <w:rPr>
          <w:rFonts w:ascii="Arial" w:hAnsi="Arial" w:cs="Arial"/>
          <w:shd w:val="clear" w:color="auto" w:fill="FFFFFF"/>
        </w:rPr>
        <w:t xml:space="preserve">s total </w:t>
      </w:r>
      <w:r w:rsidR="00297006" w:rsidRPr="00571B89">
        <w:rPr>
          <w:rFonts w:ascii="Arial" w:hAnsi="Arial" w:cs="Arial"/>
          <w:shd w:val="clear" w:color="auto" w:fill="FFFFFF"/>
        </w:rPr>
        <w:t xml:space="preserve">annual </w:t>
      </w:r>
      <w:r w:rsidRPr="00571B89">
        <w:rPr>
          <w:rFonts w:ascii="Arial" w:hAnsi="Arial" w:cs="Arial"/>
          <w:shd w:val="clear" w:color="auto" w:fill="FFFFFF"/>
        </w:rPr>
        <w:t xml:space="preserve">expenditure </w:t>
      </w:r>
      <w:r w:rsidR="008170C8" w:rsidRPr="00571B89">
        <w:rPr>
          <w:rFonts w:ascii="Arial" w:hAnsi="Arial" w:cs="Arial"/>
          <w:shd w:val="clear" w:color="auto" w:fill="FFFFFF"/>
        </w:rPr>
        <w:t>of</w:t>
      </w:r>
      <w:r w:rsidR="00BA1D3E">
        <w:rPr>
          <w:rFonts w:ascii="Arial" w:hAnsi="Arial" w:cs="Arial"/>
          <w:shd w:val="clear" w:color="auto" w:fill="FFFFFF"/>
        </w:rPr>
        <w:t xml:space="preserve"> $52 million</w:t>
      </w:r>
      <w:sdt>
        <w:sdtPr>
          <w:rPr>
            <w:rFonts w:ascii="Arial" w:hAnsi="Arial" w:cs="Arial"/>
            <w:shd w:val="clear" w:color="auto" w:fill="FFFFFF"/>
          </w:rPr>
          <w:id w:val="993453790"/>
          <w:citation/>
        </w:sdtPr>
        <w:sdtEndPr/>
        <w:sdtContent>
          <w:r w:rsidR="00BA1D3E">
            <w:rPr>
              <w:rFonts w:ascii="Arial" w:hAnsi="Arial" w:cs="Arial"/>
              <w:shd w:val="clear" w:color="auto" w:fill="FFFFFF"/>
            </w:rPr>
            <w:fldChar w:fldCharType="begin"/>
          </w:r>
          <w:r w:rsidR="00BA1D3E">
            <w:rPr>
              <w:rFonts w:ascii="Arial" w:hAnsi="Arial" w:cs="Arial"/>
              <w:shd w:val="clear" w:color="auto" w:fill="FFFFFF"/>
            </w:rPr>
            <w:instrText xml:space="preserve"> CITATION Aus171 \l 3081 </w:instrText>
          </w:r>
          <w:r w:rsidR="00BA1D3E">
            <w:rPr>
              <w:rFonts w:ascii="Arial" w:hAnsi="Arial" w:cs="Arial"/>
              <w:shd w:val="clear" w:color="auto" w:fill="FFFFFF"/>
            </w:rPr>
            <w:fldChar w:fldCharType="separate"/>
          </w:r>
          <w:r w:rsidR="00B742E7">
            <w:rPr>
              <w:rFonts w:ascii="Arial" w:hAnsi="Arial" w:cs="Arial"/>
              <w:noProof/>
              <w:shd w:val="clear" w:color="auto" w:fill="FFFFFF"/>
            </w:rPr>
            <w:t xml:space="preserve"> </w:t>
          </w:r>
          <w:r w:rsidR="00B742E7" w:rsidRPr="00B742E7">
            <w:rPr>
              <w:rFonts w:ascii="Arial" w:hAnsi="Arial" w:cs="Arial"/>
              <w:noProof/>
              <w:shd w:val="clear" w:color="auto" w:fill="FFFFFF"/>
            </w:rPr>
            <w:t>(Australian Transport Safety Bureau, 2017)</w:t>
          </w:r>
          <w:r w:rsidR="00BA1D3E">
            <w:rPr>
              <w:rFonts w:ascii="Arial" w:hAnsi="Arial" w:cs="Arial"/>
              <w:shd w:val="clear" w:color="auto" w:fill="FFFFFF"/>
            </w:rPr>
            <w:fldChar w:fldCharType="end"/>
          </w:r>
        </w:sdtContent>
      </w:sdt>
      <w:r w:rsidR="00636CD7">
        <w:rPr>
          <w:rFonts w:ascii="Arial" w:hAnsi="Arial" w:cs="Arial"/>
          <w:shd w:val="clear" w:color="auto" w:fill="FFFFFF"/>
        </w:rPr>
        <w:t>.</w:t>
      </w:r>
    </w:p>
    <w:p w:rsidR="005E69FF" w:rsidRDefault="005E69FF" w:rsidP="00BF0FE3">
      <w:pPr>
        <w:suppressAutoHyphens/>
        <w:spacing w:after="0" w:line="240" w:lineRule="auto"/>
        <w:outlineLvl w:val="0"/>
        <w:rPr>
          <w:rFonts w:ascii="Arial" w:hAnsi="Arial" w:cs="Arial"/>
          <w:shd w:val="clear" w:color="auto" w:fill="FFFFFF"/>
        </w:rPr>
      </w:pPr>
    </w:p>
    <w:p w:rsidR="00BA1D3E" w:rsidRDefault="00BA1D3E" w:rsidP="00BF0FE3">
      <w:pPr>
        <w:suppressAutoHyphens/>
        <w:spacing w:after="0" w:line="240" w:lineRule="auto"/>
        <w:outlineLvl w:val="0"/>
        <w:rPr>
          <w:rFonts w:ascii="Arial" w:hAnsi="Arial" w:cs="Arial"/>
          <w:shd w:val="clear" w:color="auto" w:fill="FFFFFF"/>
        </w:rPr>
      </w:pPr>
      <w:r>
        <w:rPr>
          <w:rFonts w:ascii="Arial" w:hAnsi="Arial" w:cs="Arial"/>
          <w:shd w:val="clear" w:color="auto" w:fill="FFFFFF"/>
        </w:rPr>
        <w:t xml:space="preserve">These figures suggest that an estimate of $5 </w:t>
      </w:r>
      <w:r w:rsidR="006207B3">
        <w:rPr>
          <w:rFonts w:ascii="Arial" w:hAnsi="Arial" w:cs="Arial"/>
          <w:shd w:val="clear" w:color="auto" w:fill="FFFFFF"/>
        </w:rPr>
        <w:t>million</w:t>
      </w:r>
      <w:r>
        <w:rPr>
          <w:rFonts w:ascii="Arial" w:hAnsi="Arial" w:cs="Arial"/>
          <w:shd w:val="clear" w:color="auto" w:fill="FFFFFF"/>
        </w:rPr>
        <w:t>-$10 million would be appropriate for costing purposes.</w:t>
      </w:r>
    </w:p>
    <w:p w:rsidR="00BA1D3E" w:rsidRPr="00571B89" w:rsidRDefault="00BA1D3E" w:rsidP="00BF0FE3">
      <w:pPr>
        <w:suppressAutoHyphens/>
        <w:spacing w:after="0" w:line="240" w:lineRule="auto"/>
        <w:outlineLvl w:val="0"/>
        <w:rPr>
          <w:rFonts w:ascii="Arial" w:hAnsi="Arial" w:cs="Arial"/>
          <w:shd w:val="clear" w:color="auto" w:fill="FFFFFF"/>
        </w:rPr>
      </w:pPr>
    </w:p>
    <w:p w:rsidR="009427A5" w:rsidRPr="00571B89" w:rsidRDefault="005E69FF" w:rsidP="00BF0FE3">
      <w:pPr>
        <w:suppressAutoHyphens/>
        <w:spacing w:after="0" w:line="240" w:lineRule="auto"/>
        <w:outlineLvl w:val="0"/>
        <w:rPr>
          <w:rFonts w:ascii="Arial" w:eastAsia="Calibri" w:hAnsi="Arial" w:cs="Arial"/>
          <w:lang w:eastAsia="ar-SA"/>
        </w:rPr>
      </w:pPr>
      <w:r w:rsidRPr="00571B89">
        <w:rPr>
          <w:rFonts w:ascii="Arial" w:hAnsi="Arial" w:cs="Arial"/>
          <w:shd w:val="clear" w:color="auto" w:fill="FFFFFF"/>
        </w:rPr>
        <w:t xml:space="preserve">The NTC should work with the ATSB to determine the cost of an automated vehicle safety investigation </w:t>
      </w:r>
      <w:r w:rsidR="004739F1" w:rsidRPr="00571B89">
        <w:rPr>
          <w:rFonts w:ascii="Arial" w:hAnsi="Arial" w:cs="Arial"/>
          <w:shd w:val="clear" w:color="auto" w:fill="FFFFFF"/>
        </w:rPr>
        <w:t>along with a projected number of investigations per annum. This regulatory cost should be quantified in the RIS.</w:t>
      </w:r>
    </w:p>
    <w:p w:rsidR="00114F8B" w:rsidRDefault="00911761" w:rsidP="00BF0FE3">
      <w:pPr>
        <w:suppressAutoHyphens/>
        <w:spacing w:after="0" w:line="240" w:lineRule="auto"/>
        <w:outlineLvl w:val="0"/>
        <w:rPr>
          <w:rFonts w:ascii="Arial" w:eastAsia="Calibri" w:hAnsi="Arial" w:cs="Arial"/>
          <w:lang w:eastAsia="ar-SA"/>
        </w:rPr>
      </w:pPr>
      <w:r w:rsidRPr="00911761">
        <w:rPr>
          <w:rFonts w:ascii="Arial" w:eastAsia="Calibri" w:hAnsi="Arial" w:cs="Arial"/>
          <w:lang w:eastAsia="ar-SA"/>
        </w:rPr>
        <w:lastRenderedPageBreak/>
        <w:t>Additionally,</w:t>
      </w:r>
      <w:r>
        <w:rPr>
          <w:rFonts w:ascii="Arial" w:eastAsia="Calibri" w:hAnsi="Arial" w:cs="Arial"/>
          <w:i/>
          <w:lang w:eastAsia="ar-SA"/>
        </w:rPr>
        <w:t xml:space="preserve"> </w:t>
      </w:r>
      <w:r w:rsidR="00AF78FB" w:rsidRPr="00911761">
        <w:rPr>
          <w:rFonts w:ascii="Arial" w:eastAsia="Calibri" w:hAnsi="Arial" w:cs="Arial"/>
          <w:i/>
          <w:lang w:eastAsia="ar-SA"/>
        </w:rPr>
        <w:t>Appendix C</w:t>
      </w:r>
      <w:r w:rsidR="00040102" w:rsidRPr="00911761">
        <w:rPr>
          <w:rFonts w:ascii="Arial" w:eastAsia="Calibri" w:hAnsi="Arial" w:cs="Arial"/>
          <w:i/>
          <w:lang w:eastAsia="ar-SA"/>
        </w:rPr>
        <w:t xml:space="preserve"> Proposed safety criteria for the Statement of Compliance, C.5 Provisions that could be captured in legislation</w:t>
      </w:r>
      <w:r w:rsidR="00BA1D3E">
        <w:rPr>
          <w:rFonts w:ascii="Arial" w:eastAsia="Calibri" w:hAnsi="Arial" w:cs="Arial"/>
          <w:lang w:eastAsia="ar-SA"/>
        </w:rPr>
        <w:t>, puts forward</w:t>
      </w:r>
      <w:r w:rsidR="00EC201E">
        <w:rPr>
          <w:rFonts w:ascii="Arial" w:eastAsia="Calibri" w:hAnsi="Arial" w:cs="Arial"/>
          <w:lang w:eastAsia="ar-SA"/>
        </w:rPr>
        <w:t xml:space="preserve"> provisions requiring ADSE</w:t>
      </w:r>
      <w:r w:rsidR="00040102">
        <w:rPr>
          <w:rFonts w:ascii="Arial" w:eastAsia="Calibri" w:hAnsi="Arial" w:cs="Arial"/>
          <w:lang w:eastAsia="ar-SA"/>
        </w:rPr>
        <w:t>s to report safety critical events to the agency responsible for the safety assurance system.</w:t>
      </w:r>
    </w:p>
    <w:p w:rsidR="00040102" w:rsidRDefault="00040102" w:rsidP="00BF0FE3">
      <w:pPr>
        <w:suppressAutoHyphens/>
        <w:spacing w:after="0" w:line="240" w:lineRule="auto"/>
        <w:outlineLvl w:val="0"/>
        <w:rPr>
          <w:rFonts w:ascii="Arial" w:eastAsia="Calibri" w:hAnsi="Arial" w:cs="Arial"/>
          <w:lang w:eastAsia="ar-SA"/>
        </w:rPr>
      </w:pPr>
    </w:p>
    <w:p w:rsidR="00040102" w:rsidRDefault="00BA1D3E" w:rsidP="00BF0FE3">
      <w:pPr>
        <w:suppressAutoHyphens/>
        <w:spacing w:after="0" w:line="240" w:lineRule="auto"/>
        <w:outlineLvl w:val="0"/>
        <w:rPr>
          <w:rFonts w:ascii="Arial" w:eastAsia="Calibri" w:hAnsi="Arial" w:cs="Arial"/>
          <w:lang w:eastAsia="ar-SA"/>
        </w:rPr>
      </w:pPr>
      <w:r>
        <w:rPr>
          <w:rFonts w:ascii="Arial" w:eastAsia="Calibri" w:hAnsi="Arial" w:cs="Arial"/>
          <w:lang w:eastAsia="ar-SA"/>
        </w:rPr>
        <w:t>ADSE</w:t>
      </w:r>
      <w:r w:rsidR="00040102">
        <w:rPr>
          <w:rFonts w:ascii="Arial" w:eastAsia="Calibri" w:hAnsi="Arial" w:cs="Arial"/>
          <w:lang w:eastAsia="ar-SA"/>
        </w:rPr>
        <w:t xml:space="preserve">s should also be obligated to report safety critical events to the </w:t>
      </w:r>
      <w:r w:rsidR="00571B89">
        <w:rPr>
          <w:rFonts w:ascii="Arial" w:eastAsia="Calibri" w:hAnsi="Arial" w:cs="Arial"/>
          <w:lang w:eastAsia="ar-SA"/>
        </w:rPr>
        <w:t>ATSB</w:t>
      </w:r>
      <w:r w:rsidR="00184BF4">
        <w:rPr>
          <w:rFonts w:ascii="Arial" w:eastAsia="Calibri" w:hAnsi="Arial" w:cs="Arial"/>
          <w:lang w:eastAsia="ar-SA"/>
        </w:rPr>
        <w:t xml:space="preserve"> </w:t>
      </w:r>
      <w:r w:rsidR="00427169" w:rsidRPr="00B742E7">
        <w:rPr>
          <w:rFonts w:ascii="Arial" w:eastAsia="Calibri" w:hAnsi="Arial" w:cs="Arial"/>
          <w:noProof/>
          <w:lang w:eastAsia="ar-SA"/>
        </w:rPr>
        <w:t>(Australian Trucking Association, 2017</w:t>
      </w:r>
      <w:r w:rsidR="00427169">
        <w:rPr>
          <w:rFonts w:ascii="Arial" w:eastAsia="Calibri" w:hAnsi="Arial" w:cs="Arial"/>
          <w:noProof/>
          <w:lang w:eastAsia="ar-SA"/>
        </w:rPr>
        <w:t xml:space="preserve">b, p. </w:t>
      </w:r>
      <w:r w:rsidR="00DD4060">
        <w:rPr>
          <w:rFonts w:ascii="Arial" w:eastAsia="Calibri" w:hAnsi="Arial" w:cs="Arial"/>
          <w:noProof/>
          <w:lang w:eastAsia="ar-SA"/>
        </w:rPr>
        <w:t>7</w:t>
      </w:r>
      <w:r w:rsidR="00427169" w:rsidRPr="00B742E7">
        <w:rPr>
          <w:rFonts w:ascii="Arial" w:eastAsia="Calibri" w:hAnsi="Arial" w:cs="Arial"/>
          <w:noProof/>
          <w:lang w:eastAsia="ar-SA"/>
        </w:rPr>
        <w:t>)</w:t>
      </w:r>
      <w:r w:rsidR="00EC201E">
        <w:rPr>
          <w:rFonts w:ascii="Arial" w:eastAsia="Calibri" w:hAnsi="Arial" w:cs="Arial"/>
          <w:lang w:eastAsia="ar-SA"/>
        </w:rPr>
        <w:t>.</w:t>
      </w:r>
      <w:r w:rsidR="00911761">
        <w:rPr>
          <w:rFonts w:ascii="Arial" w:eastAsia="Calibri" w:hAnsi="Arial" w:cs="Arial"/>
          <w:lang w:eastAsia="ar-SA"/>
        </w:rPr>
        <w:t xml:space="preserve"> Without independent safety investigation</w:t>
      </w:r>
      <w:r w:rsidR="00826231">
        <w:rPr>
          <w:rFonts w:ascii="Arial" w:eastAsia="Calibri" w:hAnsi="Arial" w:cs="Arial"/>
          <w:lang w:eastAsia="ar-SA"/>
        </w:rPr>
        <w:t>s</w:t>
      </w:r>
      <w:r w:rsidR="00911761">
        <w:rPr>
          <w:rFonts w:ascii="Arial" w:eastAsia="Calibri" w:hAnsi="Arial" w:cs="Arial"/>
          <w:lang w:eastAsia="ar-SA"/>
        </w:rPr>
        <w:t xml:space="preserve"> for learning</w:t>
      </w:r>
      <w:r>
        <w:rPr>
          <w:rFonts w:ascii="Arial" w:eastAsia="Calibri" w:hAnsi="Arial" w:cs="Arial"/>
          <w:lang w:eastAsia="ar-SA"/>
        </w:rPr>
        <w:t xml:space="preserve"> lessons and making</w:t>
      </w:r>
      <w:r w:rsidR="00911761">
        <w:rPr>
          <w:rFonts w:ascii="Arial" w:eastAsia="Calibri" w:hAnsi="Arial" w:cs="Arial"/>
          <w:lang w:eastAsia="ar-SA"/>
        </w:rPr>
        <w:t xml:space="preserve"> recommendations to improve safety such as those conducted by the US National Transportati</w:t>
      </w:r>
      <w:r w:rsidR="00CC2382">
        <w:rPr>
          <w:rFonts w:ascii="Arial" w:eastAsia="Calibri" w:hAnsi="Arial" w:cs="Arial"/>
          <w:lang w:eastAsia="ar-SA"/>
        </w:rPr>
        <w:t xml:space="preserve">on Safety Board (NTSB), </w:t>
      </w:r>
      <w:r w:rsidR="00BB0B8B">
        <w:rPr>
          <w:rFonts w:ascii="Arial" w:eastAsia="Calibri" w:hAnsi="Arial" w:cs="Arial"/>
          <w:lang w:eastAsia="ar-SA"/>
        </w:rPr>
        <w:t>we simply will not understand and cannot ensure the correction of</w:t>
      </w:r>
      <w:r w:rsidR="00EC201E">
        <w:rPr>
          <w:rFonts w:ascii="Arial" w:eastAsia="Calibri" w:hAnsi="Arial" w:cs="Arial"/>
          <w:lang w:eastAsia="ar-SA"/>
        </w:rPr>
        <w:t xml:space="preserve"> the</w:t>
      </w:r>
      <w:r w:rsidR="00BB0B8B">
        <w:rPr>
          <w:rFonts w:ascii="Arial" w:eastAsia="Calibri" w:hAnsi="Arial" w:cs="Arial"/>
          <w:lang w:eastAsia="ar-SA"/>
        </w:rPr>
        <w:t xml:space="preserve"> </w:t>
      </w:r>
      <w:r w:rsidR="00EC201E">
        <w:rPr>
          <w:rFonts w:ascii="Arial" w:eastAsia="Calibri" w:hAnsi="Arial" w:cs="Arial"/>
          <w:lang w:eastAsia="ar-SA"/>
        </w:rPr>
        <w:t>root causes of safety incidents</w:t>
      </w:r>
      <w:r w:rsidR="00BB0B8B">
        <w:rPr>
          <w:rFonts w:ascii="Arial" w:eastAsia="Calibri" w:hAnsi="Arial" w:cs="Arial"/>
          <w:lang w:eastAsia="ar-SA"/>
        </w:rPr>
        <w:t xml:space="preserve"> and crashes.</w:t>
      </w:r>
    </w:p>
    <w:p w:rsidR="00BB0B8B" w:rsidRDefault="00BB0B8B" w:rsidP="00BF0FE3">
      <w:pPr>
        <w:suppressAutoHyphens/>
        <w:spacing w:after="0" w:line="240" w:lineRule="auto"/>
        <w:outlineLvl w:val="0"/>
        <w:rPr>
          <w:rFonts w:ascii="Arial" w:eastAsia="Calibri" w:hAnsi="Arial" w:cs="Arial"/>
          <w:lang w:eastAsia="ar-SA"/>
        </w:rPr>
      </w:pPr>
    </w:p>
    <w:p w:rsidR="00027DE4" w:rsidRDefault="00EC201E" w:rsidP="00BF0FE3">
      <w:pPr>
        <w:suppressAutoHyphens/>
        <w:spacing w:after="0" w:line="240" w:lineRule="auto"/>
        <w:outlineLvl w:val="0"/>
        <w:rPr>
          <w:rFonts w:ascii="Arial" w:eastAsia="Calibri" w:hAnsi="Arial" w:cs="Arial"/>
          <w:lang w:eastAsia="ar-SA"/>
        </w:rPr>
      </w:pPr>
      <w:r>
        <w:rPr>
          <w:rFonts w:ascii="Arial" w:eastAsia="Calibri" w:hAnsi="Arial" w:cs="Arial"/>
          <w:lang w:eastAsia="ar-SA"/>
        </w:rPr>
        <w:t>I</w:t>
      </w:r>
      <w:r w:rsidR="00DD4060">
        <w:rPr>
          <w:rFonts w:ascii="Arial" w:eastAsia="Calibri" w:hAnsi="Arial" w:cs="Arial"/>
          <w:lang w:eastAsia="ar-SA"/>
        </w:rPr>
        <w:t xml:space="preserve">t is notable that the consultation </w:t>
      </w:r>
      <w:r w:rsidR="00BB0B8B">
        <w:rPr>
          <w:rFonts w:ascii="Arial" w:eastAsia="Calibri" w:hAnsi="Arial" w:cs="Arial"/>
          <w:lang w:eastAsia="ar-SA"/>
        </w:rPr>
        <w:t>RIS itself</w:t>
      </w:r>
      <w:r>
        <w:rPr>
          <w:rFonts w:ascii="Arial" w:eastAsia="Calibri" w:hAnsi="Arial" w:cs="Arial"/>
          <w:lang w:eastAsia="ar-SA"/>
        </w:rPr>
        <w:t xml:space="preserve"> draws on the NTSB investigation </w:t>
      </w:r>
      <w:r w:rsidR="00DD4060">
        <w:rPr>
          <w:rFonts w:ascii="Arial" w:eastAsia="Calibri" w:hAnsi="Arial" w:cs="Arial"/>
          <w:lang w:eastAsia="ar-SA"/>
        </w:rPr>
        <w:t xml:space="preserve">into </w:t>
      </w:r>
      <w:r>
        <w:rPr>
          <w:rFonts w:ascii="Arial" w:eastAsia="Calibri" w:hAnsi="Arial" w:cs="Arial"/>
          <w:lang w:eastAsia="ar-SA"/>
        </w:rPr>
        <w:t xml:space="preserve">the Florida Tesla Model S crash </w:t>
      </w:r>
      <w:r w:rsidR="00FE3AD1">
        <w:rPr>
          <w:rFonts w:ascii="Arial" w:eastAsia="Calibri" w:hAnsi="Arial" w:cs="Arial"/>
          <w:lang w:eastAsia="ar-SA"/>
        </w:rPr>
        <w:t>to support its findings</w:t>
      </w:r>
      <w:r w:rsidR="00B623C3">
        <w:rPr>
          <w:rFonts w:ascii="Arial" w:eastAsia="Calibri" w:hAnsi="Arial" w:cs="Arial"/>
          <w:lang w:eastAsia="ar-SA"/>
        </w:rPr>
        <w:t>.</w:t>
      </w:r>
      <w:r w:rsidR="00027DE4">
        <w:rPr>
          <w:rFonts w:ascii="Arial" w:eastAsia="Calibri" w:hAnsi="Arial" w:cs="Arial"/>
          <w:lang w:eastAsia="ar-SA"/>
        </w:rPr>
        <w:t xml:space="preserve"> </w:t>
      </w:r>
    </w:p>
    <w:p w:rsidR="00DB1CE4" w:rsidRDefault="00DB1CE4" w:rsidP="00DB1CE4">
      <w:pPr>
        <w:suppressAutoHyphens/>
        <w:spacing w:after="0" w:line="240" w:lineRule="auto"/>
        <w:outlineLvl w:val="0"/>
        <w:rPr>
          <w:rFonts w:ascii="Arial" w:eastAsia="Calibri" w:hAnsi="Arial" w:cs="Arial"/>
          <w:b/>
          <w:sz w:val="24"/>
          <w:szCs w:val="24"/>
          <w:lang w:eastAsia="ar-SA"/>
        </w:rPr>
      </w:pPr>
    </w:p>
    <w:p w:rsidR="00DB7993" w:rsidRDefault="00DB7993" w:rsidP="00DB1CE4">
      <w:pPr>
        <w:suppressAutoHyphens/>
        <w:spacing w:after="0" w:line="240" w:lineRule="auto"/>
        <w:outlineLvl w:val="0"/>
        <w:rPr>
          <w:rFonts w:ascii="Arial" w:eastAsia="Calibri" w:hAnsi="Arial" w:cs="Arial"/>
          <w:b/>
          <w:sz w:val="24"/>
          <w:szCs w:val="24"/>
          <w:lang w:eastAsia="ar-SA"/>
        </w:rPr>
      </w:pPr>
    </w:p>
    <w:p w:rsidR="00DB7993" w:rsidRPr="00DB7993" w:rsidRDefault="00DB7993" w:rsidP="00DB1CE4">
      <w:pPr>
        <w:suppressAutoHyphens/>
        <w:spacing w:after="0" w:line="240" w:lineRule="auto"/>
        <w:outlineLvl w:val="0"/>
        <w:rPr>
          <w:rFonts w:ascii="Arial" w:eastAsia="Calibri" w:hAnsi="Arial" w:cs="Arial"/>
          <w:b/>
          <w:lang w:eastAsia="ar-SA"/>
        </w:rPr>
      </w:pPr>
      <w:r w:rsidRPr="00DB7993">
        <w:rPr>
          <w:rFonts w:ascii="Arial" w:eastAsia="Calibri" w:hAnsi="Arial" w:cs="Arial"/>
          <w:b/>
          <w:lang w:eastAsia="ar-SA"/>
        </w:rPr>
        <w:t>Chapter 4</w:t>
      </w:r>
      <w:r w:rsidR="00533B47">
        <w:rPr>
          <w:rFonts w:ascii="Arial" w:eastAsia="Calibri" w:hAnsi="Arial" w:cs="Arial"/>
          <w:b/>
          <w:lang w:eastAsia="ar-SA"/>
        </w:rPr>
        <w:t>,</w:t>
      </w:r>
      <w:r w:rsidRPr="00DB7993">
        <w:rPr>
          <w:rFonts w:ascii="Arial" w:eastAsia="Calibri" w:hAnsi="Arial" w:cs="Arial"/>
          <w:b/>
          <w:lang w:eastAsia="ar-SA"/>
        </w:rPr>
        <w:t xml:space="preserve"> Other obligations on ADSEs: requirements for the Statement of Compliance</w:t>
      </w:r>
      <w:r w:rsidR="00533B47">
        <w:rPr>
          <w:rFonts w:ascii="Arial" w:eastAsia="Calibri" w:hAnsi="Arial" w:cs="Arial"/>
          <w:b/>
          <w:lang w:eastAsia="ar-SA"/>
        </w:rPr>
        <w:t xml:space="preserve"> (4.1)</w:t>
      </w:r>
    </w:p>
    <w:p w:rsidR="00DB7993" w:rsidRPr="00DB7993" w:rsidRDefault="00DB7993" w:rsidP="00DB7993">
      <w:pPr>
        <w:pStyle w:val="Heading2"/>
        <w:rPr>
          <w:rFonts w:ascii="Arial" w:eastAsia="Calibri" w:hAnsi="Arial" w:cs="Arial"/>
          <w:b/>
          <w:color w:val="auto"/>
          <w:sz w:val="22"/>
          <w:szCs w:val="22"/>
          <w:lang w:eastAsia="ar-SA"/>
        </w:rPr>
      </w:pPr>
      <w:r w:rsidRPr="00DB7993">
        <w:rPr>
          <w:rFonts w:ascii="Arial" w:eastAsia="Calibri" w:hAnsi="Arial" w:cs="Arial"/>
          <w:b/>
          <w:color w:val="auto"/>
          <w:sz w:val="22"/>
          <w:szCs w:val="22"/>
          <w:lang w:eastAsia="ar-SA"/>
        </w:rPr>
        <w:t>Q7. Are there any additional criteria or other obligations that should be included?</w:t>
      </w:r>
    </w:p>
    <w:p w:rsidR="001416EC" w:rsidRDefault="001416EC" w:rsidP="00DB7993">
      <w:pPr>
        <w:suppressAutoHyphens/>
        <w:spacing w:after="0" w:line="240" w:lineRule="auto"/>
        <w:outlineLvl w:val="0"/>
        <w:rPr>
          <w:rFonts w:ascii="Arial" w:eastAsia="Calibri" w:hAnsi="Arial" w:cs="Arial"/>
          <w:lang w:eastAsia="ar-SA"/>
        </w:rPr>
      </w:pPr>
    </w:p>
    <w:p w:rsidR="001416EC" w:rsidRDefault="001416EC" w:rsidP="001416EC">
      <w:pPr>
        <w:pStyle w:val="ListParagraph"/>
        <w:suppressAutoHyphens/>
        <w:spacing w:after="0" w:line="240" w:lineRule="auto"/>
        <w:rPr>
          <w:rFonts w:ascii="Arial" w:eastAsia="Calibri" w:hAnsi="Arial" w:cs="Arial"/>
          <w:i/>
          <w:u w:val="single"/>
          <w:lang w:eastAsia="ar-SA"/>
        </w:rPr>
      </w:pPr>
      <w:r w:rsidRPr="008D7696">
        <w:rPr>
          <w:rFonts w:ascii="Arial" w:eastAsia="Calibri" w:hAnsi="Arial" w:cs="Arial"/>
          <w:i/>
          <w:u w:val="single"/>
          <w:lang w:eastAsia="ar-SA"/>
        </w:rPr>
        <w:t>Recommendation 3</w:t>
      </w:r>
    </w:p>
    <w:p w:rsidR="007D2343" w:rsidRPr="008D7696" w:rsidRDefault="007D2343" w:rsidP="001416EC">
      <w:pPr>
        <w:pStyle w:val="ListParagraph"/>
        <w:suppressAutoHyphens/>
        <w:spacing w:after="0" w:line="240" w:lineRule="auto"/>
        <w:rPr>
          <w:rFonts w:ascii="Arial" w:eastAsia="Calibri" w:hAnsi="Arial" w:cs="Arial"/>
          <w:i/>
          <w:u w:val="single"/>
          <w:lang w:eastAsia="ar-SA"/>
        </w:rPr>
      </w:pPr>
    </w:p>
    <w:p w:rsidR="001416EC" w:rsidRPr="008D7696" w:rsidRDefault="008D7696" w:rsidP="001416EC">
      <w:pPr>
        <w:pStyle w:val="ListParagraph"/>
        <w:suppressAutoHyphens/>
        <w:spacing w:after="0" w:line="240" w:lineRule="auto"/>
        <w:rPr>
          <w:rFonts w:ascii="Arial" w:eastAsia="Times New Roman" w:hAnsi="Arial" w:cs="Arial"/>
          <w:i/>
          <w:lang w:eastAsia="ar-SA"/>
        </w:rPr>
      </w:pPr>
      <w:r w:rsidRPr="008D7696">
        <w:rPr>
          <w:rFonts w:ascii="Arial" w:eastAsia="Calibri" w:hAnsi="Arial" w:cs="Arial"/>
          <w:i/>
          <w:lang w:eastAsia="ar-SA"/>
        </w:rPr>
        <w:t xml:space="preserve">The proposed safety criteria for statements of compliance (section 4) should be expanded to include </w:t>
      </w:r>
      <w:r w:rsidR="007D2343">
        <w:rPr>
          <w:rFonts w:ascii="Arial" w:eastAsia="Calibri" w:hAnsi="Arial" w:cs="Arial"/>
          <w:i/>
          <w:lang w:eastAsia="ar-SA"/>
        </w:rPr>
        <w:t xml:space="preserve">a requirement </w:t>
      </w:r>
      <w:r w:rsidRPr="008D7696">
        <w:rPr>
          <w:rFonts w:ascii="Arial" w:eastAsia="Calibri" w:hAnsi="Arial" w:cs="Arial"/>
          <w:i/>
          <w:lang w:eastAsia="ar-SA"/>
        </w:rPr>
        <w:t>that ADSEs must demonstrate how they will ensure the facilitation of access to accurate information and real-time data for the purposes of ATSB safety investigations</w:t>
      </w:r>
      <w:r w:rsidR="001416EC" w:rsidRPr="008D7696">
        <w:rPr>
          <w:rFonts w:ascii="Arial" w:eastAsia="Calibri" w:hAnsi="Arial" w:cs="Arial"/>
          <w:i/>
          <w:lang w:eastAsia="ar-SA"/>
        </w:rPr>
        <w:t>.</w:t>
      </w:r>
    </w:p>
    <w:p w:rsidR="001416EC" w:rsidRDefault="001416EC" w:rsidP="00DB7993">
      <w:pPr>
        <w:suppressAutoHyphens/>
        <w:spacing w:after="0" w:line="240" w:lineRule="auto"/>
        <w:outlineLvl w:val="0"/>
        <w:rPr>
          <w:rFonts w:ascii="Arial" w:eastAsia="Calibri" w:hAnsi="Arial" w:cs="Arial"/>
          <w:lang w:eastAsia="ar-SA"/>
        </w:rPr>
      </w:pPr>
    </w:p>
    <w:p w:rsidR="001A01C3" w:rsidRDefault="001A01C3" w:rsidP="007914E2">
      <w:pPr>
        <w:suppressAutoHyphens/>
        <w:spacing w:after="0" w:line="240" w:lineRule="auto"/>
        <w:ind w:right="284"/>
        <w:outlineLvl w:val="0"/>
        <w:rPr>
          <w:rFonts w:ascii="Arial" w:eastAsia="Calibri" w:hAnsi="Arial" w:cs="Arial"/>
          <w:lang w:eastAsia="ar-SA"/>
        </w:rPr>
      </w:pPr>
      <w:r>
        <w:rPr>
          <w:rFonts w:ascii="Arial" w:eastAsia="Calibri" w:hAnsi="Arial" w:cs="Arial"/>
          <w:lang w:eastAsia="ar-SA"/>
        </w:rPr>
        <w:t>Currently section 4.4.1 includes as</w:t>
      </w:r>
      <w:r w:rsidR="00953F6A">
        <w:rPr>
          <w:rFonts w:ascii="Arial" w:eastAsia="Calibri" w:hAnsi="Arial" w:cs="Arial"/>
          <w:lang w:eastAsia="ar-SA"/>
        </w:rPr>
        <w:t xml:space="preserve"> </w:t>
      </w:r>
      <w:r>
        <w:rPr>
          <w:rFonts w:ascii="Arial" w:eastAsia="Calibri" w:hAnsi="Arial" w:cs="Arial"/>
          <w:lang w:eastAsia="ar-SA"/>
        </w:rPr>
        <w:t>relevant</w:t>
      </w:r>
      <w:r w:rsidR="00953F6A">
        <w:rPr>
          <w:rFonts w:ascii="Arial" w:eastAsia="Calibri" w:hAnsi="Arial" w:cs="Arial"/>
          <w:lang w:eastAsia="ar-SA"/>
        </w:rPr>
        <w:t xml:space="preserve"> parties</w:t>
      </w:r>
      <w:r w:rsidR="007D2343">
        <w:rPr>
          <w:rFonts w:ascii="Arial" w:eastAsia="Calibri" w:hAnsi="Arial" w:cs="Arial"/>
          <w:lang w:eastAsia="ar-SA"/>
        </w:rPr>
        <w:t xml:space="preserve"> </w:t>
      </w:r>
      <w:r w:rsidR="007914E2">
        <w:rPr>
          <w:rFonts w:ascii="Arial" w:eastAsia="Calibri" w:hAnsi="Arial" w:cs="Arial"/>
          <w:lang w:eastAsia="ar-SA"/>
        </w:rPr>
        <w:t xml:space="preserve">police, </w:t>
      </w:r>
      <w:r w:rsidR="00953F6A">
        <w:rPr>
          <w:rFonts w:ascii="Arial" w:eastAsia="Calibri" w:hAnsi="Arial" w:cs="Arial"/>
          <w:lang w:eastAsia="ar-SA"/>
        </w:rPr>
        <w:t xml:space="preserve">enforcement, </w:t>
      </w:r>
      <w:r w:rsidR="007914E2">
        <w:rPr>
          <w:rFonts w:ascii="Arial" w:eastAsia="Calibri" w:hAnsi="Arial" w:cs="Arial"/>
          <w:lang w:eastAsia="ar-SA"/>
        </w:rPr>
        <w:t>individuals and road agencies</w:t>
      </w:r>
      <w:r w:rsidR="00953F6A">
        <w:rPr>
          <w:rFonts w:ascii="Arial" w:eastAsia="Calibri" w:hAnsi="Arial" w:cs="Arial"/>
          <w:lang w:eastAsia="ar-SA"/>
        </w:rPr>
        <w:t xml:space="preserve"> regarding access</w:t>
      </w:r>
      <w:r w:rsidR="00636CD7">
        <w:rPr>
          <w:rFonts w:ascii="Arial" w:eastAsia="Calibri" w:hAnsi="Arial" w:cs="Arial"/>
          <w:lang w:eastAsia="ar-SA"/>
        </w:rPr>
        <w:t xml:space="preserve"> to recorded and real-time data</w:t>
      </w:r>
      <w:sdt>
        <w:sdtPr>
          <w:rPr>
            <w:rFonts w:ascii="Arial" w:eastAsia="Calibri" w:hAnsi="Arial" w:cs="Arial"/>
            <w:lang w:eastAsia="ar-SA"/>
          </w:rPr>
          <w:id w:val="-365596295"/>
          <w:citation/>
        </w:sdtPr>
        <w:sdtEndPr/>
        <w:sdtContent>
          <w:r w:rsidR="009D245E">
            <w:rPr>
              <w:rFonts w:ascii="Arial" w:eastAsia="Calibri" w:hAnsi="Arial" w:cs="Arial"/>
              <w:lang w:eastAsia="ar-SA"/>
            </w:rPr>
            <w:fldChar w:fldCharType="begin"/>
          </w:r>
          <w:r w:rsidR="00D77C6B">
            <w:rPr>
              <w:rFonts w:ascii="Arial" w:eastAsia="Calibri" w:hAnsi="Arial" w:cs="Arial"/>
              <w:lang w:eastAsia="ar-SA"/>
            </w:rPr>
            <w:instrText xml:space="preserve">CITATION NTC18 \p 37 \l 3081 </w:instrText>
          </w:r>
          <w:r w:rsidR="009D245E">
            <w:rPr>
              <w:rFonts w:ascii="Arial" w:eastAsia="Calibri" w:hAnsi="Arial" w:cs="Arial"/>
              <w:lang w:eastAsia="ar-SA"/>
            </w:rPr>
            <w:fldChar w:fldCharType="separate"/>
          </w:r>
          <w:r w:rsidR="00D77C6B">
            <w:rPr>
              <w:rFonts w:ascii="Arial" w:eastAsia="Calibri" w:hAnsi="Arial" w:cs="Arial"/>
              <w:noProof/>
              <w:lang w:eastAsia="ar-SA"/>
            </w:rPr>
            <w:t xml:space="preserve"> </w:t>
          </w:r>
          <w:r w:rsidR="00D77C6B" w:rsidRPr="00D77C6B">
            <w:rPr>
              <w:rFonts w:ascii="Arial" w:eastAsia="Calibri" w:hAnsi="Arial" w:cs="Arial"/>
              <w:noProof/>
              <w:lang w:eastAsia="ar-SA"/>
            </w:rPr>
            <w:t>(NTC, 2018, p. 37)</w:t>
          </w:r>
          <w:r w:rsidR="009D245E">
            <w:rPr>
              <w:rFonts w:ascii="Arial" w:eastAsia="Calibri" w:hAnsi="Arial" w:cs="Arial"/>
              <w:lang w:eastAsia="ar-SA"/>
            </w:rPr>
            <w:fldChar w:fldCharType="end"/>
          </w:r>
        </w:sdtContent>
      </w:sdt>
      <w:r w:rsidR="00636CD7">
        <w:rPr>
          <w:rFonts w:ascii="Arial" w:eastAsia="Calibri" w:hAnsi="Arial" w:cs="Arial"/>
          <w:lang w:eastAsia="ar-SA"/>
        </w:rPr>
        <w:t>.</w:t>
      </w:r>
    </w:p>
    <w:p w:rsidR="001A01C3" w:rsidRDefault="001A01C3" w:rsidP="007914E2">
      <w:pPr>
        <w:suppressAutoHyphens/>
        <w:spacing w:after="0" w:line="240" w:lineRule="auto"/>
        <w:ind w:left="-284" w:right="284"/>
        <w:outlineLvl w:val="0"/>
        <w:rPr>
          <w:rFonts w:ascii="Arial" w:eastAsia="Calibri" w:hAnsi="Arial" w:cs="Arial"/>
          <w:i/>
          <w:lang w:eastAsia="ar-SA"/>
        </w:rPr>
      </w:pPr>
    </w:p>
    <w:p w:rsidR="006A7D43" w:rsidRDefault="006A7D43" w:rsidP="007914E2">
      <w:pPr>
        <w:suppressAutoHyphens/>
        <w:spacing w:after="0" w:line="240" w:lineRule="auto"/>
        <w:ind w:right="284"/>
        <w:outlineLvl w:val="0"/>
        <w:rPr>
          <w:rFonts w:ascii="Arial" w:eastAsia="Calibri" w:hAnsi="Arial" w:cs="Arial"/>
          <w:lang w:eastAsia="ar-SA"/>
        </w:rPr>
      </w:pPr>
      <w:r>
        <w:rPr>
          <w:rFonts w:ascii="Arial" w:eastAsia="Calibri" w:hAnsi="Arial" w:cs="Arial"/>
          <w:lang w:eastAsia="ar-SA"/>
        </w:rPr>
        <w:t xml:space="preserve">The ATSB must be specified as a relevant agency </w:t>
      </w:r>
      <w:r w:rsidR="009D245E">
        <w:rPr>
          <w:rFonts w:ascii="Arial" w:eastAsia="Calibri" w:hAnsi="Arial" w:cs="Arial"/>
          <w:lang w:eastAsia="ar-SA"/>
        </w:rPr>
        <w:t>in the statement of c</w:t>
      </w:r>
      <w:r w:rsidR="007914E2">
        <w:rPr>
          <w:rFonts w:ascii="Arial" w:eastAsia="Calibri" w:hAnsi="Arial" w:cs="Arial"/>
          <w:lang w:eastAsia="ar-SA"/>
        </w:rPr>
        <w:t xml:space="preserve">ompliance </w:t>
      </w:r>
      <w:r>
        <w:rPr>
          <w:rFonts w:ascii="Arial" w:eastAsia="Calibri" w:hAnsi="Arial" w:cs="Arial"/>
          <w:lang w:eastAsia="ar-SA"/>
        </w:rPr>
        <w:t>for provision of compliance data. This data will provide crash and near-miss evidence that will be essential to ATSB safety investigations.</w:t>
      </w:r>
      <w:r w:rsidR="001A01C3">
        <w:rPr>
          <w:rFonts w:ascii="Arial" w:eastAsia="Calibri" w:hAnsi="Arial" w:cs="Arial"/>
          <w:lang w:eastAsia="ar-SA"/>
        </w:rPr>
        <w:t xml:space="preserve"> </w:t>
      </w:r>
    </w:p>
    <w:p w:rsidR="006A7D43" w:rsidRDefault="006A7D43" w:rsidP="007914E2">
      <w:pPr>
        <w:suppressAutoHyphens/>
        <w:spacing w:after="0" w:line="240" w:lineRule="auto"/>
        <w:ind w:right="284"/>
        <w:outlineLvl w:val="0"/>
        <w:rPr>
          <w:rFonts w:ascii="Arial" w:eastAsia="Calibri" w:hAnsi="Arial" w:cs="Arial"/>
          <w:lang w:eastAsia="ar-SA"/>
        </w:rPr>
      </w:pPr>
    </w:p>
    <w:p w:rsidR="00581CDC" w:rsidRDefault="00581CDC">
      <w:pPr>
        <w:rPr>
          <w:rFonts w:ascii="Arial" w:eastAsia="Calibri" w:hAnsi="Arial" w:cs="Arial"/>
          <w:lang w:eastAsia="ar-SA"/>
        </w:rPr>
      </w:pPr>
      <w:r>
        <w:rPr>
          <w:rFonts w:ascii="Arial" w:eastAsia="Calibri" w:hAnsi="Arial" w:cs="Arial"/>
          <w:lang w:eastAsia="ar-SA"/>
        </w:rPr>
        <w:br w:type="page"/>
      </w:r>
    </w:p>
    <w:p w:rsidR="00132E3A" w:rsidRDefault="00132E3A" w:rsidP="007914E2">
      <w:pPr>
        <w:suppressAutoHyphens/>
        <w:spacing w:after="0" w:line="240" w:lineRule="auto"/>
        <w:ind w:right="284"/>
        <w:outlineLvl w:val="0"/>
        <w:rPr>
          <w:rFonts w:ascii="Arial" w:eastAsia="Calibri" w:hAnsi="Arial" w:cs="Arial"/>
          <w:lang w:eastAsia="ar-SA"/>
        </w:rPr>
      </w:pPr>
    </w:p>
    <w:sdt>
      <w:sdtPr>
        <w:rPr>
          <w:rFonts w:asciiTheme="minorHAnsi" w:eastAsiaTheme="minorHAnsi" w:hAnsiTheme="minorHAnsi" w:cstheme="minorBidi"/>
          <w:color w:val="auto"/>
          <w:sz w:val="22"/>
          <w:szCs w:val="22"/>
          <w:lang w:val="en-AU"/>
        </w:rPr>
        <w:id w:val="1798718638"/>
        <w:docPartObj>
          <w:docPartGallery w:val="Bibliographies"/>
          <w:docPartUnique/>
        </w:docPartObj>
      </w:sdtPr>
      <w:sdtEndPr/>
      <w:sdtContent>
        <w:p w:rsidR="00581CDC" w:rsidRDefault="00132E3A" w:rsidP="00B742E7">
          <w:pPr>
            <w:pStyle w:val="Heading1"/>
            <w:spacing w:line="240" w:lineRule="auto"/>
            <w:rPr>
              <w:rFonts w:ascii="Arial" w:hAnsi="Arial" w:cs="Arial"/>
              <w:b/>
              <w:color w:val="auto"/>
              <w:sz w:val="24"/>
              <w:szCs w:val="24"/>
            </w:rPr>
          </w:pPr>
          <w:r w:rsidRPr="00132E3A">
            <w:rPr>
              <w:rFonts w:ascii="Arial" w:hAnsi="Arial" w:cs="Arial"/>
              <w:b/>
              <w:color w:val="auto"/>
              <w:sz w:val="24"/>
              <w:szCs w:val="24"/>
            </w:rPr>
            <w:t>References</w:t>
          </w:r>
        </w:p>
        <w:p w:rsidR="00581CDC" w:rsidRPr="00581CDC" w:rsidRDefault="00581CDC" w:rsidP="00B742E7">
          <w:pPr>
            <w:spacing w:after="0" w:line="240" w:lineRule="auto"/>
            <w:rPr>
              <w:lang w:val="en-US"/>
            </w:rPr>
          </w:pPr>
        </w:p>
        <w:sdt>
          <w:sdtPr>
            <w:id w:val="-573587230"/>
            <w:bibliography/>
          </w:sdtPr>
          <w:sdtEndPr/>
          <w:sdtContent>
            <w:p w:rsidR="00B742E7" w:rsidRPr="00B742E7" w:rsidRDefault="00132E3A" w:rsidP="00B742E7">
              <w:pPr>
                <w:pStyle w:val="Bibliography"/>
                <w:rPr>
                  <w:rFonts w:ascii="Arial" w:hAnsi="Arial" w:cs="Arial"/>
                  <w:noProof/>
                  <w:sz w:val="24"/>
                  <w:szCs w:val="24"/>
                  <w:lang w:val="en-US"/>
                </w:rPr>
              </w:pPr>
              <w:r w:rsidRPr="00B742E7">
                <w:rPr>
                  <w:rFonts w:ascii="Arial" w:hAnsi="Arial" w:cs="Arial"/>
                </w:rPr>
                <w:fldChar w:fldCharType="begin"/>
              </w:r>
              <w:r w:rsidRPr="00B742E7">
                <w:rPr>
                  <w:rFonts w:ascii="Arial" w:hAnsi="Arial" w:cs="Arial"/>
                </w:rPr>
                <w:instrText xml:space="preserve"> BIBLIOGRAPHY </w:instrText>
              </w:r>
              <w:r w:rsidRPr="00B742E7">
                <w:rPr>
                  <w:rFonts w:ascii="Arial" w:hAnsi="Arial" w:cs="Arial"/>
                </w:rPr>
                <w:fldChar w:fldCharType="separate"/>
              </w:r>
              <w:r w:rsidR="00B742E7" w:rsidRPr="00B742E7">
                <w:rPr>
                  <w:rFonts w:ascii="Arial" w:hAnsi="Arial" w:cs="Arial"/>
                  <w:noProof/>
                  <w:lang w:val="en-US"/>
                </w:rPr>
                <w:t xml:space="preserve">Australian Transport Safety Bureau. (2017). </w:t>
              </w:r>
              <w:hyperlink r:id="rId7" w:history="1">
                <w:r w:rsidR="00B742E7" w:rsidRPr="00427169">
                  <w:rPr>
                    <w:rStyle w:val="Hyperlink"/>
                    <w:rFonts w:ascii="Arial" w:hAnsi="Arial" w:cs="Arial"/>
                    <w:iCs/>
                    <w:noProof/>
                    <w:lang w:val="en-US"/>
                  </w:rPr>
                  <w:t xml:space="preserve">Annual </w:t>
                </w:r>
                <w:r w:rsidR="00D77C6B">
                  <w:rPr>
                    <w:rStyle w:val="Hyperlink"/>
                    <w:rFonts w:ascii="Arial" w:hAnsi="Arial" w:cs="Arial"/>
                    <w:iCs/>
                    <w:noProof/>
                    <w:lang w:val="en-US"/>
                  </w:rPr>
                  <w:t>r</w:t>
                </w:r>
                <w:r w:rsidR="00B742E7" w:rsidRPr="00427169">
                  <w:rPr>
                    <w:rStyle w:val="Hyperlink"/>
                    <w:rFonts w:ascii="Arial" w:hAnsi="Arial" w:cs="Arial"/>
                    <w:iCs/>
                    <w:noProof/>
                    <w:lang w:val="en-US"/>
                  </w:rPr>
                  <w:t>eport 2016-17</w:t>
                </w:r>
              </w:hyperlink>
              <w:r w:rsidR="00B742E7" w:rsidRPr="00B742E7">
                <w:rPr>
                  <w:rFonts w:ascii="Arial" w:hAnsi="Arial" w:cs="Arial"/>
                  <w:i/>
                  <w:iCs/>
                  <w:noProof/>
                  <w:lang w:val="en-US"/>
                </w:rPr>
                <w:t>.</w:t>
              </w:r>
              <w:r w:rsidR="00B742E7" w:rsidRPr="00B742E7">
                <w:rPr>
                  <w:rFonts w:ascii="Arial" w:hAnsi="Arial" w:cs="Arial"/>
                  <w:noProof/>
                  <w:lang w:val="en-US"/>
                </w:rPr>
                <w:t xml:space="preserve"> </w:t>
              </w:r>
            </w:p>
            <w:p w:rsidR="00B742E7" w:rsidRPr="00B742E7" w:rsidRDefault="00B742E7" w:rsidP="00B742E7">
              <w:pPr>
                <w:pStyle w:val="Bibliography"/>
                <w:rPr>
                  <w:rFonts w:ascii="Arial" w:hAnsi="Arial" w:cs="Arial"/>
                  <w:noProof/>
                  <w:lang w:val="en-US"/>
                </w:rPr>
              </w:pPr>
              <w:r w:rsidRPr="00B742E7">
                <w:rPr>
                  <w:rFonts w:ascii="Arial" w:hAnsi="Arial" w:cs="Arial"/>
                  <w:noProof/>
                  <w:lang w:val="en-US"/>
                </w:rPr>
                <w:t>Australian Trucking Association. (2017</w:t>
              </w:r>
              <w:r>
                <w:rPr>
                  <w:rFonts w:ascii="Arial" w:hAnsi="Arial" w:cs="Arial"/>
                  <w:noProof/>
                  <w:lang w:val="en-US"/>
                </w:rPr>
                <w:t>a</w:t>
              </w:r>
              <w:r w:rsidRPr="00B742E7">
                <w:rPr>
                  <w:rFonts w:ascii="Arial" w:hAnsi="Arial" w:cs="Arial"/>
                  <w:noProof/>
                  <w:lang w:val="en-US"/>
                </w:rPr>
                <w:t xml:space="preserve">). </w:t>
              </w:r>
              <w:hyperlink r:id="rId8" w:history="1">
                <w:r w:rsidRPr="00B742E7">
                  <w:rPr>
                    <w:rStyle w:val="Hyperlink"/>
                    <w:rFonts w:ascii="Arial" w:hAnsi="Arial" w:cs="Arial"/>
                    <w:iCs/>
                    <w:noProof/>
                    <w:lang w:val="en-US"/>
                  </w:rPr>
                  <w:t>Changing driving laws to support automated vehicles</w:t>
                </w:r>
              </w:hyperlink>
              <w:r w:rsidRPr="00B742E7">
                <w:rPr>
                  <w:rFonts w:ascii="Arial" w:hAnsi="Arial" w:cs="Arial"/>
                  <w:i/>
                  <w:iCs/>
                  <w:noProof/>
                  <w:lang w:val="en-US"/>
                </w:rPr>
                <w:t>.</w:t>
              </w:r>
              <w:r w:rsidRPr="00B742E7">
                <w:rPr>
                  <w:rFonts w:ascii="Arial" w:hAnsi="Arial" w:cs="Arial"/>
                  <w:noProof/>
                  <w:lang w:val="en-US"/>
                </w:rPr>
                <w:t xml:space="preserve"> </w:t>
              </w:r>
            </w:p>
            <w:p w:rsidR="00B742E7" w:rsidRPr="00B742E7" w:rsidRDefault="00B742E7" w:rsidP="00B742E7">
              <w:pPr>
                <w:pStyle w:val="Bibliography"/>
                <w:rPr>
                  <w:rFonts w:ascii="Arial" w:hAnsi="Arial" w:cs="Arial"/>
                  <w:noProof/>
                  <w:lang w:val="en-US"/>
                </w:rPr>
              </w:pPr>
              <w:r w:rsidRPr="00B742E7">
                <w:rPr>
                  <w:rFonts w:ascii="Arial" w:hAnsi="Arial" w:cs="Arial"/>
                  <w:noProof/>
                  <w:lang w:val="en-US"/>
                </w:rPr>
                <w:t>Australian Trucking Association. (2017</w:t>
              </w:r>
              <w:r>
                <w:rPr>
                  <w:rFonts w:ascii="Arial" w:hAnsi="Arial" w:cs="Arial"/>
                  <w:noProof/>
                  <w:lang w:val="en-US"/>
                </w:rPr>
                <w:t>b</w:t>
              </w:r>
              <w:r w:rsidRPr="00B742E7">
                <w:rPr>
                  <w:rFonts w:ascii="Arial" w:hAnsi="Arial" w:cs="Arial"/>
                  <w:noProof/>
                  <w:lang w:val="en-US"/>
                </w:rPr>
                <w:t xml:space="preserve">). </w:t>
              </w:r>
              <w:hyperlink r:id="rId9" w:history="1">
                <w:r w:rsidRPr="00427169">
                  <w:rPr>
                    <w:rStyle w:val="Hyperlink"/>
                    <w:rFonts w:ascii="Arial" w:hAnsi="Arial" w:cs="Arial"/>
                    <w:iCs/>
                    <w:noProof/>
                    <w:lang w:val="en-US"/>
                  </w:rPr>
                  <w:t>Regulatory options to assure automated vehicle safety in Australia</w:t>
                </w:r>
              </w:hyperlink>
              <w:r w:rsidRPr="00B742E7">
                <w:rPr>
                  <w:rFonts w:ascii="Arial" w:hAnsi="Arial" w:cs="Arial"/>
                  <w:i/>
                  <w:iCs/>
                  <w:noProof/>
                  <w:lang w:val="en-US"/>
                </w:rPr>
                <w:t>.</w:t>
              </w:r>
              <w:r w:rsidRPr="00B742E7">
                <w:rPr>
                  <w:rFonts w:ascii="Arial" w:hAnsi="Arial" w:cs="Arial"/>
                  <w:noProof/>
                  <w:lang w:val="en-US"/>
                </w:rPr>
                <w:t xml:space="preserve"> </w:t>
              </w:r>
            </w:p>
            <w:p w:rsidR="00B742E7" w:rsidRPr="00B742E7" w:rsidRDefault="00B742E7" w:rsidP="00B742E7">
              <w:pPr>
                <w:pStyle w:val="Bibliography"/>
                <w:rPr>
                  <w:rFonts w:ascii="Arial" w:hAnsi="Arial" w:cs="Arial"/>
                  <w:noProof/>
                  <w:lang w:val="en-US"/>
                </w:rPr>
              </w:pPr>
              <w:r w:rsidRPr="00B742E7">
                <w:rPr>
                  <w:rFonts w:ascii="Arial" w:hAnsi="Arial" w:cs="Arial"/>
                  <w:noProof/>
                  <w:lang w:val="en-US"/>
                </w:rPr>
                <w:t xml:space="preserve">NTC. (2018). </w:t>
              </w:r>
              <w:hyperlink r:id="rId10" w:history="1">
                <w:r w:rsidRPr="00B742E7">
                  <w:rPr>
                    <w:rStyle w:val="Hyperlink"/>
                    <w:rFonts w:ascii="Arial" w:hAnsi="Arial" w:cs="Arial"/>
                    <w:iCs/>
                    <w:noProof/>
                    <w:lang w:val="en-US"/>
                  </w:rPr>
                  <w:t>Safety assurance for automated driving systems consultation regulation impact statement</w:t>
                </w:r>
              </w:hyperlink>
              <w:r w:rsidRPr="00B742E7">
                <w:rPr>
                  <w:rFonts w:ascii="Arial" w:hAnsi="Arial" w:cs="Arial"/>
                  <w:i/>
                  <w:iCs/>
                  <w:noProof/>
                  <w:lang w:val="en-US"/>
                </w:rPr>
                <w:t>.</w:t>
              </w:r>
              <w:r w:rsidRPr="00B742E7">
                <w:rPr>
                  <w:rFonts w:ascii="Arial" w:hAnsi="Arial" w:cs="Arial"/>
                  <w:noProof/>
                  <w:lang w:val="en-US"/>
                </w:rPr>
                <w:t xml:space="preserve"> </w:t>
              </w:r>
            </w:p>
            <w:p w:rsidR="00132E3A" w:rsidRDefault="00132E3A" w:rsidP="00B742E7">
              <w:pPr>
                <w:spacing w:line="240" w:lineRule="auto"/>
              </w:pPr>
              <w:r w:rsidRPr="00B742E7">
                <w:rPr>
                  <w:rFonts w:ascii="Arial" w:hAnsi="Arial" w:cs="Arial"/>
                  <w:b/>
                  <w:bCs/>
                  <w:noProof/>
                </w:rPr>
                <w:fldChar w:fldCharType="end"/>
              </w:r>
            </w:p>
          </w:sdtContent>
        </w:sdt>
      </w:sdtContent>
    </w:sdt>
    <w:p w:rsidR="00132E3A" w:rsidRPr="006A7D43" w:rsidRDefault="00132E3A" w:rsidP="007914E2">
      <w:pPr>
        <w:suppressAutoHyphens/>
        <w:spacing w:after="0" w:line="240" w:lineRule="auto"/>
        <w:ind w:right="284"/>
        <w:outlineLvl w:val="0"/>
        <w:rPr>
          <w:rFonts w:ascii="Arial" w:eastAsia="Calibri" w:hAnsi="Arial" w:cs="Arial"/>
          <w:lang w:eastAsia="ar-SA"/>
        </w:rPr>
      </w:pPr>
    </w:p>
    <w:sectPr w:rsidR="00132E3A" w:rsidRPr="006A7D43" w:rsidSect="00F02B94">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F65" w:rsidRDefault="005F0F65" w:rsidP="00B62B11">
      <w:pPr>
        <w:spacing w:after="0" w:line="240" w:lineRule="auto"/>
      </w:pPr>
      <w:r>
        <w:separator/>
      </w:r>
    </w:p>
  </w:endnote>
  <w:endnote w:type="continuationSeparator" w:id="0">
    <w:p w:rsidR="005F0F65" w:rsidRDefault="005F0F65" w:rsidP="00B6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15" w:rsidRDefault="001D0215">
    <w:pPr>
      <w:pStyle w:val="Footer"/>
      <w:jc w:val="right"/>
    </w:pPr>
  </w:p>
  <w:p w:rsidR="001D0215" w:rsidRDefault="001D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19734"/>
      <w:docPartObj>
        <w:docPartGallery w:val="Page Numbers (Bottom of Page)"/>
        <w:docPartUnique/>
      </w:docPartObj>
    </w:sdtPr>
    <w:sdtEndPr>
      <w:rPr>
        <w:noProof/>
      </w:rPr>
    </w:sdtEndPr>
    <w:sdtContent>
      <w:p w:rsidR="001D0215" w:rsidRDefault="001D0215">
        <w:pPr>
          <w:pStyle w:val="Footer"/>
          <w:jc w:val="right"/>
        </w:pPr>
        <w:r>
          <w:fldChar w:fldCharType="begin"/>
        </w:r>
        <w:r>
          <w:instrText xml:space="preserve"> PAGE   \* MERGEFORMAT </w:instrText>
        </w:r>
        <w:r>
          <w:fldChar w:fldCharType="separate"/>
        </w:r>
        <w:r w:rsidR="0043257F">
          <w:rPr>
            <w:noProof/>
          </w:rPr>
          <w:t>1</w:t>
        </w:r>
        <w:r>
          <w:rPr>
            <w:noProof/>
          </w:rPr>
          <w:fldChar w:fldCharType="end"/>
        </w:r>
      </w:p>
    </w:sdtContent>
  </w:sdt>
  <w:p w:rsidR="001D0215" w:rsidRDefault="001D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F65" w:rsidRDefault="005F0F65" w:rsidP="00B62B11">
      <w:pPr>
        <w:spacing w:after="0" w:line="240" w:lineRule="auto"/>
      </w:pPr>
      <w:r>
        <w:separator/>
      </w:r>
    </w:p>
  </w:footnote>
  <w:footnote w:type="continuationSeparator" w:id="0">
    <w:p w:rsidR="005F0F65" w:rsidRDefault="005F0F65" w:rsidP="00B6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34674884"/>
      <w:docPartObj>
        <w:docPartGallery w:val="Page Numbers (Top of Page)"/>
        <w:docPartUnique/>
      </w:docPartObj>
    </w:sdtPr>
    <w:sdtEndPr>
      <w:rPr>
        <w:noProof/>
      </w:rPr>
    </w:sdtEndPr>
    <w:sdtContent>
      <w:p w:rsidR="001D0215" w:rsidRPr="00D77C6B" w:rsidRDefault="00D77C6B">
        <w:pPr>
          <w:pStyle w:val="Header"/>
          <w:jc w:val="right"/>
          <w:rPr>
            <w:rFonts w:ascii="Arial" w:hAnsi="Arial" w:cs="Arial"/>
          </w:rPr>
        </w:pPr>
        <w:r w:rsidRPr="00D77C6B">
          <w:rPr>
            <w:rFonts w:ascii="Arial" w:hAnsi="Arial" w:cs="Arial"/>
          </w:rPr>
          <w:t>ATA/ADS RIS/</w:t>
        </w:r>
        <w:r w:rsidR="001D0215" w:rsidRPr="00D77C6B">
          <w:rPr>
            <w:rFonts w:ascii="Arial" w:hAnsi="Arial" w:cs="Arial"/>
          </w:rPr>
          <w:fldChar w:fldCharType="begin"/>
        </w:r>
        <w:r w:rsidR="001D0215" w:rsidRPr="00D77C6B">
          <w:rPr>
            <w:rFonts w:ascii="Arial" w:hAnsi="Arial" w:cs="Arial"/>
          </w:rPr>
          <w:instrText xml:space="preserve"> PAGE   \* MERGEFORMAT </w:instrText>
        </w:r>
        <w:r w:rsidR="001D0215" w:rsidRPr="00D77C6B">
          <w:rPr>
            <w:rFonts w:ascii="Arial" w:hAnsi="Arial" w:cs="Arial"/>
          </w:rPr>
          <w:fldChar w:fldCharType="separate"/>
        </w:r>
        <w:r w:rsidR="0043257F">
          <w:rPr>
            <w:rFonts w:ascii="Arial" w:hAnsi="Arial" w:cs="Arial"/>
            <w:noProof/>
          </w:rPr>
          <w:t>6</w:t>
        </w:r>
        <w:r w:rsidR="001D0215" w:rsidRPr="00D77C6B">
          <w:rPr>
            <w:rFonts w:ascii="Arial" w:hAnsi="Arial" w:cs="Arial"/>
            <w:noProof/>
          </w:rPr>
          <w:fldChar w:fldCharType="end"/>
        </w:r>
      </w:p>
    </w:sdtContent>
  </w:sdt>
  <w:p w:rsidR="001D0215" w:rsidRDefault="001D0215" w:rsidP="00B62B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15" w:rsidRDefault="001D0215" w:rsidP="00F02B94">
    <w:pPr>
      <w:pStyle w:val="Header"/>
      <w:jc w:val="center"/>
    </w:pPr>
    <w:r>
      <w:rPr>
        <w:noProof/>
        <w:lang w:eastAsia="en-AU"/>
      </w:rPr>
      <w:drawing>
        <wp:inline distT="0" distB="0" distL="0" distR="0" wp14:anchorId="51724D45">
          <wp:extent cx="1450975"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8C"/>
    <w:multiLevelType w:val="hybridMultilevel"/>
    <w:tmpl w:val="DBAA9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ED9"/>
    <w:multiLevelType w:val="hybridMultilevel"/>
    <w:tmpl w:val="CFBE2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6A12"/>
    <w:multiLevelType w:val="hybridMultilevel"/>
    <w:tmpl w:val="F32451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201629"/>
    <w:multiLevelType w:val="hybridMultilevel"/>
    <w:tmpl w:val="4774B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11494E"/>
    <w:multiLevelType w:val="hybridMultilevel"/>
    <w:tmpl w:val="DA92C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D5971"/>
    <w:multiLevelType w:val="hybridMultilevel"/>
    <w:tmpl w:val="3D74026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34FE8"/>
    <w:multiLevelType w:val="hybridMultilevel"/>
    <w:tmpl w:val="703C3D6A"/>
    <w:lvl w:ilvl="0" w:tplc="F9E2E362">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B4A38"/>
    <w:multiLevelType w:val="hybridMultilevel"/>
    <w:tmpl w:val="FE804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43785"/>
    <w:multiLevelType w:val="hybridMultilevel"/>
    <w:tmpl w:val="3D80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23BF8"/>
    <w:multiLevelType w:val="hybridMultilevel"/>
    <w:tmpl w:val="90929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2FB3545"/>
    <w:multiLevelType w:val="hybridMultilevel"/>
    <w:tmpl w:val="C1BE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93945"/>
    <w:multiLevelType w:val="hybridMultilevel"/>
    <w:tmpl w:val="88385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A95B6C"/>
    <w:multiLevelType w:val="hybridMultilevel"/>
    <w:tmpl w:val="0A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7093E"/>
    <w:multiLevelType w:val="hybridMultilevel"/>
    <w:tmpl w:val="A70C1CD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C4506B"/>
    <w:multiLevelType w:val="hybridMultilevel"/>
    <w:tmpl w:val="B0D43FFA"/>
    <w:lvl w:ilvl="0" w:tplc="0D22247A">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E60B7A"/>
    <w:multiLevelType w:val="hybridMultilevel"/>
    <w:tmpl w:val="E4180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0F70966"/>
    <w:multiLevelType w:val="hybridMultilevel"/>
    <w:tmpl w:val="95BEFDD2"/>
    <w:lvl w:ilvl="0" w:tplc="F9E2E362">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8843E8"/>
    <w:multiLevelType w:val="multilevel"/>
    <w:tmpl w:val="4EA2F69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A19561F"/>
    <w:multiLevelType w:val="hybridMultilevel"/>
    <w:tmpl w:val="CDD889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DD10CE"/>
    <w:multiLevelType w:val="hybridMultilevel"/>
    <w:tmpl w:val="D82C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24E75"/>
    <w:multiLevelType w:val="hybridMultilevel"/>
    <w:tmpl w:val="37EA8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BD29AA"/>
    <w:multiLevelType w:val="hybridMultilevel"/>
    <w:tmpl w:val="3DD4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6D43A0"/>
    <w:multiLevelType w:val="hybridMultilevel"/>
    <w:tmpl w:val="013476A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254133"/>
    <w:multiLevelType w:val="hybridMultilevel"/>
    <w:tmpl w:val="292E5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C9047F1"/>
    <w:multiLevelType w:val="hybridMultilevel"/>
    <w:tmpl w:val="679E7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596356"/>
    <w:multiLevelType w:val="hybridMultilevel"/>
    <w:tmpl w:val="58F89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5A5913"/>
    <w:multiLevelType w:val="hybridMultilevel"/>
    <w:tmpl w:val="F9EEAF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2B45FB5"/>
    <w:multiLevelType w:val="hybridMultilevel"/>
    <w:tmpl w:val="B93A5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F508B"/>
    <w:multiLevelType w:val="hybridMultilevel"/>
    <w:tmpl w:val="32647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A40082"/>
    <w:multiLevelType w:val="hybridMultilevel"/>
    <w:tmpl w:val="B0D43FFA"/>
    <w:lvl w:ilvl="0" w:tplc="0D22247A">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C04F89"/>
    <w:multiLevelType w:val="hybridMultilevel"/>
    <w:tmpl w:val="B0D43FFA"/>
    <w:lvl w:ilvl="0" w:tplc="0D22247A">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7416CE"/>
    <w:multiLevelType w:val="hybridMultilevel"/>
    <w:tmpl w:val="C21A1966"/>
    <w:lvl w:ilvl="0" w:tplc="3DD0E2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05319F"/>
    <w:multiLevelType w:val="hybridMultilevel"/>
    <w:tmpl w:val="C5B6774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E864B1"/>
    <w:multiLevelType w:val="hybridMultilevel"/>
    <w:tmpl w:val="B0D43FFA"/>
    <w:lvl w:ilvl="0" w:tplc="0D22247A">
      <w:start w:val="1"/>
      <w:numFmt w:val="decimal"/>
      <w:lvlText w:val="%1."/>
      <w:lvlJc w:val="left"/>
      <w:pPr>
        <w:ind w:left="720" w:hanging="360"/>
      </w:pPr>
      <w:rPr>
        <w:rFonts w:eastAsia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464031"/>
    <w:multiLevelType w:val="hybridMultilevel"/>
    <w:tmpl w:val="97200D1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DF6B55"/>
    <w:multiLevelType w:val="hybridMultilevel"/>
    <w:tmpl w:val="C90C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8"/>
  </w:num>
  <w:num w:numId="8">
    <w:abstractNumId w:val="19"/>
  </w:num>
  <w:num w:numId="9">
    <w:abstractNumId w:val="12"/>
  </w:num>
  <w:num w:numId="10">
    <w:abstractNumId w:val="16"/>
  </w:num>
  <w:num w:numId="11">
    <w:abstractNumId w:val="13"/>
  </w:num>
  <w:num w:numId="12">
    <w:abstractNumId w:val="34"/>
  </w:num>
  <w:num w:numId="13">
    <w:abstractNumId w:val="26"/>
  </w:num>
  <w:num w:numId="14">
    <w:abstractNumId w:val="32"/>
  </w:num>
  <w:num w:numId="15">
    <w:abstractNumId w:val="22"/>
  </w:num>
  <w:num w:numId="16">
    <w:abstractNumId w:val="0"/>
  </w:num>
  <w:num w:numId="17">
    <w:abstractNumId w:val="2"/>
  </w:num>
  <w:num w:numId="18">
    <w:abstractNumId w:val="23"/>
  </w:num>
  <w:num w:numId="19">
    <w:abstractNumId w:val="15"/>
  </w:num>
  <w:num w:numId="20">
    <w:abstractNumId w:val="24"/>
  </w:num>
  <w:num w:numId="21">
    <w:abstractNumId w:val="25"/>
  </w:num>
  <w:num w:numId="22">
    <w:abstractNumId w:val="7"/>
  </w:num>
  <w:num w:numId="23">
    <w:abstractNumId w:val="27"/>
  </w:num>
  <w:num w:numId="24">
    <w:abstractNumId w:val="18"/>
  </w:num>
  <w:num w:numId="25">
    <w:abstractNumId w:val="6"/>
  </w:num>
  <w:num w:numId="26">
    <w:abstractNumId w:val="0"/>
  </w:num>
  <w:num w:numId="27">
    <w:abstractNumId w:val="5"/>
  </w:num>
  <w:num w:numId="28">
    <w:abstractNumId w:val="21"/>
  </w:num>
  <w:num w:numId="29">
    <w:abstractNumId w:val="20"/>
  </w:num>
  <w:num w:numId="30">
    <w:abstractNumId w:val="3"/>
  </w:num>
  <w:num w:numId="31">
    <w:abstractNumId w:val="11"/>
  </w:num>
  <w:num w:numId="32">
    <w:abstractNumId w:val="17"/>
  </w:num>
  <w:num w:numId="33">
    <w:abstractNumId w:val="8"/>
  </w:num>
  <w:num w:numId="34">
    <w:abstractNumId w:val="35"/>
  </w:num>
  <w:num w:numId="35">
    <w:abstractNumId w:val="14"/>
  </w:num>
  <w:num w:numId="36">
    <w:abstractNumId w:val="33"/>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1"/>
    <w:rsid w:val="00004269"/>
    <w:rsid w:val="00027DE4"/>
    <w:rsid w:val="000305A6"/>
    <w:rsid w:val="00037082"/>
    <w:rsid w:val="00040102"/>
    <w:rsid w:val="0004383A"/>
    <w:rsid w:val="00047DB3"/>
    <w:rsid w:val="000515EC"/>
    <w:rsid w:val="0006590A"/>
    <w:rsid w:val="000C3C97"/>
    <w:rsid w:val="000D6BA7"/>
    <w:rsid w:val="000F69F7"/>
    <w:rsid w:val="000F6F7E"/>
    <w:rsid w:val="00106DC4"/>
    <w:rsid w:val="00107C3C"/>
    <w:rsid w:val="00114F8B"/>
    <w:rsid w:val="001246E8"/>
    <w:rsid w:val="00125AF1"/>
    <w:rsid w:val="00132E3A"/>
    <w:rsid w:val="001416EC"/>
    <w:rsid w:val="00155D82"/>
    <w:rsid w:val="00174035"/>
    <w:rsid w:val="00180031"/>
    <w:rsid w:val="001833C3"/>
    <w:rsid w:val="00184BF4"/>
    <w:rsid w:val="001A01C3"/>
    <w:rsid w:val="001C6C08"/>
    <w:rsid w:val="001D0215"/>
    <w:rsid w:val="001F264A"/>
    <w:rsid w:val="00223CB2"/>
    <w:rsid w:val="002279D7"/>
    <w:rsid w:val="00227ADC"/>
    <w:rsid w:val="00231548"/>
    <w:rsid w:val="00297006"/>
    <w:rsid w:val="002E0EC4"/>
    <w:rsid w:val="002E2CCC"/>
    <w:rsid w:val="002F24A3"/>
    <w:rsid w:val="002F4C7A"/>
    <w:rsid w:val="002F6358"/>
    <w:rsid w:val="002F79FB"/>
    <w:rsid w:val="0031580B"/>
    <w:rsid w:val="00333252"/>
    <w:rsid w:val="003415E0"/>
    <w:rsid w:val="003539E6"/>
    <w:rsid w:val="00354CDC"/>
    <w:rsid w:val="00356834"/>
    <w:rsid w:val="00364A58"/>
    <w:rsid w:val="00366F7B"/>
    <w:rsid w:val="00377A9A"/>
    <w:rsid w:val="00382D1C"/>
    <w:rsid w:val="0039477C"/>
    <w:rsid w:val="003A1635"/>
    <w:rsid w:val="003A1BA3"/>
    <w:rsid w:val="003A3D27"/>
    <w:rsid w:val="003A3FE1"/>
    <w:rsid w:val="0040570D"/>
    <w:rsid w:val="00427169"/>
    <w:rsid w:val="00427B44"/>
    <w:rsid w:val="0043127E"/>
    <w:rsid w:val="0043257F"/>
    <w:rsid w:val="004520A0"/>
    <w:rsid w:val="00463789"/>
    <w:rsid w:val="00472FE1"/>
    <w:rsid w:val="004739F1"/>
    <w:rsid w:val="00490820"/>
    <w:rsid w:val="004952BA"/>
    <w:rsid w:val="004B3770"/>
    <w:rsid w:val="004C3B8D"/>
    <w:rsid w:val="004C73D8"/>
    <w:rsid w:val="004E3E04"/>
    <w:rsid w:val="004E62DA"/>
    <w:rsid w:val="004F15B5"/>
    <w:rsid w:val="004F7441"/>
    <w:rsid w:val="00507DD6"/>
    <w:rsid w:val="00512572"/>
    <w:rsid w:val="00522B25"/>
    <w:rsid w:val="00533B47"/>
    <w:rsid w:val="00535F45"/>
    <w:rsid w:val="005529F6"/>
    <w:rsid w:val="00564DA9"/>
    <w:rsid w:val="00571B89"/>
    <w:rsid w:val="005812C6"/>
    <w:rsid w:val="00581CDC"/>
    <w:rsid w:val="005A37CF"/>
    <w:rsid w:val="005A4DA5"/>
    <w:rsid w:val="005A50FC"/>
    <w:rsid w:val="005B3036"/>
    <w:rsid w:val="005B4FFD"/>
    <w:rsid w:val="005C5858"/>
    <w:rsid w:val="005C6C56"/>
    <w:rsid w:val="005D59FD"/>
    <w:rsid w:val="005D720E"/>
    <w:rsid w:val="005E69FF"/>
    <w:rsid w:val="005F0F65"/>
    <w:rsid w:val="00601086"/>
    <w:rsid w:val="0060125C"/>
    <w:rsid w:val="006207B3"/>
    <w:rsid w:val="00636CD7"/>
    <w:rsid w:val="00685711"/>
    <w:rsid w:val="00692503"/>
    <w:rsid w:val="00695DDA"/>
    <w:rsid w:val="006A7D43"/>
    <w:rsid w:val="006D766D"/>
    <w:rsid w:val="006E419C"/>
    <w:rsid w:val="006E59F3"/>
    <w:rsid w:val="006F4FCE"/>
    <w:rsid w:val="007170CC"/>
    <w:rsid w:val="0072407A"/>
    <w:rsid w:val="00727F9D"/>
    <w:rsid w:val="0073727A"/>
    <w:rsid w:val="00750648"/>
    <w:rsid w:val="00775CD0"/>
    <w:rsid w:val="00777DCE"/>
    <w:rsid w:val="00785F73"/>
    <w:rsid w:val="007914E2"/>
    <w:rsid w:val="00793F7B"/>
    <w:rsid w:val="007B000F"/>
    <w:rsid w:val="007B7423"/>
    <w:rsid w:val="007C5E1C"/>
    <w:rsid w:val="007D2343"/>
    <w:rsid w:val="007F2061"/>
    <w:rsid w:val="008010DA"/>
    <w:rsid w:val="00810C88"/>
    <w:rsid w:val="008170C8"/>
    <w:rsid w:val="00826231"/>
    <w:rsid w:val="0083326B"/>
    <w:rsid w:val="008442B8"/>
    <w:rsid w:val="00850F46"/>
    <w:rsid w:val="00852242"/>
    <w:rsid w:val="008565F4"/>
    <w:rsid w:val="0086399E"/>
    <w:rsid w:val="0086760F"/>
    <w:rsid w:val="00870BD6"/>
    <w:rsid w:val="00873C38"/>
    <w:rsid w:val="00892D26"/>
    <w:rsid w:val="008B50EA"/>
    <w:rsid w:val="008C435F"/>
    <w:rsid w:val="008D514C"/>
    <w:rsid w:val="008D73C7"/>
    <w:rsid w:val="008D7696"/>
    <w:rsid w:val="008E4C7C"/>
    <w:rsid w:val="008F449D"/>
    <w:rsid w:val="008F7598"/>
    <w:rsid w:val="00911761"/>
    <w:rsid w:val="0091374F"/>
    <w:rsid w:val="00920679"/>
    <w:rsid w:val="00936E72"/>
    <w:rsid w:val="009427A5"/>
    <w:rsid w:val="0094730C"/>
    <w:rsid w:val="00953057"/>
    <w:rsid w:val="00953F6A"/>
    <w:rsid w:val="00982904"/>
    <w:rsid w:val="009B166F"/>
    <w:rsid w:val="009D245E"/>
    <w:rsid w:val="009E1197"/>
    <w:rsid w:val="009E2BBF"/>
    <w:rsid w:val="009F0D29"/>
    <w:rsid w:val="00A00027"/>
    <w:rsid w:val="00A048DB"/>
    <w:rsid w:val="00A06B13"/>
    <w:rsid w:val="00A0761D"/>
    <w:rsid w:val="00A07CEC"/>
    <w:rsid w:val="00A13D70"/>
    <w:rsid w:val="00A22440"/>
    <w:rsid w:val="00A22792"/>
    <w:rsid w:val="00A372BE"/>
    <w:rsid w:val="00A503DB"/>
    <w:rsid w:val="00A51DD7"/>
    <w:rsid w:val="00A704EB"/>
    <w:rsid w:val="00A90815"/>
    <w:rsid w:val="00AA0FC8"/>
    <w:rsid w:val="00AA5F1A"/>
    <w:rsid w:val="00AB0A51"/>
    <w:rsid w:val="00AC35AF"/>
    <w:rsid w:val="00AC67C1"/>
    <w:rsid w:val="00AD30B2"/>
    <w:rsid w:val="00AE0E86"/>
    <w:rsid w:val="00AE1A93"/>
    <w:rsid w:val="00AE243E"/>
    <w:rsid w:val="00AE6269"/>
    <w:rsid w:val="00AE75F4"/>
    <w:rsid w:val="00AF1597"/>
    <w:rsid w:val="00AF78FB"/>
    <w:rsid w:val="00B0767C"/>
    <w:rsid w:val="00B14D35"/>
    <w:rsid w:val="00B15ADE"/>
    <w:rsid w:val="00B34D18"/>
    <w:rsid w:val="00B455AD"/>
    <w:rsid w:val="00B623C3"/>
    <w:rsid w:val="00B62B11"/>
    <w:rsid w:val="00B65F34"/>
    <w:rsid w:val="00B742E7"/>
    <w:rsid w:val="00B84CBC"/>
    <w:rsid w:val="00B925D3"/>
    <w:rsid w:val="00BA1D3E"/>
    <w:rsid w:val="00BB0B8B"/>
    <w:rsid w:val="00BD01ED"/>
    <w:rsid w:val="00BD5DF2"/>
    <w:rsid w:val="00BD7B54"/>
    <w:rsid w:val="00BE5F0E"/>
    <w:rsid w:val="00BF0FE3"/>
    <w:rsid w:val="00BF5318"/>
    <w:rsid w:val="00C35514"/>
    <w:rsid w:val="00C41A7F"/>
    <w:rsid w:val="00C52221"/>
    <w:rsid w:val="00C758F7"/>
    <w:rsid w:val="00C93466"/>
    <w:rsid w:val="00C94781"/>
    <w:rsid w:val="00CC2382"/>
    <w:rsid w:val="00CC4B02"/>
    <w:rsid w:val="00CD6A77"/>
    <w:rsid w:val="00CE1BAE"/>
    <w:rsid w:val="00CE2CBB"/>
    <w:rsid w:val="00CE632F"/>
    <w:rsid w:val="00CF04EE"/>
    <w:rsid w:val="00CF3041"/>
    <w:rsid w:val="00CF7F06"/>
    <w:rsid w:val="00D01C10"/>
    <w:rsid w:val="00D06030"/>
    <w:rsid w:val="00D14A58"/>
    <w:rsid w:val="00D43F2C"/>
    <w:rsid w:val="00D461EF"/>
    <w:rsid w:val="00D54C58"/>
    <w:rsid w:val="00D56840"/>
    <w:rsid w:val="00D77C6B"/>
    <w:rsid w:val="00D92E12"/>
    <w:rsid w:val="00D9456E"/>
    <w:rsid w:val="00D95F7E"/>
    <w:rsid w:val="00D96493"/>
    <w:rsid w:val="00D97191"/>
    <w:rsid w:val="00DA3685"/>
    <w:rsid w:val="00DA721B"/>
    <w:rsid w:val="00DB1CE4"/>
    <w:rsid w:val="00DB7993"/>
    <w:rsid w:val="00DD4060"/>
    <w:rsid w:val="00DE35C2"/>
    <w:rsid w:val="00DE3FA1"/>
    <w:rsid w:val="00DE5FD5"/>
    <w:rsid w:val="00DF1CA9"/>
    <w:rsid w:val="00E02F8F"/>
    <w:rsid w:val="00E151F1"/>
    <w:rsid w:val="00E2022B"/>
    <w:rsid w:val="00E22A65"/>
    <w:rsid w:val="00E40951"/>
    <w:rsid w:val="00E516FA"/>
    <w:rsid w:val="00E51EC3"/>
    <w:rsid w:val="00E63802"/>
    <w:rsid w:val="00E73030"/>
    <w:rsid w:val="00E77D06"/>
    <w:rsid w:val="00EC201E"/>
    <w:rsid w:val="00EC2297"/>
    <w:rsid w:val="00EC7E40"/>
    <w:rsid w:val="00ED048E"/>
    <w:rsid w:val="00EF067B"/>
    <w:rsid w:val="00EF4662"/>
    <w:rsid w:val="00F02B94"/>
    <w:rsid w:val="00F07C2C"/>
    <w:rsid w:val="00F1089D"/>
    <w:rsid w:val="00F14733"/>
    <w:rsid w:val="00F1750A"/>
    <w:rsid w:val="00F24F14"/>
    <w:rsid w:val="00F319E3"/>
    <w:rsid w:val="00F52A09"/>
    <w:rsid w:val="00F5410F"/>
    <w:rsid w:val="00F56DF1"/>
    <w:rsid w:val="00F74C30"/>
    <w:rsid w:val="00F81424"/>
    <w:rsid w:val="00F81685"/>
    <w:rsid w:val="00F82919"/>
    <w:rsid w:val="00F873E4"/>
    <w:rsid w:val="00F902E0"/>
    <w:rsid w:val="00F908AE"/>
    <w:rsid w:val="00F96DE7"/>
    <w:rsid w:val="00FB32D2"/>
    <w:rsid w:val="00FC2F20"/>
    <w:rsid w:val="00FD56EA"/>
    <w:rsid w:val="00FE3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11"/>
  </w:style>
  <w:style w:type="paragraph" w:styleId="Heading1">
    <w:name w:val="heading 1"/>
    <w:basedOn w:val="Normal"/>
    <w:next w:val="Normal"/>
    <w:link w:val="Heading1Char"/>
    <w:uiPriority w:val="9"/>
    <w:qFormat/>
    <w:rsid w:val="00184BF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DB79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11"/>
  </w:style>
  <w:style w:type="paragraph" w:styleId="Footer">
    <w:name w:val="footer"/>
    <w:basedOn w:val="Normal"/>
    <w:link w:val="FooterChar"/>
    <w:uiPriority w:val="99"/>
    <w:unhideWhenUsed/>
    <w:rsid w:val="00B6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11"/>
  </w:style>
  <w:style w:type="paragraph" w:styleId="ListParagraph">
    <w:name w:val="List Paragraph"/>
    <w:basedOn w:val="Normal"/>
    <w:uiPriority w:val="34"/>
    <w:qFormat/>
    <w:rsid w:val="00B62B11"/>
    <w:pPr>
      <w:ind w:left="720"/>
      <w:contextualSpacing/>
    </w:pPr>
  </w:style>
  <w:style w:type="paragraph" w:styleId="BalloonText">
    <w:name w:val="Balloon Text"/>
    <w:basedOn w:val="Normal"/>
    <w:link w:val="BalloonTextChar"/>
    <w:uiPriority w:val="99"/>
    <w:semiHidden/>
    <w:unhideWhenUsed/>
    <w:rsid w:val="003A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E1"/>
    <w:rPr>
      <w:rFonts w:ascii="Segoe UI" w:hAnsi="Segoe UI" w:cs="Segoe UI"/>
      <w:sz w:val="18"/>
      <w:szCs w:val="18"/>
    </w:rPr>
  </w:style>
  <w:style w:type="paragraph" w:styleId="FootnoteText">
    <w:name w:val="footnote text"/>
    <w:basedOn w:val="Normal"/>
    <w:link w:val="FootnoteTextChar"/>
    <w:uiPriority w:val="99"/>
    <w:semiHidden/>
    <w:unhideWhenUsed/>
    <w:rsid w:val="00DF1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CA9"/>
    <w:rPr>
      <w:sz w:val="20"/>
      <w:szCs w:val="20"/>
    </w:rPr>
  </w:style>
  <w:style w:type="character" w:styleId="FootnoteReference">
    <w:name w:val="footnote reference"/>
    <w:basedOn w:val="DefaultParagraphFont"/>
    <w:uiPriority w:val="99"/>
    <w:semiHidden/>
    <w:unhideWhenUsed/>
    <w:rsid w:val="00DF1CA9"/>
    <w:rPr>
      <w:vertAlign w:val="superscript"/>
    </w:rPr>
  </w:style>
  <w:style w:type="character" w:styleId="Hyperlink">
    <w:name w:val="Hyperlink"/>
    <w:basedOn w:val="DefaultParagraphFont"/>
    <w:uiPriority w:val="99"/>
    <w:unhideWhenUsed/>
    <w:rsid w:val="00DF1CA9"/>
    <w:rPr>
      <w:color w:val="0563C1" w:themeColor="hyperlink"/>
      <w:u w:val="single"/>
    </w:rPr>
  </w:style>
  <w:style w:type="paragraph" w:customStyle="1" w:styleId="Default">
    <w:name w:val="Default"/>
    <w:rsid w:val="00C9346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B799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C2F20"/>
    <w:rPr>
      <w:color w:val="808080"/>
      <w:shd w:val="clear" w:color="auto" w:fill="E6E6E6"/>
    </w:rPr>
  </w:style>
  <w:style w:type="character" w:customStyle="1" w:styleId="Heading1Char">
    <w:name w:val="Heading 1 Char"/>
    <w:basedOn w:val="DefaultParagraphFont"/>
    <w:link w:val="Heading1"/>
    <w:uiPriority w:val="9"/>
    <w:rsid w:val="00184BF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18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933">
      <w:bodyDiv w:val="1"/>
      <w:marLeft w:val="0"/>
      <w:marRight w:val="0"/>
      <w:marTop w:val="0"/>
      <w:marBottom w:val="0"/>
      <w:divBdr>
        <w:top w:val="none" w:sz="0" w:space="0" w:color="auto"/>
        <w:left w:val="none" w:sz="0" w:space="0" w:color="auto"/>
        <w:bottom w:val="none" w:sz="0" w:space="0" w:color="auto"/>
        <w:right w:val="none" w:sz="0" w:space="0" w:color="auto"/>
      </w:divBdr>
    </w:div>
    <w:div w:id="117842280">
      <w:bodyDiv w:val="1"/>
      <w:marLeft w:val="0"/>
      <w:marRight w:val="0"/>
      <w:marTop w:val="0"/>
      <w:marBottom w:val="0"/>
      <w:divBdr>
        <w:top w:val="none" w:sz="0" w:space="0" w:color="auto"/>
        <w:left w:val="none" w:sz="0" w:space="0" w:color="auto"/>
        <w:bottom w:val="none" w:sz="0" w:space="0" w:color="auto"/>
        <w:right w:val="none" w:sz="0" w:space="0" w:color="auto"/>
      </w:divBdr>
    </w:div>
    <w:div w:id="118188402">
      <w:bodyDiv w:val="1"/>
      <w:marLeft w:val="0"/>
      <w:marRight w:val="0"/>
      <w:marTop w:val="0"/>
      <w:marBottom w:val="0"/>
      <w:divBdr>
        <w:top w:val="none" w:sz="0" w:space="0" w:color="auto"/>
        <w:left w:val="none" w:sz="0" w:space="0" w:color="auto"/>
        <w:bottom w:val="none" w:sz="0" w:space="0" w:color="auto"/>
        <w:right w:val="none" w:sz="0" w:space="0" w:color="auto"/>
      </w:divBdr>
    </w:div>
    <w:div w:id="203955633">
      <w:bodyDiv w:val="1"/>
      <w:marLeft w:val="0"/>
      <w:marRight w:val="0"/>
      <w:marTop w:val="0"/>
      <w:marBottom w:val="0"/>
      <w:divBdr>
        <w:top w:val="none" w:sz="0" w:space="0" w:color="auto"/>
        <w:left w:val="none" w:sz="0" w:space="0" w:color="auto"/>
        <w:bottom w:val="none" w:sz="0" w:space="0" w:color="auto"/>
        <w:right w:val="none" w:sz="0" w:space="0" w:color="auto"/>
      </w:divBdr>
    </w:div>
    <w:div w:id="207038596">
      <w:bodyDiv w:val="1"/>
      <w:marLeft w:val="0"/>
      <w:marRight w:val="0"/>
      <w:marTop w:val="0"/>
      <w:marBottom w:val="0"/>
      <w:divBdr>
        <w:top w:val="none" w:sz="0" w:space="0" w:color="auto"/>
        <w:left w:val="none" w:sz="0" w:space="0" w:color="auto"/>
        <w:bottom w:val="none" w:sz="0" w:space="0" w:color="auto"/>
        <w:right w:val="none" w:sz="0" w:space="0" w:color="auto"/>
      </w:divBdr>
    </w:div>
    <w:div w:id="216625776">
      <w:bodyDiv w:val="1"/>
      <w:marLeft w:val="0"/>
      <w:marRight w:val="0"/>
      <w:marTop w:val="0"/>
      <w:marBottom w:val="0"/>
      <w:divBdr>
        <w:top w:val="none" w:sz="0" w:space="0" w:color="auto"/>
        <w:left w:val="none" w:sz="0" w:space="0" w:color="auto"/>
        <w:bottom w:val="none" w:sz="0" w:space="0" w:color="auto"/>
        <w:right w:val="none" w:sz="0" w:space="0" w:color="auto"/>
      </w:divBdr>
    </w:div>
    <w:div w:id="294485612">
      <w:bodyDiv w:val="1"/>
      <w:marLeft w:val="0"/>
      <w:marRight w:val="0"/>
      <w:marTop w:val="0"/>
      <w:marBottom w:val="0"/>
      <w:divBdr>
        <w:top w:val="none" w:sz="0" w:space="0" w:color="auto"/>
        <w:left w:val="none" w:sz="0" w:space="0" w:color="auto"/>
        <w:bottom w:val="none" w:sz="0" w:space="0" w:color="auto"/>
        <w:right w:val="none" w:sz="0" w:space="0" w:color="auto"/>
      </w:divBdr>
    </w:div>
    <w:div w:id="308827472">
      <w:bodyDiv w:val="1"/>
      <w:marLeft w:val="0"/>
      <w:marRight w:val="0"/>
      <w:marTop w:val="0"/>
      <w:marBottom w:val="0"/>
      <w:divBdr>
        <w:top w:val="none" w:sz="0" w:space="0" w:color="auto"/>
        <w:left w:val="none" w:sz="0" w:space="0" w:color="auto"/>
        <w:bottom w:val="none" w:sz="0" w:space="0" w:color="auto"/>
        <w:right w:val="none" w:sz="0" w:space="0" w:color="auto"/>
      </w:divBdr>
    </w:div>
    <w:div w:id="339235684">
      <w:bodyDiv w:val="1"/>
      <w:marLeft w:val="0"/>
      <w:marRight w:val="0"/>
      <w:marTop w:val="0"/>
      <w:marBottom w:val="0"/>
      <w:divBdr>
        <w:top w:val="none" w:sz="0" w:space="0" w:color="auto"/>
        <w:left w:val="none" w:sz="0" w:space="0" w:color="auto"/>
        <w:bottom w:val="none" w:sz="0" w:space="0" w:color="auto"/>
        <w:right w:val="none" w:sz="0" w:space="0" w:color="auto"/>
      </w:divBdr>
    </w:div>
    <w:div w:id="379090241">
      <w:bodyDiv w:val="1"/>
      <w:marLeft w:val="0"/>
      <w:marRight w:val="0"/>
      <w:marTop w:val="0"/>
      <w:marBottom w:val="0"/>
      <w:divBdr>
        <w:top w:val="none" w:sz="0" w:space="0" w:color="auto"/>
        <w:left w:val="none" w:sz="0" w:space="0" w:color="auto"/>
        <w:bottom w:val="none" w:sz="0" w:space="0" w:color="auto"/>
        <w:right w:val="none" w:sz="0" w:space="0" w:color="auto"/>
      </w:divBdr>
    </w:div>
    <w:div w:id="417018020">
      <w:bodyDiv w:val="1"/>
      <w:marLeft w:val="0"/>
      <w:marRight w:val="0"/>
      <w:marTop w:val="0"/>
      <w:marBottom w:val="0"/>
      <w:divBdr>
        <w:top w:val="none" w:sz="0" w:space="0" w:color="auto"/>
        <w:left w:val="none" w:sz="0" w:space="0" w:color="auto"/>
        <w:bottom w:val="none" w:sz="0" w:space="0" w:color="auto"/>
        <w:right w:val="none" w:sz="0" w:space="0" w:color="auto"/>
      </w:divBdr>
    </w:div>
    <w:div w:id="471750327">
      <w:bodyDiv w:val="1"/>
      <w:marLeft w:val="0"/>
      <w:marRight w:val="0"/>
      <w:marTop w:val="0"/>
      <w:marBottom w:val="0"/>
      <w:divBdr>
        <w:top w:val="none" w:sz="0" w:space="0" w:color="auto"/>
        <w:left w:val="none" w:sz="0" w:space="0" w:color="auto"/>
        <w:bottom w:val="none" w:sz="0" w:space="0" w:color="auto"/>
        <w:right w:val="none" w:sz="0" w:space="0" w:color="auto"/>
      </w:divBdr>
    </w:div>
    <w:div w:id="475296132">
      <w:bodyDiv w:val="1"/>
      <w:marLeft w:val="0"/>
      <w:marRight w:val="0"/>
      <w:marTop w:val="0"/>
      <w:marBottom w:val="0"/>
      <w:divBdr>
        <w:top w:val="none" w:sz="0" w:space="0" w:color="auto"/>
        <w:left w:val="none" w:sz="0" w:space="0" w:color="auto"/>
        <w:bottom w:val="none" w:sz="0" w:space="0" w:color="auto"/>
        <w:right w:val="none" w:sz="0" w:space="0" w:color="auto"/>
      </w:divBdr>
    </w:div>
    <w:div w:id="532422143">
      <w:bodyDiv w:val="1"/>
      <w:marLeft w:val="0"/>
      <w:marRight w:val="0"/>
      <w:marTop w:val="0"/>
      <w:marBottom w:val="0"/>
      <w:divBdr>
        <w:top w:val="none" w:sz="0" w:space="0" w:color="auto"/>
        <w:left w:val="none" w:sz="0" w:space="0" w:color="auto"/>
        <w:bottom w:val="none" w:sz="0" w:space="0" w:color="auto"/>
        <w:right w:val="none" w:sz="0" w:space="0" w:color="auto"/>
      </w:divBdr>
    </w:div>
    <w:div w:id="579025945">
      <w:bodyDiv w:val="1"/>
      <w:marLeft w:val="0"/>
      <w:marRight w:val="0"/>
      <w:marTop w:val="0"/>
      <w:marBottom w:val="0"/>
      <w:divBdr>
        <w:top w:val="none" w:sz="0" w:space="0" w:color="auto"/>
        <w:left w:val="none" w:sz="0" w:space="0" w:color="auto"/>
        <w:bottom w:val="none" w:sz="0" w:space="0" w:color="auto"/>
        <w:right w:val="none" w:sz="0" w:space="0" w:color="auto"/>
      </w:divBdr>
    </w:div>
    <w:div w:id="603346272">
      <w:bodyDiv w:val="1"/>
      <w:marLeft w:val="0"/>
      <w:marRight w:val="0"/>
      <w:marTop w:val="0"/>
      <w:marBottom w:val="0"/>
      <w:divBdr>
        <w:top w:val="none" w:sz="0" w:space="0" w:color="auto"/>
        <w:left w:val="none" w:sz="0" w:space="0" w:color="auto"/>
        <w:bottom w:val="none" w:sz="0" w:space="0" w:color="auto"/>
        <w:right w:val="none" w:sz="0" w:space="0" w:color="auto"/>
      </w:divBdr>
    </w:div>
    <w:div w:id="683749978">
      <w:bodyDiv w:val="1"/>
      <w:marLeft w:val="0"/>
      <w:marRight w:val="0"/>
      <w:marTop w:val="0"/>
      <w:marBottom w:val="0"/>
      <w:divBdr>
        <w:top w:val="none" w:sz="0" w:space="0" w:color="auto"/>
        <w:left w:val="none" w:sz="0" w:space="0" w:color="auto"/>
        <w:bottom w:val="none" w:sz="0" w:space="0" w:color="auto"/>
        <w:right w:val="none" w:sz="0" w:space="0" w:color="auto"/>
      </w:divBdr>
    </w:div>
    <w:div w:id="702024686">
      <w:bodyDiv w:val="1"/>
      <w:marLeft w:val="0"/>
      <w:marRight w:val="0"/>
      <w:marTop w:val="0"/>
      <w:marBottom w:val="0"/>
      <w:divBdr>
        <w:top w:val="none" w:sz="0" w:space="0" w:color="auto"/>
        <w:left w:val="none" w:sz="0" w:space="0" w:color="auto"/>
        <w:bottom w:val="none" w:sz="0" w:space="0" w:color="auto"/>
        <w:right w:val="none" w:sz="0" w:space="0" w:color="auto"/>
      </w:divBdr>
    </w:div>
    <w:div w:id="704913894">
      <w:bodyDiv w:val="1"/>
      <w:marLeft w:val="0"/>
      <w:marRight w:val="0"/>
      <w:marTop w:val="0"/>
      <w:marBottom w:val="0"/>
      <w:divBdr>
        <w:top w:val="none" w:sz="0" w:space="0" w:color="auto"/>
        <w:left w:val="none" w:sz="0" w:space="0" w:color="auto"/>
        <w:bottom w:val="none" w:sz="0" w:space="0" w:color="auto"/>
        <w:right w:val="none" w:sz="0" w:space="0" w:color="auto"/>
      </w:divBdr>
    </w:div>
    <w:div w:id="735662405">
      <w:bodyDiv w:val="1"/>
      <w:marLeft w:val="0"/>
      <w:marRight w:val="0"/>
      <w:marTop w:val="0"/>
      <w:marBottom w:val="0"/>
      <w:divBdr>
        <w:top w:val="none" w:sz="0" w:space="0" w:color="auto"/>
        <w:left w:val="none" w:sz="0" w:space="0" w:color="auto"/>
        <w:bottom w:val="none" w:sz="0" w:space="0" w:color="auto"/>
        <w:right w:val="none" w:sz="0" w:space="0" w:color="auto"/>
      </w:divBdr>
    </w:div>
    <w:div w:id="744449674">
      <w:bodyDiv w:val="1"/>
      <w:marLeft w:val="0"/>
      <w:marRight w:val="0"/>
      <w:marTop w:val="0"/>
      <w:marBottom w:val="0"/>
      <w:divBdr>
        <w:top w:val="none" w:sz="0" w:space="0" w:color="auto"/>
        <w:left w:val="none" w:sz="0" w:space="0" w:color="auto"/>
        <w:bottom w:val="none" w:sz="0" w:space="0" w:color="auto"/>
        <w:right w:val="none" w:sz="0" w:space="0" w:color="auto"/>
      </w:divBdr>
    </w:div>
    <w:div w:id="769738586">
      <w:bodyDiv w:val="1"/>
      <w:marLeft w:val="0"/>
      <w:marRight w:val="0"/>
      <w:marTop w:val="0"/>
      <w:marBottom w:val="0"/>
      <w:divBdr>
        <w:top w:val="none" w:sz="0" w:space="0" w:color="auto"/>
        <w:left w:val="none" w:sz="0" w:space="0" w:color="auto"/>
        <w:bottom w:val="none" w:sz="0" w:space="0" w:color="auto"/>
        <w:right w:val="none" w:sz="0" w:space="0" w:color="auto"/>
      </w:divBdr>
    </w:div>
    <w:div w:id="810096245">
      <w:bodyDiv w:val="1"/>
      <w:marLeft w:val="0"/>
      <w:marRight w:val="0"/>
      <w:marTop w:val="0"/>
      <w:marBottom w:val="0"/>
      <w:divBdr>
        <w:top w:val="none" w:sz="0" w:space="0" w:color="auto"/>
        <w:left w:val="none" w:sz="0" w:space="0" w:color="auto"/>
        <w:bottom w:val="none" w:sz="0" w:space="0" w:color="auto"/>
        <w:right w:val="none" w:sz="0" w:space="0" w:color="auto"/>
      </w:divBdr>
    </w:div>
    <w:div w:id="811141539">
      <w:bodyDiv w:val="1"/>
      <w:marLeft w:val="0"/>
      <w:marRight w:val="0"/>
      <w:marTop w:val="0"/>
      <w:marBottom w:val="0"/>
      <w:divBdr>
        <w:top w:val="none" w:sz="0" w:space="0" w:color="auto"/>
        <w:left w:val="none" w:sz="0" w:space="0" w:color="auto"/>
        <w:bottom w:val="none" w:sz="0" w:space="0" w:color="auto"/>
        <w:right w:val="none" w:sz="0" w:space="0" w:color="auto"/>
      </w:divBdr>
    </w:div>
    <w:div w:id="828523569">
      <w:bodyDiv w:val="1"/>
      <w:marLeft w:val="0"/>
      <w:marRight w:val="0"/>
      <w:marTop w:val="0"/>
      <w:marBottom w:val="0"/>
      <w:divBdr>
        <w:top w:val="none" w:sz="0" w:space="0" w:color="auto"/>
        <w:left w:val="none" w:sz="0" w:space="0" w:color="auto"/>
        <w:bottom w:val="none" w:sz="0" w:space="0" w:color="auto"/>
        <w:right w:val="none" w:sz="0" w:space="0" w:color="auto"/>
      </w:divBdr>
    </w:div>
    <w:div w:id="862590224">
      <w:bodyDiv w:val="1"/>
      <w:marLeft w:val="0"/>
      <w:marRight w:val="0"/>
      <w:marTop w:val="0"/>
      <w:marBottom w:val="0"/>
      <w:divBdr>
        <w:top w:val="none" w:sz="0" w:space="0" w:color="auto"/>
        <w:left w:val="none" w:sz="0" w:space="0" w:color="auto"/>
        <w:bottom w:val="none" w:sz="0" w:space="0" w:color="auto"/>
        <w:right w:val="none" w:sz="0" w:space="0" w:color="auto"/>
      </w:divBdr>
    </w:div>
    <w:div w:id="878587375">
      <w:bodyDiv w:val="1"/>
      <w:marLeft w:val="0"/>
      <w:marRight w:val="0"/>
      <w:marTop w:val="0"/>
      <w:marBottom w:val="0"/>
      <w:divBdr>
        <w:top w:val="none" w:sz="0" w:space="0" w:color="auto"/>
        <w:left w:val="none" w:sz="0" w:space="0" w:color="auto"/>
        <w:bottom w:val="none" w:sz="0" w:space="0" w:color="auto"/>
        <w:right w:val="none" w:sz="0" w:space="0" w:color="auto"/>
      </w:divBdr>
    </w:div>
    <w:div w:id="908734546">
      <w:bodyDiv w:val="1"/>
      <w:marLeft w:val="0"/>
      <w:marRight w:val="0"/>
      <w:marTop w:val="0"/>
      <w:marBottom w:val="0"/>
      <w:divBdr>
        <w:top w:val="none" w:sz="0" w:space="0" w:color="auto"/>
        <w:left w:val="none" w:sz="0" w:space="0" w:color="auto"/>
        <w:bottom w:val="none" w:sz="0" w:space="0" w:color="auto"/>
        <w:right w:val="none" w:sz="0" w:space="0" w:color="auto"/>
      </w:divBdr>
    </w:div>
    <w:div w:id="920676074">
      <w:bodyDiv w:val="1"/>
      <w:marLeft w:val="0"/>
      <w:marRight w:val="0"/>
      <w:marTop w:val="0"/>
      <w:marBottom w:val="0"/>
      <w:divBdr>
        <w:top w:val="none" w:sz="0" w:space="0" w:color="auto"/>
        <w:left w:val="none" w:sz="0" w:space="0" w:color="auto"/>
        <w:bottom w:val="none" w:sz="0" w:space="0" w:color="auto"/>
        <w:right w:val="none" w:sz="0" w:space="0" w:color="auto"/>
      </w:divBdr>
    </w:div>
    <w:div w:id="991836401">
      <w:bodyDiv w:val="1"/>
      <w:marLeft w:val="0"/>
      <w:marRight w:val="0"/>
      <w:marTop w:val="0"/>
      <w:marBottom w:val="0"/>
      <w:divBdr>
        <w:top w:val="none" w:sz="0" w:space="0" w:color="auto"/>
        <w:left w:val="none" w:sz="0" w:space="0" w:color="auto"/>
        <w:bottom w:val="none" w:sz="0" w:space="0" w:color="auto"/>
        <w:right w:val="none" w:sz="0" w:space="0" w:color="auto"/>
      </w:divBdr>
    </w:div>
    <w:div w:id="1036544848">
      <w:bodyDiv w:val="1"/>
      <w:marLeft w:val="0"/>
      <w:marRight w:val="0"/>
      <w:marTop w:val="0"/>
      <w:marBottom w:val="0"/>
      <w:divBdr>
        <w:top w:val="none" w:sz="0" w:space="0" w:color="auto"/>
        <w:left w:val="none" w:sz="0" w:space="0" w:color="auto"/>
        <w:bottom w:val="none" w:sz="0" w:space="0" w:color="auto"/>
        <w:right w:val="none" w:sz="0" w:space="0" w:color="auto"/>
      </w:divBdr>
    </w:div>
    <w:div w:id="1079133627">
      <w:bodyDiv w:val="1"/>
      <w:marLeft w:val="0"/>
      <w:marRight w:val="0"/>
      <w:marTop w:val="0"/>
      <w:marBottom w:val="0"/>
      <w:divBdr>
        <w:top w:val="none" w:sz="0" w:space="0" w:color="auto"/>
        <w:left w:val="none" w:sz="0" w:space="0" w:color="auto"/>
        <w:bottom w:val="none" w:sz="0" w:space="0" w:color="auto"/>
        <w:right w:val="none" w:sz="0" w:space="0" w:color="auto"/>
      </w:divBdr>
    </w:div>
    <w:div w:id="1115834795">
      <w:bodyDiv w:val="1"/>
      <w:marLeft w:val="0"/>
      <w:marRight w:val="0"/>
      <w:marTop w:val="0"/>
      <w:marBottom w:val="0"/>
      <w:divBdr>
        <w:top w:val="none" w:sz="0" w:space="0" w:color="auto"/>
        <w:left w:val="none" w:sz="0" w:space="0" w:color="auto"/>
        <w:bottom w:val="none" w:sz="0" w:space="0" w:color="auto"/>
        <w:right w:val="none" w:sz="0" w:space="0" w:color="auto"/>
      </w:divBdr>
    </w:div>
    <w:div w:id="1147238688">
      <w:bodyDiv w:val="1"/>
      <w:marLeft w:val="0"/>
      <w:marRight w:val="0"/>
      <w:marTop w:val="0"/>
      <w:marBottom w:val="0"/>
      <w:divBdr>
        <w:top w:val="none" w:sz="0" w:space="0" w:color="auto"/>
        <w:left w:val="none" w:sz="0" w:space="0" w:color="auto"/>
        <w:bottom w:val="none" w:sz="0" w:space="0" w:color="auto"/>
        <w:right w:val="none" w:sz="0" w:space="0" w:color="auto"/>
      </w:divBdr>
    </w:div>
    <w:div w:id="1191380238">
      <w:bodyDiv w:val="1"/>
      <w:marLeft w:val="0"/>
      <w:marRight w:val="0"/>
      <w:marTop w:val="0"/>
      <w:marBottom w:val="0"/>
      <w:divBdr>
        <w:top w:val="none" w:sz="0" w:space="0" w:color="auto"/>
        <w:left w:val="none" w:sz="0" w:space="0" w:color="auto"/>
        <w:bottom w:val="none" w:sz="0" w:space="0" w:color="auto"/>
        <w:right w:val="none" w:sz="0" w:space="0" w:color="auto"/>
      </w:divBdr>
    </w:div>
    <w:div w:id="1223516600">
      <w:bodyDiv w:val="1"/>
      <w:marLeft w:val="0"/>
      <w:marRight w:val="0"/>
      <w:marTop w:val="0"/>
      <w:marBottom w:val="0"/>
      <w:divBdr>
        <w:top w:val="none" w:sz="0" w:space="0" w:color="auto"/>
        <w:left w:val="none" w:sz="0" w:space="0" w:color="auto"/>
        <w:bottom w:val="none" w:sz="0" w:space="0" w:color="auto"/>
        <w:right w:val="none" w:sz="0" w:space="0" w:color="auto"/>
      </w:divBdr>
    </w:div>
    <w:div w:id="1230532809">
      <w:bodyDiv w:val="1"/>
      <w:marLeft w:val="0"/>
      <w:marRight w:val="0"/>
      <w:marTop w:val="0"/>
      <w:marBottom w:val="0"/>
      <w:divBdr>
        <w:top w:val="none" w:sz="0" w:space="0" w:color="auto"/>
        <w:left w:val="none" w:sz="0" w:space="0" w:color="auto"/>
        <w:bottom w:val="none" w:sz="0" w:space="0" w:color="auto"/>
        <w:right w:val="none" w:sz="0" w:space="0" w:color="auto"/>
      </w:divBdr>
    </w:div>
    <w:div w:id="1235049129">
      <w:bodyDiv w:val="1"/>
      <w:marLeft w:val="0"/>
      <w:marRight w:val="0"/>
      <w:marTop w:val="0"/>
      <w:marBottom w:val="0"/>
      <w:divBdr>
        <w:top w:val="none" w:sz="0" w:space="0" w:color="auto"/>
        <w:left w:val="none" w:sz="0" w:space="0" w:color="auto"/>
        <w:bottom w:val="none" w:sz="0" w:space="0" w:color="auto"/>
        <w:right w:val="none" w:sz="0" w:space="0" w:color="auto"/>
      </w:divBdr>
    </w:div>
    <w:div w:id="1250309310">
      <w:bodyDiv w:val="1"/>
      <w:marLeft w:val="0"/>
      <w:marRight w:val="0"/>
      <w:marTop w:val="0"/>
      <w:marBottom w:val="0"/>
      <w:divBdr>
        <w:top w:val="none" w:sz="0" w:space="0" w:color="auto"/>
        <w:left w:val="none" w:sz="0" w:space="0" w:color="auto"/>
        <w:bottom w:val="none" w:sz="0" w:space="0" w:color="auto"/>
        <w:right w:val="none" w:sz="0" w:space="0" w:color="auto"/>
      </w:divBdr>
    </w:div>
    <w:div w:id="1265578704">
      <w:bodyDiv w:val="1"/>
      <w:marLeft w:val="0"/>
      <w:marRight w:val="0"/>
      <w:marTop w:val="0"/>
      <w:marBottom w:val="0"/>
      <w:divBdr>
        <w:top w:val="none" w:sz="0" w:space="0" w:color="auto"/>
        <w:left w:val="none" w:sz="0" w:space="0" w:color="auto"/>
        <w:bottom w:val="none" w:sz="0" w:space="0" w:color="auto"/>
        <w:right w:val="none" w:sz="0" w:space="0" w:color="auto"/>
      </w:divBdr>
    </w:div>
    <w:div w:id="1271821324">
      <w:bodyDiv w:val="1"/>
      <w:marLeft w:val="0"/>
      <w:marRight w:val="0"/>
      <w:marTop w:val="0"/>
      <w:marBottom w:val="0"/>
      <w:divBdr>
        <w:top w:val="none" w:sz="0" w:space="0" w:color="auto"/>
        <w:left w:val="none" w:sz="0" w:space="0" w:color="auto"/>
        <w:bottom w:val="none" w:sz="0" w:space="0" w:color="auto"/>
        <w:right w:val="none" w:sz="0" w:space="0" w:color="auto"/>
      </w:divBdr>
    </w:div>
    <w:div w:id="1285232915">
      <w:bodyDiv w:val="1"/>
      <w:marLeft w:val="0"/>
      <w:marRight w:val="0"/>
      <w:marTop w:val="0"/>
      <w:marBottom w:val="0"/>
      <w:divBdr>
        <w:top w:val="none" w:sz="0" w:space="0" w:color="auto"/>
        <w:left w:val="none" w:sz="0" w:space="0" w:color="auto"/>
        <w:bottom w:val="none" w:sz="0" w:space="0" w:color="auto"/>
        <w:right w:val="none" w:sz="0" w:space="0" w:color="auto"/>
      </w:divBdr>
    </w:div>
    <w:div w:id="1340427317">
      <w:bodyDiv w:val="1"/>
      <w:marLeft w:val="0"/>
      <w:marRight w:val="0"/>
      <w:marTop w:val="0"/>
      <w:marBottom w:val="0"/>
      <w:divBdr>
        <w:top w:val="none" w:sz="0" w:space="0" w:color="auto"/>
        <w:left w:val="none" w:sz="0" w:space="0" w:color="auto"/>
        <w:bottom w:val="none" w:sz="0" w:space="0" w:color="auto"/>
        <w:right w:val="none" w:sz="0" w:space="0" w:color="auto"/>
      </w:divBdr>
    </w:div>
    <w:div w:id="1350327727">
      <w:bodyDiv w:val="1"/>
      <w:marLeft w:val="0"/>
      <w:marRight w:val="0"/>
      <w:marTop w:val="0"/>
      <w:marBottom w:val="0"/>
      <w:divBdr>
        <w:top w:val="none" w:sz="0" w:space="0" w:color="auto"/>
        <w:left w:val="none" w:sz="0" w:space="0" w:color="auto"/>
        <w:bottom w:val="none" w:sz="0" w:space="0" w:color="auto"/>
        <w:right w:val="none" w:sz="0" w:space="0" w:color="auto"/>
      </w:divBdr>
    </w:div>
    <w:div w:id="1396509594">
      <w:bodyDiv w:val="1"/>
      <w:marLeft w:val="0"/>
      <w:marRight w:val="0"/>
      <w:marTop w:val="0"/>
      <w:marBottom w:val="0"/>
      <w:divBdr>
        <w:top w:val="none" w:sz="0" w:space="0" w:color="auto"/>
        <w:left w:val="none" w:sz="0" w:space="0" w:color="auto"/>
        <w:bottom w:val="none" w:sz="0" w:space="0" w:color="auto"/>
        <w:right w:val="none" w:sz="0" w:space="0" w:color="auto"/>
      </w:divBdr>
    </w:div>
    <w:div w:id="1446386162">
      <w:bodyDiv w:val="1"/>
      <w:marLeft w:val="0"/>
      <w:marRight w:val="0"/>
      <w:marTop w:val="0"/>
      <w:marBottom w:val="0"/>
      <w:divBdr>
        <w:top w:val="none" w:sz="0" w:space="0" w:color="auto"/>
        <w:left w:val="none" w:sz="0" w:space="0" w:color="auto"/>
        <w:bottom w:val="none" w:sz="0" w:space="0" w:color="auto"/>
        <w:right w:val="none" w:sz="0" w:space="0" w:color="auto"/>
      </w:divBdr>
    </w:div>
    <w:div w:id="1506704901">
      <w:bodyDiv w:val="1"/>
      <w:marLeft w:val="0"/>
      <w:marRight w:val="0"/>
      <w:marTop w:val="0"/>
      <w:marBottom w:val="0"/>
      <w:divBdr>
        <w:top w:val="none" w:sz="0" w:space="0" w:color="auto"/>
        <w:left w:val="none" w:sz="0" w:space="0" w:color="auto"/>
        <w:bottom w:val="none" w:sz="0" w:space="0" w:color="auto"/>
        <w:right w:val="none" w:sz="0" w:space="0" w:color="auto"/>
      </w:divBdr>
    </w:div>
    <w:div w:id="1566181805">
      <w:bodyDiv w:val="1"/>
      <w:marLeft w:val="0"/>
      <w:marRight w:val="0"/>
      <w:marTop w:val="0"/>
      <w:marBottom w:val="0"/>
      <w:divBdr>
        <w:top w:val="none" w:sz="0" w:space="0" w:color="auto"/>
        <w:left w:val="none" w:sz="0" w:space="0" w:color="auto"/>
        <w:bottom w:val="none" w:sz="0" w:space="0" w:color="auto"/>
        <w:right w:val="none" w:sz="0" w:space="0" w:color="auto"/>
      </w:divBdr>
    </w:div>
    <w:div w:id="1656373541">
      <w:bodyDiv w:val="1"/>
      <w:marLeft w:val="0"/>
      <w:marRight w:val="0"/>
      <w:marTop w:val="0"/>
      <w:marBottom w:val="0"/>
      <w:divBdr>
        <w:top w:val="none" w:sz="0" w:space="0" w:color="auto"/>
        <w:left w:val="none" w:sz="0" w:space="0" w:color="auto"/>
        <w:bottom w:val="none" w:sz="0" w:space="0" w:color="auto"/>
        <w:right w:val="none" w:sz="0" w:space="0" w:color="auto"/>
      </w:divBdr>
    </w:div>
    <w:div w:id="1692947129">
      <w:bodyDiv w:val="1"/>
      <w:marLeft w:val="0"/>
      <w:marRight w:val="0"/>
      <w:marTop w:val="0"/>
      <w:marBottom w:val="0"/>
      <w:divBdr>
        <w:top w:val="none" w:sz="0" w:space="0" w:color="auto"/>
        <w:left w:val="none" w:sz="0" w:space="0" w:color="auto"/>
        <w:bottom w:val="none" w:sz="0" w:space="0" w:color="auto"/>
        <w:right w:val="none" w:sz="0" w:space="0" w:color="auto"/>
      </w:divBdr>
    </w:div>
    <w:div w:id="1710764415">
      <w:bodyDiv w:val="1"/>
      <w:marLeft w:val="0"/>
      <w:marRight w:val="0"/>
      <w:marTop w:val="0"/>
      <w:marBottom w:val="0"/>
      <w:divBdr>
        <w:top w:val="none" w:sz="0" w:space="0" w:color="auto"/>
        <w:left w:val="none" w:sz="0" w:space="0" w:color="auto"/>
        <w:bottom w:val="none" w:sz="0" w:space="0" w:color="auto"/>
        <w:right w:val="none" w:sz="0" w:space="0" w:color="auto"/>
      </w:divBdr>
    </w:div>
    <w:div w:id="1760910697">
      <w:bodyDiv w:val="1"/>
      <w:marLeft w:val="0"/>
      <w:marRight w:val="0"/>
      <w:marTop w:val="0"/>
      <w:marBottom w:val="0"/>
      <w:divBdr>
        <w:top w:val="none" w:sz="0" w:space="0" w:color="auto"/>
        <w:left w:val="none" w:sz="0" w:space="0" w:color="auto"/>
        <w:bottom w:val="none" w:sz="0" w:space="0" w:color="auto"/>
        <w:right w:val="none" w:sz="0" w:space="0" w:color="auto"/>
      </w:divBdr>
    </w:div>
    <w:div w:id="1771390404">
      <w:bodyDiv w:val="1"/>
      <w:marLeft w:val="0"/>
      <w:marRight w:val="0"/>
      <w:marTop w:val="0"/>
      <w:marBottom w:val="0"/>
      <w:divBdr>
        <w:top w:val="none" w:sz="0" w:space="0" w:color="auto"/>
        <w:left w:val="none" w:sz="0" w:space="0" w:color="auto"/>
        <w:bottom w:val="none" w:sz="0" w:space="0" w:color="auto"/>
        <w:right w:val="none" w:sz="0" w:space="0" w:color="auto"/>
      </w:divBdr>
    </w:div>
    <w:div w:id="1851798802">
      <w:bodyDiv w:val="1"/>
      <w:marLeft w:val="0"/>
      <w:marRight w:val="0"/>
      <w:marTop w:val="0"/>
      <w:marBottom w:val="0"/>
      <w:divBdr>
        <w:top w:val="none" w:sz="0" w:space="0" w:color="auto"/>
        <w:left w:val="none" w:sz="0" w:space="0" w:color="auto"/>
        <w:bottom w:val="none" w:sz="0" w:space="0" w:color="auto"/>
        <w:right w:val="none" w:sz="0" w:space="0" w:color="auto"/>
      </w:divBdr>
    </w:div>
    <w:div w:id="1896115946">
      <w:bodyDiv w:val="1"/>
      <w:marLeft w:val="0"/>
      <w:marRight w:val="0"/>
      <w:marTop w:val="0"/>
      <w:marBottom w:val="0"/>
      <w:divBdr>
        <w:top w:val="none" w:sz="0" w:space="0" w:color="auto"/>
        <w:left w:val="none" w:sz="0" w:space="0" w:color="auto"/>
        <w:bottom w:val="none" w:sz="0" w:space="0" w:color="auto"/>
        <w:right w:val="none" w:sz="0" w:space="0" w:color="auto"/>
      </w:divBdr>
    </w:div>
    <w:div w:id="1897085847">
      <w:bodyDiv w:val="1"/>
      <w:marLeft w:val="0"/>
      <w:marRight w:val="0"/>
      <w:marTop w:val="0"/>
      <w:marBottom w:val="0"/>
      <w:divBdr>
        <w:top w:val="none" w:sz="0" w:space="0" w:color="auto"/>
        <w:left w:val="none" w:sz="0" w:space="0" w:color="auto"/>
        <w:bottom w:val="none" w:sz="0" w:space="0" w:color="auto"/>
        <w:right w:val="none" w:sz="0" w:space="0" w:color="auto"/>
      </w:divBdr>
    </w:div>
    <w:div w:id="2006392306">
      <w:bodyDiv w:val="1"/>
      <w:marLeft w:val="0"/>
      <w:marRight w:val="0"/>
      <w:marTop w:val="0"/>
      <w:marBottom w:val="0"/>
      <w:divBdr>
        <w:top w:val="none" w:sz="0" w:space="0" w:color="auto"/>
        <w:left w:val="none" w:sz="0" w:space="0" w:color="auto"/>
        <w:bottom w:val="none" w:sz="0" w:space="0" w:color="auto"/>
        <w:right w:val="none" w:sz="0" w:space="0" w:color="auto"/>
      </w:divBdr>
    </w:div>
    <w:div w:id="2018845167">
      <w:bodyDiv w:val="1"/>
      <w:marLeft w:val="0"/>
      <w:marRight w:val="0"/>
      <w:marTop w:val="0"/>
      <w:marBottom w:val="0"/>
      <w:divBdr>
        <w:top w:val="none" w:sz="0" w:space="0" w:color="auto"/>
        <w:left w:val="none" w:sz="0" w:space="0" w:color="auto"/>
        <w:bottom w:val="none" w:sz="0" w:space="0" w:color="auto"/>
        <w:right w:val="none" w:sz="0" w:space="0" w:color="auto"/>
      </w:divBdr>
    </w:div>
    <w:div w:id="2039889841">
      <w:bodyDiv w:val="1"/>
      <w:marLeft w:val="0"/>
      <w:marRight w:val="0"/>
      <w:marTop w:val="0"/>
      <w:marBottom w:val="0"/>
      <w:divBdr>
        <w:top w:val="none" w:sz="0" w:space="0" w:color="auto"/>
        <w:left w:val="none" w:sz="0" w:space="0" w:color="auto"/>
        <w:bottom w:val="none" w:sz="0" w:space="0" w:color="auto"/>
        <w:right w:val="none" w:sz="0" w:space="0" w:color="auto"/>
      </w:divBdr>
    </w:div>
    <w:div w:id="21053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net.au/advocacy/submissions/changing-driving-laws-support-automated-vehic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tsb.gov.au/publications/2017/annual-report-2016-1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tc.gov.au/Media/Reports/(C07CE648-0FE8-5EA2-56DF-11520D103320).pdf" TargetMode="External"/><Relationship Id="rId4" Type="http://schemas.openxmlformats.org/officeDocument/2006/relationships/webSettings" Target="webSettings.xml"/><Relationship Id="rId9" Type="http://schemas.openxmlformats.org/officeDocument/2006/relationships/hyperlink" Target="http://www.truck.net.au/advocacy/submissions/regulatory-options-assure-automated-vehicle-safety-austral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2018-07-12T01:57:00Z</dcterms:created>
  <dcterms:modified xsi:type="dcterms:W3CDTF">2018-07-12T01:57:00Z</dcterms:modified>
</cp:coreProperties>
</file>