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F0" w:rsidRPr="009D61F0" w:rsidRDefault="009D61F0" w:rsidP="009D61F0">
      <w:pPr>
        <w:spacing w:before="120" w:after="60" w:line="240" w:lineRule="auto"/>
        <w:jc w:val="center"/>
        <w:outlineLvl w:val="0"/>
        <w:rPr>
          <w:rFonts w:ascii="Calibri" w:eastAsia="Times New Roman" w:hAnsi="Calibri" w:cs="Times New Roman"/>
          <w:b/>
          <w:bCs/>
          <w:kern w:val="28"/>
          <w:sz w:val="28"/>
          <w:szCs w:val="32"/>
        </w:rPr>
      </w:pPr>
      <w:r w:rsidRPr="009D61F0">
        <w:rPr>
          <w:rFonts w:ascii="Calibri" w:eastAsia="Times New Roman" w:hAnsi="Calibri" w:cs="Times New Roman"/>
          <w:b/>
          <w:bCs/>
          <w:kern w:val="28"/>
          <w:sz w:val="28"/>
          <w:szCs w:val="32"/>
        </w:rPr>
        <w:t>Department of Infrastructure and Regional Development</w:t>
      </w:r>
    </w:p>
    <w:p w:rsidR="009D61F0" w:rsidRPr="009D61F0" w:rsidRDefault="009D61F0" w:rsidP="009D61F0">
      <w:pPr>
        <w:spacing w:before="120" w:after="60" w:line="240" w:lineRule="auto"/>
        <w:jc w:val="center"/>
        <w:outlineLvl w:val="0"/>
        <w:rPr>
          <w:rFonts w:ascii="Calibri" w:eastAsia="Times New Roman" w:hAnsi="Calibri" w:cs="Times New Roman"/>
          <w:b/>
          <w:bCs/>
          <w:kern w:val="28"/>
          <w:sz w:val="28"/>
          <w:szCs w:val="32"/>
        </w:rPr>
      </w:pPr>
      <w:r w:rsidRPr="009D61F0">
        <w:rPr>
          <w:rFonts w:ascii="Calibri" w:eastAsia="Times New Roman" w:hAnsi="Calibri" w:cs="Times New Roman"/>
          <w:b/>
          <w:bCs/>
          <w:kern w:val="28"/>
          <w:sz w:val="28"/>
          <w:szCs w:val="32"/>
        </w:rPr>
        <w:t>Feedback Form for Regulation Impact Statement</w:t>
      </w:r>
    </w:p>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spacing w:after="0" w:line="240" w:lineRule="auto"/>
        <w:jc w:val="center"/>
        <w:rPr>
          <w:rFonts w:ascii="Calibri" w:eastAsia="Calibri" w:hAnsi="Calibri" w:cs="Times New Roman"/>
          <w:sz w:val="26"/>
          <w:szCs w:val="26"/>
        </w:rPr>
      </w:pPr>
      <w:r w:rsidRPr="009D61F0">
        <w:rPr>
          <w:rFonts w:ascii="Calibri" w:eastAsia="Calibri" w:hAnsi="Calibri" w:cs="Times New Roman"/>
          <w:sz w:val="26"/>
          <w:szCs w:val="26"/>
        </w:rPr>
        <w:t>To be used by all interested parties</w:t>
      </w:r>
    </w:p>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spacing w:after="0" w:line="240" w:lineRule="auto"/>
        <w:jc w:val="center"/>
        <w:rPr>
          <w:rFonts w:ascii="Calibri" w:eastAsia="Calibri" w:hAnsi="Calibri" w:cs="Times New Roman"/>
          <w:sz w:val="26"/>
          <w:szCs w:val="26"/>
        </w:rPr>
      </w:pPr>
      <w:r w:rsidRPr="009D61F0">
        <w:rPr>
          <w:rFonts w:ascii="Calibri" w:eastAsia="Calibri" w:hAnsi="Calibri" w:cs="Times New Roman"/>
          <w:sz w:val="26"/>
          <w:szCs w:val="26"/>
        </w:rPr>
        <w:t xml:space="preserve">Closing date for comments – </w:t>
      </w:r>
      <w:r w:rsidRPr="009D61F0">
        <w:rPr>
          <w:rFonts w:ascii="Calibri" w:eastAsia="Calibri" w:hAnsi="Calibri" w:cs="Times New Roman"/>
          <w:b/>
          <w:sz w:val="26"/>
          <w:szCs w:val="26"/>
        </w:rPr>
        <w:t>2 February 2018</w:t>
      </w:r>
    </w:p>
    <w:p w:rsidR="009D61F0" w:rsidRPr="009D61F0" w:rsidRDefault="009D61F0" w:rsidP="009D61F0">
      <w:pPr>
        <w:spacing w:after="0" w:line="240" w:lineRule="auto"/>
        <w:rPr>
          <w:rFonts w:ascii="Calibri" w:eastAsia="Calibri" w:hAnsi="Calibri" w:cs="Times New Roman"/>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183"/>
        <w:gridCol w:w="2166"/>
        <w:gridCol w:w="2183"/>
      </w:tblGrid>
      <w:tr w:rsidR="009D61F0" w:rsidRPr="009D61F0" w:rsidTr="00A716B8">
        <w:tc>
          <w:tcPr>
            <w:tcW w:w="2310" w:type="dxa"/>
            <w:tcBorders>
              <w:top w:val="single" w:sz="4" w:space="0" w:color="808080"/>
              <w:left w:val="single" w:sz="4" w:space="0" w:color="808080"/>
              <w:bottom w:val="nil"/>
              <w:right w:val="single" w:sz="4" w:space="0" w:color="808080"/>
            </w:tcBorders>
            <w:shd w:val="clear" w:color="auto" w:fill="auto"/>
          </w:tcPr>
          <w:p w:rsidR="009D61F0" w:rsidRPr="009D61F0" w:rsidRDefault="009D61F0" w:rsidP="009D61F0">
            <w:pPr>
              <w:spacing w:after="0" w:line="240" w:lineRule="auto"/>
              <w:outlineLvl w:val="0"/>
              <w:rPr>
                <w:rFonts w:ascii="Calibri" w:eastAsia="Calibri" w:hAnsi="Calibri" w:cs="Times New Roman"/>
              </w:rPr>
            </w:pPr>
            <w:r w:rsidRPr="009D61F0">
              <w:rPr>
                <w:rFonts w:ascii="Calibri" w:eastAsia="Calibri" w:hAnsi="Calibri" w:cs="Times New Roman"/>
              </w:rPr>
              <w:t>Report No.:</w:t>
            </w:r>
          </w:p>
        </w:tc>
        <w:tc>
          <w:tcPr>
            <w:tcW w:w="2310" w:type="dxa"/>
            <w:tcBorders>
              <w:top w:val="single" w:sz="4" w:space="0" w:color="808080"/>
              <w:left w:val="single" w:sz="4" w:space="0" w:color="808080"/>
              <w:bottom w:val="nil"/>
              <w:right w:val="single" w:sz="4" w:space="0" w:color="808080"/>
            </w:tcBorders>
            <w:shd w:val="clear" w:color="auto" w:fill="auto"/>
          </w:tcPr>
          <w:p w:rsidR="009D61F0" w:rsidRPr="009D61F0" w:rsidRDefault="009D61F0" w:rsidP="009D61F0">
            <w:pPr>
              <w:spacing w:after="0" w:line="240" w:lineRule="auto"/>
              <w:outlineLvl w:val="0"/>
              <w:rPr>
                <w:rFonts w:ascii="Calibri" w:eastAsia="Calibri" w:hAnsi="Calibri" w:cs="Times New Roman"/>
              </w:rPr>
            </w:pPr>
            <w:r w:rsidRPr="009D61F0">
              <w:rPr>
                <w:rFonts w:ascii="Calibri" w:eastAsia="Calibri" w:hAnsi="Calibri" w:cs="Times New Roman"/>
              </w:rPr>
              <w:t>Report Date:</w:t>
            </w:r>
          </w:p>
        </w:tc>
        <w:tc>
          <w:tcPr>
            <w:tcW w:w="2311" w:type="dxa"/>
            <w:tcBorders>
              <w:top w:val="single" w:sz="4" w:space="0" w:color="808080"/>
              <w:left w:val="single" w:sz="4" w:space="0" w:color="808080"/>
              <w:bottom w:val="nil"/>
              <w:right w:val="single" w:sz="4" w:space="0" w:color="808080"/>
            </w:tcBorders>
            <w:shd w:val="clear" w:color="auto" w:fill="auto"/>
          </w:tcPr>
          <w:p w:rsidR="009D61F0" w:rsidRPr="009D61F0" w:rsidRDefault="009D61F0" w:rsidP="009D61F0">
            <w:pPr>
              <w:spacing w:after="0" w:line="240" w:lineRule="auto"/>
              <w:outlineLvl w:val="0"/>
              <w:rPr>
                <w:rFonts w:ascii="Calibri" w:eastAsia="Calibri" w:hAnsi="Calibri" w:cs="Times New Roman"/>
              </w:rPr>
            </w:pPr>
            <w:r w:rsidRPr="009D61F0">
              <w:rPr>
                <w:rFonts w:ascii="Calibri" w:eastAsia="Calibri" w:hAnsi="Calibri" w:cs="Times New Roman"/>
              </w:rPr>
              <w:t>File No.:</w:t>
            </w:r>
          </w:p>
        </w:tc>
        <w:tc>
          <w:tcPr>
            <w:tcW w:w="2311" w:type="dxa"/>
            <w:tcBorders>
              <w:top w:val="single" w:sz="4" w:space="0" w:color="808080"/>
              <w:left w:val="single" w:sz="4" w:space="0" w:color="808080"/>
              <w:bottom w:val="nil"/>
              <w:right w:val="single" w:sz="4" w:space="0" w:color="808080"/>
            </w:tcBorders>
            <w:shd w:val="clear" w:color="auto" w:fill="auto"/>
          </w:tcPr>
          <w:p w:rsidR="009D61F0" w:rsidRPr="009D61F0" w:rsidRDefault="009D61F0" w:rsidP="009D61F0">
            <w:pPr>
              <w:spacing w:after="0" w:line="240" w:lineRule="auto"/>
              <w:outlineLvl w:val="0"/>
              <w:rPr>
                <w:rFonts w:ascii="Calibri" w:eastAsia="Calibri" w:hAnsi="Calibri" w:cs="Times New Roman"/>
              </w:rPr>
            </w:pPr>
            <w:r w:rsidRPr="009D61F0">
              <w:rPr>
                <w:rFonts w:ascii="Calibri" w:eastAsia="Calibri" w:hAnsi="Calibri" w:cs="Times New Roman"/>
              </w:rPr>
              <w:t>OBPR Reference No.:</w:t>
            </w:r>
          </w:p>
        </w:tc>
      </w:tr>
      <w:tr w:rsidR="009D61F0" w:rsidRPr="009D61F0" w:rsidTr="00A716B8">
        <w:tc>
          <w:tcPr>
            <w:tcW w:w="2310" w:type="dxa"/>
            <w:tcBorders>
              <w:top w:val="nil"/>
              <w:left w:val="single" w:sz="4" w:space="0" w:color="808080"/>
              <w:bottom w:val="single" w:sz="4" w:space="0" w:color="808080"/>
              <w:right w:val="single" w:sz="4" w:space="0" w:color="808080"/>
            </w:tcBorders>
            <w:shd w:val="clear" w:color="auto" w:fill="auto"/>
          </w:tcPr>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INFRASTRUCTURE VSS 03/2017</w:t>
            </w:r>
          </w:p>
        </w:tc>
        <w:tc>
          <w:tcPr>
            <w:tcW w:w="2310" w:type="dxa"/>
            <w:tcBorders>
              <w:top w:val="nil"/>
              <w:left w:val="single" w:sz="4" w:space="0" w:color="808080"/>
              <w:bottom w:val="single" w:sz="4" w:space="0" w:color="808080"/>
              <w:right w:val="single" w:sz="4" w:space="0" w:color="808080"/>
            </w:tcBorders>
            <w:shd w:val="clear" w:color="auto" w:fill="auto"/>
          </w:tcPr>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December 2017</w:t>
            </w:r>
          </w:p>
        </w:tc>
        <w:tc>
          <w:tcPr>
            <w:tcW w:w="2311" w:type="dxa"/>
            <w:tcBorders>
              <w:top w:val="nil"/>
              <w:left w:val="single" w:sz="4" w:space="0" w:color="808080"/>
              <w:bottom w:val="single" w:sz="4" w:space="0" w:color="808080"/>
              <w:right w:val="single" w:sz="4" w:space="0" w:color="808080"/>
            </w:tcBorders>
            <w:shd w:val="clear" w:color="auto" w:fill="auto"/>
          </w:tcPr>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17/2295</w:t>
            </w:r>
          </w:p>
        </w:tc>
        <w:tc>
          <w:tcPr>
            <w:tcW w:w="2311" w:type="dxa"/>
            <w:tcBorders>
              <w:top w:val="nil"/>
              <w:left w:val="single" w:sz="4" w:space="0" w:color="808080"/>
              <w:bottom w:val="single" w:sz="4" w:space="0" w:color="808080"/>
              <w:right w:val="single" w:sz="4" w:space="0" w:color="808080"/>
            </w:tcBorders>
            <w:shd w:val="clear" w:color="auto" w:fill="auto"/>
          </w:tcPr>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23081</w:t>
            </w:r>
          </w:p>
        </w:tc>
      </w:tr>
      <w:tr w:rsidR="009D61F0" w:rsidRPr="009D61F0" w:rsidTr="00A716B8">
        <w:tc>
          <w:tcPr>
            <w:tcW w:w="9242" w:type="dxa"/>
            <w:gridSpan w:val="4"/>
            <w:tcBorders>
              <w:top w:val="single" w:sz="4" w:space="0" w:color="808080"/>
              <w:left w:val="single" w:sz="4" w:space="0" w:color="808080"/>
              <w:bottom w:val="nil"/>
              <w:right w:val="single" w:sz="4" w:space="0" w:color="808080"/>
            </w:tcBorders>
            <w:shd w:val="clear" w:color="auto" w:fill="auto"/>
            <w:vAlign w:val="center"/>
          </w:tcPr>
          <w:p w:rsidR="009D61F0" w:rsidRPr="009D61F0" w:rsidRDefault="009D61F0" w:rsidP="009D61F0">
            <w:pPr>
              <w:spacing w:after="0" w:line="240" w:lineRule="auto"/>
              <w:outlineLvl w:val="0"/>
              <w:rPr>
                <w:rFonts w:ascii="Calibri" w:eastAsia="Calibri" w:hAnsi="Calibri" w:cs="Times New Roman"/>
              </w:rPr>
            </w:pPr>
            <w:r w:rsidRPr="009D61F0">
              <w:rPr>
                <w:rFonts w:ascii="Calibri" w:eastAsia="Calibri" w:hAnsi="Calibri" w:cs="Times New Roman"/>
              </w:rPr>
              <w:t>Title:</w:t>
            </w:r>
          </w:p>
        </w:tc>
      </w:tr>
      <w:tr w:rsidR="009D61F0" w:rsidRPr="009D61F0" w:rsidTr="00A716B8">
        <w:tc>
          <w:tcPr>
            <w:tcW w:w="9242" w:type="dxa"/>
            <w:gridSpan w:val="4"/>
            <w:tcBorders>
              <w:top w:val="nil"/>
              <w:left w:val="single" w:sz="4" w:space="0" w:color="808080"/>
              <w:bottom w:val="single" w:sz="4" w:space="0" w:color="808080"/>
              <w:right w:val="single" w:sz="4" w:space="0" w:color="808080"/>
            </w:tcBorders>
            <w:shd w:val="clear" w:color="auto" w:fill="auto"/>
            <w:vAlign w:val="center"/>
          </w:tcPr>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Regulation Impact Statement</w:t>
            </w:r>
            <w:r w:rsidRPr="009D61F0">
              <w:rPr>
                <w:rFonts w:ascii="Calibri" w:eastAsia="Calibri" w:hAnsi="Calibri" w:cs="Times New Roman"/>
              </w:rPr>
              <w:br/>
              <w:t>Improving the Stability and Control of Heavy Vehicles</w:t>
            </w:r>
          </w:p>
        </w:tc>
      </w:tr>
    </w:tbl>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numPr>
          <w:ilvl w:val="0"/>
          <w:numId w:val="28"/>
        </w:numPr>
        <w:spacing w:after="0" w:line="240" w:lineRule="auto"/>
        <w:contextualSpacing/>
        <w:rPr>
          <w:rFonts w:ascii="Calibri" w:eastAsia="Calibri" w:hAnsi="Calibri" w:cs="Times New Roman"/>
          <w:sz w:val="26"/>
        </w:rPr>
      </w:pPr>
      <w:r w:rsidRPr="009D61F0">
        <w:rPr>
          <w:rFonts w:ascii="Calibri" w:eastAsia="Calibri" w:hAnsi="Calibri" w:cs="Times New Roman"/>
          <w:sz w:val="26"/>
        </w:rPr>
        <w:t>Please provide details of your organisation</w:t>
      </w:r>
      <w:r w:rsidRPr="009D61F0">
        <w:rPr>
          <w:rFonts w:ascii="Calibri" w:eastAsia="Calibri" w:hAnsi="Calibri" w:cs="Times New Roman"/>
          <w:sz w:val="26"/>
          <w:vertAlign w:val="superscript"/>
        </w:rPr>
        <w:footnoteReference w:id="1"/>
      </w:r>
    </w:p>
    <w:tbl>
      <w:tblPr>
        <w:tblW w:w="8789"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tblLook w:val="04A0" w:firstRow="1" w:lastRow="0" w:firstColumn="1" w:lastColumn="0" w:noHBand="0" w:noVBand="1"/>
      </w:tblPr>
      <w:tblGrid>
        <w:gridCol w:w="2253"/>
        <w:gridCol w:w="6536"/>
      </w:tblGrid>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r w:rsidRPr="009D61F0">
              <w:rPr>
                <w:rFonts w:ascii="Calibri" w:eastAsia="Calibri" w:hAnsi="Calibri" w:cs="Times New Roman"/>
                <w:b/>
              </w:rPr>
              <w:t>Name of Organisation</w:t>
            </w:r>
          </w:p>
        </w:tc>
        <w:tc>
          <w:tcPr>
            <w:tcW w:w="6866" w:type="dxa"/>
            <w:shd w:val="clear" w:color="auto" w:fill="auto"/>
            <w:vAlign w:val="center"/>
          </w:tcPr>
          <w:p w:rsidR="009D61F0" w:rsidRPr="009D61F0" w:rsidRDefault="009D61F0" w:rsidP="009D61F0">
            <w:pPr>
              <w:spacing w:before="40" w:after="40" w:line="240" w:lineRule="auto"/>
              <w:rPr>
                <w:rFonts w:ascii="Calibri" w:eastAsia="Calibri" w:hAnsi="Calibri" w:cs="Times New Roman"/>
                <w:sz w:val="21"/>
                <w:szCs w:val="21"/>
              </w:rPr>
            </w:pPr>
            <w:r w:rsidRPr="009D61F0">
              <w:rPr>
                <w:rFonts w:ascii="Calibri" w:eastAsia="Calibri" w:hAnsi="Calibri" w:cs="Times New Roman"/>
                <w:sz w:val="21"/>
                <w:szCs w:val="21"/>
              </w:rPr>
              <w:t>Australian Trucking Association</w:t>
            </w:r>
          </w:p>
        </w:tc>
      </w:tr>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r w:rsidRPr="009D61F0">
              <w:rPr>
                <w:rFonts w:ascii="Calibri" w:eastAsia="Calibri" w:hAnsi="Calibri" w:cs="Times New Roman"/>
                <w:b/>
              </w:rPr>
              <w:t>Contact Person</w:t>
            </w:r>
          </w:p>
        </w:tc>
        <w:tc>
          <w:tcPr>
            <w:tcW w:w="6866" w:type="dxa"/>
            <w:shd w:val="clear" w:color="auto" w:fill="auto"/>
            <w:vAlign w:val="center"/>
          </w:tcPr>
          <w:p w:rsidR="009D61F0" w:rsidRPr="009D61F0" w:rsidRDefault="009D61F0" w:rsidP="009D61F0">
            <w:pPr>
              <w:spacing w:before="40" w:after="40" w:line="240" w:lineRule="auto"/>
              <w:rPr>
                <w:rFonts w:ascii="Calibri" w:eastAsia="Calibri" w:hAnsi="Calibri" w:cs="Times New Roman"/>
                <w:sz w:val="21"/>
                <w:szCs w:val="21"/>
              </w:rPr>
            </w:pPr>
            <w:r w:rsidRPr="009D61F0">
              <w:rPr>
                <w:rFonts w:ascii="Calibri" w:eastAsia="Calibri" w:hAnsi="Calibri" w:cs="Times New Roman"/>
                <w:sz w:val="21"/>
                <w:szCs w:val="21"/>
              </w:rPr>
              <w:t>Bill McKinley</w:t>
            </w:r>
          </w:p>
        </w:tc>
      </w:tr>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r w:rsidRPr="009D61F0">
              <w:rPr>
                <w:rFonts w:ascii="Calibri" w:eastAsia="Calibri" w:hAnsi="Calibri" w:cs="Times New Roman"/>
                <w:b/>
              </w:rPr>
              <w:t>Position</w:t>
            </w:r>
          </w:p>
        </w:tc>
        <w:tc>
          <w:tcPr>
            <w:tcW w:w="6866" w:type="dxa"/>
            <w:shd w:val="clear" w:color="auto" w:fill="auto"/>
            <w:vAlign w:val="center"/>
          </w:tcPr>
          <w:p w:rsidR="009D61F0" w:rsidRPr="009D61F0" w:rsidRDefault="009D61F0" w:rsidP="009D61F0">
            <w:pPr>
              <w:spacing w:before="40" w:after="40" w:line="240" w:lineRule="auto"/>
              <w:rPr>
                <w:rFonts w:ascii="Calibri" w:eastAsia="Calibri" w:hAnsi="Calibri" w:cs="Times New Roman"/>
                <w:sz w:val="21"/>
                <w:szCs w:val="21"/>
              </w:rPr>
            </w:pPr>
            <w:r w:rsidRPr="009D61F0">
              <w:rPr>
                <w:rFonts w:ascii="Calibri" w:eastAsia="Calibri" w:hAnsi="Calibri" w:cs="Times New Roman"/>
                <w:sz w:val="21"/>
                <w:szCs w:val="21"/>
              </w:rPr>
              <w:t>Chief of Staff</w:t>
            </w:r>
          </w:p>
        </w:tc>
      </w:tr>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r w:rsidRPr="009D61F0">
              <w:rPr>
                <w:rFonts w:ascii="Calibri" w:eastAsia="Calibri" w:hAnsi="Calibri" w:cs="Times New Roman"/>
                <w:b/>
              </w:rPr>
              <w:t>Contact Details</w:t>
            </w:r>
          </w:p>
        </w:tc>
        <w:tc>
          <w:tcPr>
            <w:tcW w:w="6866" w:type="dxa"/>
            <w:shd w:val="clear" w:color="auto" w:fill="auto"/>
            <w:vAlign w:val="center"/>
          </w:tcPr>
          <w:p w:rsidR="009D61F0" w:rsidRPr="009D61F0" w:rsidRDefault="009D61F0" w:rsidP="009D61F0">
            <w:pPr>
              <w:spacing w:before="40" w:after="40" w:line="240" w:lineRule="auto"/>
              <w:rPr>
                <w:rFonts w:ascii="Calibri" w:eastAsia="Calibri" w:hAnsi="Calibri" w:cs="Times New Roman"/>
                <w:sz w:val="21"/>
                <w:szCs w:val="21"/>
              </w:rPr>
            </w:pPr>
            <w:r w:rsidRPr="009D61F0">
              <w:rPr>
                <w:rFonts w:ascii="Calibri" w:eastAsia="Calibri" w:hAnsi="Calibri" w:cs="Times New Roman"/>
                <w:sz w:val="21"/>
                <w:szCs w:val="21"/>
              </w:rPr>
              <w:t>02 6253 6900</w:t>
            </w:r>
          </w:p>
        </w:tc>
      </w:tr>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p>
        </w:tc>
        <w:tc>
          <w:tcPr>
            <w:tcW w:w="6866" w:type="dxa"/>
            <w:shd w:val="clear" w:color="auto" w:fill="auto"/>
            <w:vAlign w:val="center"/>
          </w:tcPr>
          <w:p w:rsidR="009D61F0" w:rsidRPr="009D61F0" w:rsidRDefault="00371855" w:rsidP="009D61F0">
            <w:pPr>
              <w:spacing w:before="40" w:after="40" w:line="240" w:lineRule="auto"/>
              <w:rPr>
                <w:rFonts w:ascii="Calibri" w:eastAsia="Calibri" w:hAnsi="Calibri" w:cs="Times New Roman"/>
                <w:sz w:val="21"/>
                <w:szCs w:val="21"/>
              </w:rPr>
            </w:pPr>
            <w:hyperlink r:id="rId8" w:history="1">
              <w:r w:rsidR="009D61F0" w:rsidRPr="009D61F0">
                <w:rPr>
                  <w:rFonts w:ascii="Calibri" w:eastAsia="Calibri" w:hAnsi="Calibri" w:cs="Times New Roman"/>
                  <w:color w:val="0563C1"/>
                  <w:sz w:val="21"/>
                  <w:szCs w:val="21"/>
                  <w:u w:val="single"/>
                </w:rPr>
                <w:t>bill.mckinley@truck.net.au</w:t>
              </w:r>
            </w:hyperlink>
          </w:p>
        </w:tc>
      </w:tr>
      <w:tr w:rsidR="009D61F0" w:rsidRPr="009D61F0" w:rsidTr="00A716B8">
        <w:tc>
          <w:tcPr>
            <w:tcW w:w="2324"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p>
        </w:tc>
        <w:tc>
          <w:tcPr>
            <w:tcW w:w="6866" w:type="dxa"/>
            <w:shd w:val="clear" w:color="auto" w:fill="auto"/>
            <w:vAlign w:val="center"/>
          </w:tcPr>
          <w:p w:rsidR="009D61F0" w:rsidRPr="009D61F0" w:rsidRDefault="009D61F0" w:rsidP="009D61F0">
            <w:pPr>
              <w:spacing w:before="40" w:after="40" w:line="240" w:lineRule="auto"/>
              <w:rPr>
                <w:rFonts w:ascii="Calibri" w:eastAsia="Calibri" w:hAnsi="Calibri" w:cs="Times New Roman"/>
                <w:sz w:val="21"/>
                <w:szCs w:val="21"/>
              </w:rPr>
            </w:pPr>
          </w:p>
        </w:tc>
      </w:tr>
    </w:tbl>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numPr>
          <w:ilvl w:val="0"/>
          <w:numId w:val="28"/>
        </w:numPr>
        <w:spacing w:after="0" w:line="240" w:lineRule="auto"/>
        <w:contextualSpacing/>
        <w:rPr>
          <w:rFonts w:ascii="Calibri" w:eastAsia="Calibri" w:hAnsi="Calibri" w:cs="Times New Roman"/>
          <w:sz w:val="26"/>
        </w:rPr>
      </w:pPr>
      <w:r w:rsidRPr="009D61F0">
        <w:rPr>
          <w:rFonts w:ascii="Calibri" w:eastAsia="Calibri" w:hAnsi="Calibri" w:cs="Times New Roman"/>
          <w:sz w:val="26"/>
        </w:rPr>
        <w:t>Please indicate which option you support</w:t>
      </w:r>
    </w:p>
    <w:tbl>
      <w:tblPr>
        <w:tblW w:w="8789"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tblLook w:val="04A0" w:firstRow="1" w:lastRow="0" w:firstColumn="1" w:lastColumn="0" w:noHBand="0" w:noVBand="1"/>
      </w:tblPr>
      <w:tblGrid>
        <w:gridCol w:w="7391"/>
        <w:gridCol w:w="1398"/>
      </w:tblGrid>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b/>
              </w:rPr>
            </w:pPr>
          </w:p>
        </w:tc>
        <w:tc>
          <w:tcPr>
            <w:tcW w:w="1418" w:type="dxa"/>
            <w:shd w:val="clear" w:color="auto" w:fill="auto"/>
            <w:vAlign w:val="center"/>
          </w:tcPr>
          <w:p w:rsidR="009D61F0" w:rsidRPr="009D61F0" w:rsidRDefault="009D61F0" w:rsidP="009D61F0">
            <w:pPr>
              <w:spacing w:after="0" w:line="240" w:lineRule="auto"/>
              <w:jc w:val="center"/>
              <w:outlineLvl w:val="0"/>
              <w:rPr>
                <w:rFonts w:ascii="Calibri" w:eastAsia="Calibri" w:hAnsi="Calibri" w:cs="Times New Roman"/>
              </w:rPr>
            </w:pPr>
          </w:p>
        </w:tc>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1 – No intervention</w:t>
            </w:r>
          </w:p>
        </w:tc>
        <w:sdt>
          <w:sdtPr>
            <w:rPr>
              <w:rFonts w:ascii="Calibri" w:eastAsia="Calibri" w:hAnsi="Calibri" w:cs="Times New Roman"/>
            </w:rPr>
            <w:id w:val="198438623"/>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2 – User information campaigns</w:t>
            </w:r>
          </w:p>
        </w:tc>
        <w:sdt>
          <w:sdtPr>
            <w:rPr>
              <w:rFonts w:ascii="Calibri" w:eastAsia="Calibri" w:hAnsi="Calibri" w:cs="Times New Roman"/>
            </w:rPr>
            <w:id w:val="-336692929"/>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3 – Fleet purchasing policies</w:t>
            </w:r>
          </w:p>
        </w:tc>
        <w:sdt>
          <w:sdtPr>
            <w:rPr>
              <w:rFonts w:ascii="Calibri" w:eastAsia="Calibri" w:hAnsi="Calibri" w:cs="Times New Roman"/>
            </w:rPr>
            <w:id w:val="-32269957"/>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4 – Codes of practice</w:t>
            </w:r>
          </w:p>
        </w:tc>
        <w:sdt>
          <w:sdtPr>
            <w:rPr>
              <w:rFonts w:ascii="Calibri" w:eastAsia="Calibri" w:hAnsi="Calibri" w:cs="Times New Roman"/>
            </w:rPr>
            <w:id w:val="1320239495"/>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5 – Mandatory standards under the Competition and Consumer Act 2010</w:t>
            </w:r>
          </w:p>
        </w:tc>
        <w:sdt>
          <w:sdtPr>
            <w:rPr>
              <w:rFonts w:ascii="Calibri" w:eastAsia="Calibri" w:hAnsi="Calibri" w:cs="Times New Roman"/>
            </w:rPr>
            <w:id w:val="1971863532"/>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6a – Mandatory standards under the Motor Vehicle Standards Act 1989 (Australian Design Rule) – broad scope</w:t>
            </w:r>
          </w:p>
        </w:tc>
        <w:sdt>
          <w:sdtPr>
            <w:rPr>
              <w:rFonts w:ascii="Calibri" w:eastAsia="Calibri" w:hAnsi="Calibri" w:cs="Times New Roman"/>
            </w:rPr>
            <w:id w:val="-740950739"/>
            <w14:checkbox>
              <w14:checked w14:val="1"/>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6b – Mandatory standards under the Motor Vehicle Standards Act 1989 (Australian Design Rule) – medium scope</w:t>
            </w:r>
          </w:p>
        </w:tc>
        <w:sdt>
          <w:sdtPr>
            <w:rPr>
              <w:rFonts w:ascii="Calibri" w:eastAsia="Calibri" w:hAnsi="Calibri" w:cs="Times New Roman"/>
            </w:rPr>
            <w:id w:val="1906029572"/>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r w:rsidR="009D61F0" w:rsidRPr="009D61F0" w:rsidTr="00A716B8">
        <w:tc>
          <w:tcPr>
            <w:tcW w:w="7508" w:type="dxa"/>
            <w:shd w:val="clear" w:color="auto" w:fill="auto"/>
            <w:vAlign w:val="center"/>
          </w:tcPr>
          <w:p w:rsidR="009D61F0" w:rsidRPr="009D61F0" w:rsidRDefault="009D61F0" w:rsidP="009D61F0">
            <w:pPr>
              <w:spacing w:after="0" w:line="240" w:lineRule="auto"/>
              <w:outlineLvl w:val="1"/>
              <w:rPr>
                <w:rFonts w:ascii="Calibri" w:eastAsia="Calibri" w:hAnsi="Calibri" w:cs="Times New Roman"/>
              </w:rPr>
            </w:pPr>
            <w:r w:rsidRPr="009D61F0">
              <w:rPr>
                <w:rFonts w:ascii="Calibri" w:eastAsia="Calibri" w:hAnsi="Calibri" w:cs="Times New Roman"/>
              </w:rPr>
              <w:t>Option 6c – Mandatory standards under the Motor Vehicle Standards Act 1989 (Australian Design Rule) – narrow scope</w:t>
            </w:r>
          </w:p>
        </w:tc>
        <w:sdt>
          <w:sdtPr>
            <w:rPr>
              <w:rFonts w:ascii="Calibri" w:eastAsia="Calibri" w:hAnsi="Calibri" w:cs="Times New Roman"/>
            </w:rPr>
            <w:id w:val="-1714727245"/>
            <w14:checkbox>
              <w14:checked w14:val="0"/>
              <w14:checkedState w14:val="2612" w14:font="MS Gothic"/>
              <w14:uncheckedState w14:val="2610" w14:font="MS Gothic"/>
            </w14:checkbox>
          </w:sdtPr>
          <w:sdtEndPr/>
          <w:sdtContent>
            <w:tc>
              <w:tcPr>
                <w:tcW w:w="1418" w:type="dxa"/>
                <w:shd w:val="clear" w:color="auto" w:fill="auto"/>
                <w:vAlign w:val="center"/>
              </w:tcPr>
              <w:p w:rsidR="009D61F0" w:rsidRPr="009D61F0" w:rsidRDefault="009D61F0" w:rsidP="009D61F0">
                <w:pPr>
                  <w:spacing w:before="40" w:after="40" w:line="240" w:lineRule="auto"/>
                  <w:jc w:val="center"/>
                  <w:rPr>
                    <w:rFonts w:ascii="Calibri" w:eastAsia="Calibri" w:hAnsi="Calibri" w:cs="Times New Roman"/>
                  </w:rPr>
                </w:pPr>
                <w:r w:rsidRPr="009D61F0">
                  <w:rPr>
                    <w:rFonts w:ascii="Segoe UI Symbol" w:eastAsia="Calibri" w:hAnsi="Segoe UI Symbol" w:cs="Segoe UI Symbol"/>
                  </w:rPr>
                  <w:t>☐</w:t>
                </w:r>
              </w:p>
            </w:tc>
          </w:sdtContent>
        </w:sdt>
      </w:tr>
    </w:tbl>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br w:type="page"/>
      </w:r>
    </w:p>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numPr>
          <w:ilvl w:val="0"/>
          <w:numId w:val="28"/>
        </w:numPr>
        <w:spacing w:after="0" w:line="240" w:lineRule="auto"/>
        <w:contextualSpacing/>
        <w:rPr>
          <w:rFonts w:ascii="Calibri" w:eastAsia="Calibri" w:hAnsi="Calibri" w:cs="Times New Roman"/>
          <w:sz w:val="26"/>
        </w:rPr>
      </w:pPr>
      <w:r w:rsidRPr="009D61F0">
        <w:rPr>
          <w:rFonts w:ascii="Calibri" w:eastAsia="Calibri" w:hAnsi="Calibri" w:cs="Times New Roman"/>
          <w:sz w:val="26"/>
        </w:rPr>
        <w:t>Please include any comments</w:t>
      </w:r>
    </w:p>
    <w:p w:rsidR="009D61F0" w:rsidRPr="009D61F0" w:rsidRDefault="009D61F0" w:rsidP="009D61F0">
      <w:pPr>
        <w:spacing w:after="0" w:line="240" w:lineRule="auto"/>
        <w:rPr>
          <w:rFonts w:ascii="Calibri" w:eastAsia="Calibri" w:hAnsi="Calibri" w:cs="Times New Roman"/>
        </w:rPr>
      </w:pPr>
    </w:p>
    <w:p w:rsidR="009D61F0" w:rsidRPr="009D61F0" w:rsidRDefault="009D61F0" w:rsidP="009D61F0">
      <w:pPr>
        <w:spacing w:after="0" w:line="240" w:lineRule="auto"/>
        <w:rPr>
          <w:rFonts w:ascii="Calibri" w:eastAsia="Calibri" w:hAnsi="Calibri" w:cs="Times New Roman"/>
        </w:rPr>
      </w:pPr>
      <w:r w:rsidRPr="009D61F0">
        <w:rPr>
          <w:rFonts w:ascii="Calibri" w:eastAsia="Calibri" w:hAnsi="Calibri" w:cs="Times New Roman"/>
        </w:rPr>
        <w:t>See attached submission.</w:t>
      </w:r>
    </w:p>
    <w:p w:rsidR="002A11A2" w:rsidRDefault="002A11A2" w:rsidP="00406E09">
      <w:pPr>
        <w:spacing w:after="0"/>
        <w:rPr>
          <w:rFonts w:ascii="Arial" w:hAnsi="Arial" w:cs="Arial"/>
        </w:rPr>
      </w:pPr>
    </w:p>
    <w:p w:rsidR="00406E09" w:rsidRDefault="00406E09" w:rsidP="00406E09">
      <w:pPr>
        <w:spacing w:after="0"/>
        <w:rPr>
          <w:rFonts w:ascii="Arial" w:hAnsi="Arial" w:cs="Arial"/>
        </w:rPr>
      </w:pPr>
    </w:p>
    <w:p w:rsidR="009D61F0" w:rsidRDefault="009D61F0" w:rsidP="00406E09">
      <w:pPr>
        <w:pStyle w:val="NoSpacing"/>
        <w:jc w:val="center"/>
        <w:rPr>
          <w:rFonts w:ascii="Arial" w:hAnsi="Arial" w:cs="Arial"/>
          <w:b/>
          <w:color w:val="auto"/>
          <w:sz w:val="22"/>
          <w:szCs w:val="22"/>
        </w:rPr>
        <w:sectPr w:rsidR="009D61F0" w:rsidSect="004C4C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261D80" w:rsidRDefault="00261D80" w:rsidP="00406E09">
      <w:pPr>
        <w:pStyle w:val="NoSpacing"/>
        <w:jc w:val="center"/>
        <w:rPr>
          <w:rFonts w:ascii="Arial" w:hAnsi="Arial" w:cs="Arial"/>
          <w:b/>
          <w:color w:val="auto"/>
          <w:sz w:val="22"/>
          <w:szCs w:val="22"/>
        </w:rPr>
      </w:pPr>
      <w:r>
        <w:rPr>
          <w:rFonts w:ascii="Arial" w:hAnsi="Arial" w:cs="Arial"/>
          <w:b/>
          <w:color w:val="auto"/>
          <w:sz w:val="22"/>
          <w:szCs w:val="22"/>
        </w:rPr>
        <w:t>IMPROVING THE STABILITY AND CONTROL OF HEAVY VEHICLES</w:t>
      </w:r>
    </w:p>
    <w:p w:rsidR="00406E09" w:rsidRDefault="00261D80" w:rsidP="00406E09">
      <w:pPr>
        <w:pStyle w:val="NoSpacing"/>
        <w:jc w:val="center"/>
        <w:rPr>
          <w:rFonts w:ascii="Arial" w:hAnsi="Arial" w:cs="Arial"/>
          <w:b/>
          <w:color w:val="auto"/>
          <w:sz w:val="22"/>
          <w:szCs w:val="22"/>
        </w:rPr>
      </w:pPr>
      <w:r>
        <w:rPr>
          <w:rFonts w:ascii="Arial" w:hAnsi="Arial" w:cs="Arial"/>
          <w:b/>
          <w:color w:val="auto"/>
          <w:sz w:val="22"/>
          <w:szCs w:val="22"/>
        </w:rPr>
        <w:t>CONSULTATION RIS</w:t>
      </w:r>
    </w:p>
    <w:p w:rsidR="003A1F92" w:rsidRDefault="003A1F92" w:rsidP="00406E09">
      <w:pPr>
        <w:pStyle w:val="NoSpacing"/>
        <w:jc w:val="center"/>
        <w:rPr>
          <w:rFonts w:ascii="Arial" w:hAnsi="Arial" w:cs="Arial"/>
          <w:b/>
          <w:color w:val="auto"/>
          <w:sz w:val="22"/>
          <w:szCs w:val="22"/>
        </w:rPr>
      </w:pPr>
    </w:p>
    <w:p w:rsidR="00406E09" w:rsidRDefault="00406E09" w:rsidP="00406E09">
      <w:pPr>
        <w:pStyle w:val="NoSpacing"/>
        <w:jc w:val="center"/>
        <w:rPr>
          <w:rFonts w:ascii="Arial" w:hAnsi="Arial" w:cs="Arial"/>
          <w:b/>
          <w:color w:val="auto"/>
          <w:sz w:val="22"/>
          <w:szCs w:val="22"/>
        </w:rPr>
      </w:pPr>
      <w:r>
        <w:rPr>
          <w:rFonts w:ascii="Arial" w:hAnsi="Arial" w:cs="Arial"/>
          <w:b/>
          <w:color w:val="auto"/>
          <w:sz w:val="22"/>
          <w:szCs w:val="22"/>
        </w:rPr>
        <w:t>AUSTRALIAN T</w:t>
      </w:r>
      <w:r w:rsidR="00F1429E">
        <w:rPr>
          <w:rFonts w:ascii="Arial" w:hAnsi="Arial" w:cs="Arial"/>
          <w:b/>
          <w:color w:val="auto"/>
          <w:sz w:val="22"/>
          <w:szCs w:val="22"/>
        </w:rPr>
        <w:t>RUCKING ASSOCIATION SUBMISSION</w:t>
      </w:r>
    </w:p>
    <w:p w:rsidR="00406E09" w:rsidRDefault="00261D80" w:rsidP="00406E09">
      <w:pPr>
        <w:spacing w:after="0"/>
        <w:jc w:val="center"/>
        <w:rPr>
          <w:rFonts w:ascii="Arial" w:hAnsi="Arial" w:cs="Arial"/>
          <w:b/>
        </w:rPr>
      </w:pPr>
      <w:r>
        <w:rPr>
          <w:rFonts w:ascii="Arial" w:hAnsi="Arial" w:cs="Arial"/>
          <w:b/>
        </w:rPr>
        <w:t>2 FEBRUARY 2018</w:t>
      </w:r>
    </w:p>
    <w:p w:rsidR="00406E09" w:rsidRDefault="00406E09" w:rsidP="00406E09">
      <w:pPr>
        <w:spacing w:after="0"/>
        <w:jc w:val="center"/>
        <w:rPr>
          <w:rFonts w:ascii="Arial" w:hAnsi="Arial" w:cs="Arial"/>
          <w:b/>
        </w:rPr>
      </w:pPr>
    </w:p>
    <w:p w:rsidR="00CE564A" w:rsidRPr="00FA1B46" w:rsidRDefault="00CE564A" w:rsidP="00406E09">
      <w:pPr>
        <w:spacing w:after="0"/>
        <w:jc w:val="center"/>
        <w:rPr>
          <w:rFonts w:ascii="Arial" w:hAnsi="Arial" w:cs="Arial"/>
          <w:b/>
        </w:rPr>
      </w:pPr>
    </w:p>
    <w:p w:rsidR="00F1429E" w:rsidRPr="00EB5D57" w:rsidRDefault="00F1429E" w:rsidP="00F1429E">
      <w:pPr>
        <w:numPr>
          <w:ilvl w:val="0"/>
          <w:numId w:val="1"/>
        </w:numPr>
        <w:suppressAutoHyphens/>
        <w:spacing w:after="0" w:line="240" w:lineRule="auto"/>
        <w:rPr>
          <w:rFonts w:ascii="Arial" w:eastAsia="Calibri" w:hAnsi="Arial" w:cs="Arial"/>
          <w:color w:val="00000A"/>
          <w:sz w:val="24"/>
          <w:szCs w:val="24"/>
          <w:lang w:eastAsia="ar-SA"/>
        </w:rPr>
      </w:pPr>
      <w:r w:rsidRPr="00EB5D57">
        <w:rPr>
          <w:rFonts w:ascii="Arial" w:eastAsia="Calibri" w:hAnsi="Arial" w:cs="Arial"/>
          <w:b/>
          <w:color w:val="00000A"/>
          <w:sz w:val="24"/>
          <w:szCs w:val="24"/>
          <w:lang w:eastAsia="ar-SA"/>
        </w:rPr>
        <w:t>About the Australian Trucking Association</w:t>
      </w:r>
    </w:p>
    <w:p w:rsidR="00F1429E" w:rsidRPr="00FA1B46" w:rsidRDefault="00F1429E" w:rsidP="00F1429E">
      <w:pPr>
        <w:suppressAutoHyphens/>
        <w:spacing w:after="0" w:line="240" w:lineRule="auto"/>
        <w:rPr>
          <w:rFonts w:ascii="Arial" w:eastAsia="Calibri" w:hAnsi="Arial" w:cs="Arial"/>
          <w:color w:val="00000A"/>
          <w:lang w:eastAsia="ar-SA"/>
        </w:rPr>
      </w:pPr>
    </w:p>
    <w:p w:rsidR="00F1429E" w:rsidRPr="00FA1B46" w:rsidRDefault="00F1429E" w:rsidP="00F1429E">
      <w:pPr>
        <w:suppressAutoHyphens/>
        <w:spacing w:after="0" w:line="240" w:lineRule="auto"/>
        <w:rPr>
          <w:rFonts w:ascii="Arial" w:eastAsia="Times New Roman" w:hAnsi="Arial" w:cs="Arial"/>
          <w:color w:val="000000"/>
          <w:lang w:eastAsia="ar-SA"/>
        </w:rPr>
      </w:pPr>
      <w:r w:rsidRPr="00FA1B46">
        <w:rPr>
          <w:rFonts w:ascii="Arial" w:eastAsia="Times New Roman" w:hAnsi="Arial" w:cs="Arial"/>
          <w:color w:val="000000"/>
          <w:lang w:eastAsia="ar-SA"/>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 businesses, ranging from owner drivers to large fleets.</w:t>
      </w:r>
    </w:p>
    <w:p w:rsidR="00F1429E" w:rsidRDefault="00F1429E" w:rsidP="00F1429E">
      <w:pPr>
        <w:suppressAutoHyphens/>
        <w:spacing w:after="0" w:line="240" w:lineRule="auto"/>
        <w:ind w:left="360" w:hanging="360"/>
        <w:outlineLvl w:val="0"/>
        <w:rPr>
          <w:rFonts w:ascii="Arial" w:eastAsia="Calibri" w:hAnsi="Arial" w:cs="Arial"/>
          <w:b/>
          <w:lang w:eastAsia="ar-SA"/>
        </w:rPr>
      </w:pPr>
    </w:p>
    <w:p w:rsidR="00261D80" w:rsidRDefault="00261D80" w:rsidP="00F1429E">
      <w:pPr>
        <w:suppressAutoHyphens/>
        <w:spacing w:after="0" w:line="240" w:lineRule="auto"/>
        <w:ind w:left="360" w:hanging="360"/>
        <w:outlineLvl w:val="0"/>
        <w:rPr>
          <w:rFonts w:ascii="Arial" w:eastAsia="Calibri" w:hAnsi="Arial" w:cs="Arial"/>
          <w:b/>
          <w:lang w:eastAsia="ar-SA"/>
        </w:rPr>
      </w:pPr>
    </w:p>
    <w:p w:rsidR="00261D80" w:rsidRDefault="00261D80" w:rsidP="00261D80">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Summary of recommendations</w:t>
      </w:r>
    </w:p>
    <w:p w:rsidR="00261D80" w:rsidRDefault="00261D80" w:rsidP="00261D80">
      <w:pPr>
        <w:suppressAutoHyphens/>
        <w:spacing w:after="0" w:line="240" w:lineRule="auto"/>
        <w:outlineLvl w:val="0"/>
        <w:rPr>
          <w:rFonts w:ascii="Arial" w:eastAsia="Calibri" w:hAnsi="Arial" w:cs="Arial"/>
          <w:lang w:eastAsia="ar-SA"/>
        </w:rPr>
      </w:pPr>
    </w:p>
    <w:p w:rsidR="00F003E4" w:rsidRDefault="00F003E4" w:rsidP="00F003E4">
      <w:pPr>
        <w:pStyle w:val="ListParagraph"/>
        <w:keepNext/>
        <w:suppressAutoHyphens/>
        <w:spacing w:after="0" w:line="240" w:lineRule="auto"/>
        <w:ind w:left="0"/>
        <w:outlineLvl w:val="0"/>
        <w:rPr>
          <w:rFonts w:ascii="Arial" w:eastAsia="Calibri" w:hAnsi="Arial" w:cs="Arial"/>
          <w:i/>
          <w:lang w:eastAsia="ar-SA"/>
        </w:rPr>
      </w:pPr>
      <w:r w:rsidRPr="002E31C7">
        <w:rPr>
          <w:rFonts w:ascii="Arial" w:eastAsia="Calibri" w:hAnsi="Arial" w:cs="Arial"/>
          <w:i/>
          <w:lang w:eastAsia="ar-SA"/>
        </w:rPr>
        <w:t>Recommendation 1</w:t>
      </w:r>
    </w:p>
    <w:p w:rsidR="00F003E4" w:rsidRPr="002E31C7" w:rsidRDefault="00F003E4" w:rsidP="00F003E4">
      <w:pPr>
        <w:pStyle w:val="ListParagraph"/>
        <w:keepNext/>
        <w:suppressAutoHyphens/>
        <w:spacing w:after="0" w:line="240" w:lineRule="auto"/>
        <w:ind w:left="0"/>
        <w:outlineLvl w:val="0"/>
        <w:rPr>
          <w:rFonts w:ascii="Arial" w:eastAsia="Calibri" w:hAnsi="Arial" w:cs="Arial"/>
          <w:i/>
          <w:lang w:eastAsia="ar-SA"/>
        </w:rPr>
      </w:pPr>
      <w:r>
        <w:rPr>
          <w:rFonts w:ascii="Arial" w:eastAsia="Calibri" w:hAnsi="Arial" w:cs="Arial"/>
          <w:i/>
          <w:lang w:eastAsia="ar-SA"/>
        </w:rPr>
        <w:t>[to the Department of Infrastructure, Regional Development and Cities]</w:t>
      </w:r>
    </w:p>
    <w:p w:rsidR="00F003E4" w:rsidRDefault="00F003E4" w:rsidP="00F003E4">
      <w:pPr>
        <w:pStyle w:val="ListParagraph"/>
        <w:keepNext/>
        <w:suppressAutoHyphens/>
        <w:spacing w:after="0" w:line="240" w:lineRule="auto"/>
        <w:ind w:left="0"/>
        <w:outlineLvl w:val="0"/>
        <w:rPr>
          <w:rFonts w:ascii="Arial" w:eastAsia="Calibri" w:hAnsi="Arial" w:cs="Arial"/>
          <w:lang w:eastAsia="ar-SA"/>
        </w:rPr>
      </w:pPr>
    </w:p>
    <w:p w:rsidR="00F003E4" w:rsidRDefault="00F003E4" w:rsidP="00F003E4">
      <w:pPr>
        <w:pStyle w:val="ListParagraph"/>
        <w:keepNext/>
        <w:suppressAutoHyphens/>
        <w:spacing w:after="0" w:line="240" w:lineRule="auto"/>
        <w:ind w:left="0"/>
        <w:outlineLvl w:val="0"/>
        <w:rPr>
          <w:rFonts w:ascii="Arial" w:eastAsia="Calibri" w:hAnsi="Arial" w:cs="Arial"/>
          <w:lang w:eastAsia="ar-SA"/>
        </w:rPr>
      </w:pPr>
      <w:r>
        <w:rPr>
          <w:rFonts w:ascii="Arial" w:eastAsia="Calibri" w:hAnsi="Arial" w:cs="Arial"/>
          <w:lang w:eastAsia="ar-SA"/>
        </w:rPr>
        <w:t>The final version of the RIS should value the cost of a serious injury at $392,967, consistent with the willingness-to-pay approach endorsed by governments.</w:t>
      </w:r>
    </w:p>
    <w:p w:rsidR="00F003E4" w:rsidRDefault="00F003E4" w:rsidP="00261D80">
      <w:pPr>
        <w:suppressAutoHyphens/>
        <w:spacing w:after="0" w:line="240" w:lineRule="auto"/>
        <w:outlineLvl w:val="0"/>
        <w:rPr>
          <w:rFonts w:ascii="Arial" w:eastAsia="Calibri" w:hAnsi="Arial" w:cs="Arial"/>
          <w:lang w:eastAsia="ar-SA"/>
        </w:rPr>
      </w:pPr>
    </w:p>
    <w:p w:rsidR="00F003E4" w:rsidRDefault="00F003E4" w:rsidP="00F003E4">
      <w:pPr>
        <w:keepNext/>
        <w:suppressAutoHyphens/>
        <w:spacing w:after="0" w:line="240" w:lineRule="auto"/>
        <w:outlineLvl w:val="0"/>
        <w:rPr>
          <w:rFonts w:ascii="Arial" w:eastAsia="Calibri" w:hAnsi="Arial" w:cs="Arial"/>
          <w:i/>
          <w:lang w:eastAsia="ar-SA"/>
        </w:rPr>
      </w:pPr>
      <w:r w:rsidRPr="00A26C3C">
        <w:rPr>
          <w:rFonts w:ascii="Arial" w:eastAsia="Calibri" w:hAnsi="Arial" w:cs="Arial"/>
          <w:i/>
          <w:lang w:eastAsia="ar-SA"/>
        </w:rPr>
        <w:t>Recommen</w:t>
      </w:r>
      <w:r>
        <w:rPr>
          <w:rFonts w:ascii="Arial" w:eastAsia="Calibri" w:hAnsi="Arial" w:cs="Arial"/>
          <w:i/>
          <w:lang w:eastAsia="ar-SA"/>
        </w:rPr>
        <w:t>dation 2</w:t>
      </w:r>
    </w:p>
    <w:p w:rsidR="00F003E4" w:rsidRPr="00A26C3C" w:rsidRDefault="00F003E4" w:rsidP="00F003E4">
      <w:pPr>
        <w:keepNext/>
        <w:suppressAutoHyphens/>
        <w:spacing w:after="0" w:line="240" w:lineRule="auto"/>
        <w:outlineLvl w:val="0"/>
        <w:rPr>
          <w:rFonts w:ascii="Arial" w:eastAsia="Calibri" w:hAnsi="Arial" w:cs="Arial"/>
          <w:i/>
          <w:lang w:eastAsia="ar-SA"/>
        </w:rPr>
      </w:pPr>
      <w:r>
        <w:rPr>
          <w:rFonts w:ascii="Arial" w:eastAsia="Calibri" w:hAnsi="Arial" w:cs="Arial"/>
          <w:i/>
          <w:lang w:eastAsia="ar-SA"/>
        </w:rPr>
        <w:t>[to the Australian Government]</w:t>
      </w:r>
    </w:p>
    <w:p w:rsidR="00F003E4" w:rsidRDefault="00F003E4" w:rsidP="00F003E4">
      <w:pPr>
        <w:keepNext/>
        <w:suppressAutoHyphens/>
        <w:spacing w:after="0" w:line="240" w:lineRule="auto"/>
        <w:outlineLvl w:val="0"/>
        <w:rPr>
          <w:rFonts w:ascii="Arial" w:eastAsia="Calibri" w:hAnsi="Arial" w:cs="Arial"/>
          <w:lang w:eastAsia="ar-SA"/>
        </w:rPr>
      </w:pPr>
    </w:p>
    <w:p w:rsidR="00F003E4" w:rsidRDefault="00F003E4"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Australian Government should adopt RIS option 6a, because it is the option that would save the greatest number of lives and avoid the greatest number of accidents</w:t>
      </w:r>
      <w:r w:rsidR="00AC6A3D">
        <w:rPr>
          <w:rFonts w:ascii="Arial" w:eastAsia="Calibri" w:hAnsi="Arial" w:cs="Arial"/>
          <w:lang w:eastAsia="ar-SA"/>
        </w:rPr>
        <w:t>,</w:t>
      </w:r>
      <w:r>
        <w:rPr>
          <w:rFonts w:ascii="Arial" w:eastAsia="Calibri" w:hAnsi="Arial" w:cs="Arial"/>
          <w:lang w:eastAsia="ar-SA"/>
        </w:rPr>
        <w:t xml:space="preserve"> and would do so at a reasonable cost.</w:t>
      </w:r>
    </w:p>
    <w:p w:rsidR="00F003E4" w:rsidRDefault="00F003E4" w:rsidP="00F003E4">
      <w:pPr>
        <w:keepNext/>
        <w:suppressAutoHyphens/>
        <w:spacing w:after="0" w:line="240" w:lineRule="auto"/>
        <w:outlineLvl w:val="0"/>
        <w:rPr>
          <w:rFonts w:ascii="Arial" w:eastAsia="Calibri" w:hAnsi="Arial" w:cs="Arial"/>
          <w:lang w:eastAsia="ar-SA"/>
        </w:rPr>
      </w:pPr>
    </w:p>
    <w:p w:rsidR="00F003E4" w:rsidRDefault="00F003E4"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If necessary, proposed ADR 35/06 could be amended to provide a reasonable (but still defined) extension to the application date</w:t>
      </w:r>
      <w:r w:rsidR="00AC6A3D">
        <w:rPr>
          <w:rFonts w:ascii="Arial" w:eastAsia="Calibri" w:hAnsi="Arial" w:cs="Arial"/>
          <w:lang w:eastAsia="ar-SA"/>
        </w:rPr>
        <w:t>s</w:t>
      </w:r>
      <w:r>
        <w:rPr>
          <w:rFonts w:ascii="Arial" w:eastAsia="Calibri" w:hAnsi="Arial" w:cs="Arial"/>
          <w:lang w:eastAsia="ar-SA"/>
        </w:rPr>
        <w:t xml:space="preserve"> for 4.5-12t rigid trucks only.</w:t>
      </w:r>
    </w:p>
    <w:p w:rsidR="00F003E4" w:rsidRDefault="00F003E4" w:rsidP="00F003E4">
      <w:pPr>
        <w:suppressAutoHyphens/>
        <w:spacing w:after="0" w:line="240" w:lineRule="auto"/>
        <w:outlineLvl w:val="0"/>
        <w:rPr>
          <w:rFonts w:ascii="Arial" w:eastAsia="Calibri" w:hAnsi="Arial" w:cs="Arial"/>
          <w:lang w:eastAsia="ar-SA"/>
        </w:rPr>
      </w:pPr>
    </w:p>
    <w:p w:rsidR="00F003E4" w:rsidRDefault="00F003E4" w:rsidP="00F003E4">
      <w:pPr>
        <w:suppressAutoHyphens/>
        <w:spacing w:after="0" w:line="240" w:lineRule="auto"/>
        <w:outlineLvl w:val="0"/>
        <w:rPr>
          <w:rFonts w:ascii="Arial" w:eastAsia="Calibri" w:hAnsi="Arial" w:cs="Arial"/>
          <w:i/>
          <w:lang w:eastAsia="ar-SA"/>
        </w:rPr>
      </w:pPr>
      <w:r>
        <w:rPr>
          <w:rFonts w:ascii="Arial" w:eastAsia="Calibri" w:hAnsi="Arial" w:cs="Arial"/>
          <w:i/>
          <w:lang w:eastAsia="ar-SA"/>
        </w:rPr>
        <w:t>Recommendation 3</w:t>
      </w:r>
    </w:p>
    <w:p w:rsidR="00F003E4" w:rsidRPr="00A26C3C" w:rsidRDefault="00F003E4" w:rsidP="00F003E4">
      <w:pPr>
        <w:suppressAutoHyphens/>
        <w:spacing w:after="0" w:line="240" w:lineRule="auto"/>
        <w:outlineLvl w:val="0"/>
        <w:rPr>
          <w:rFonts w:ascii="Arial" w:eastAsia="Calibri" w:hAnsi="Arial" w:cs="Arial"/>
          <w:i/>
          <w:lang w:eastAsia="ar-SA"/>
        </w:rPr>
      </w:pPr>
      <w:r>
        <w:rPr>
          <w:rFonts w:ascii="Arial" w:eastAsia="Calibri" w:hAnsi="Arial" w:cs="Arial"/>
          <w:i/>
          <w:lang w:eastAsia="ar-SA"/>
        </w:rPr>
        <w:t>[to the Australian Government]</w:t>
      </w:r>
    </w:p>
    <w:p w:rsidR="00F003E4" w:rsidRDefault="00F003E4" w:rsidP="00F003E4">
      <w:pPr>
        <w:suppressAutoHyphens/>
        <w:spacing w:after="0" w:line="240" w:lineRule="auto"/>
        <w:outlineLvl w:val="0"/>
        <w:rPr>
          <w:rFonts w:ascii="Arial" w:eastAsia="Calibri" w:hAnsi="Arial" w:cs="Arial"/>
          <w:lang w:eastAsia="ar-SA"/>
        </w:rPr>
      </w:pPr>
    </w:p>
    <w:p w:rsidR="00F003E4" w:rsidRDefault="00F003E4" w:rsidP="00F003E4">
      <w:pPr>
        <w:suppressAutoHyphens/>
        <w:spacing w:after="0" w:line="240" w:lineRule="auto"/>
        <w:outlineLvl w:val="0"/>
        <w:rPr>
          <w:rFonts w:ascii="Arial" w:eastAsia="Calibri" w:hAnsi="Arial" w:cs="Arial"/>
          <w:lang w:eastAsia="ar-SA"/>
        </w:rPr>
      </w:pPr>
      <w:r>
        <w:rPr>
          <w:rFonts w:ascii="Arial" w:eastAsia="Calibri" w:hAnsi="Arial" w:cs="Arial"/>
          <w:lang w:eastAsia="ar-SA"/>
        </w:rPr>
        <w:t>If, despite ATA recommendation 2, the Government adopts option 6b or 6c, it should put in place controls to reduce the risk of loss of control/rollover crashes involving new trucks not covered by the mandate. This could, for example, include the awareness campaign envisaged in RIS option 2.</w:t>
      </w:r>
    </w:p>
    <w:p w:rsidR="00F003E4" w:rsidRDefault="00F003E4" w:rsidP="00261D80">
      <w:pPr>
        <w:suppressAutoHyphens/>
        <w:spacing w:after="0" w:line="240" w:lineRule="auto"/>
        <w:outlineLvl w:val="0"/>
        <w:rPr>
          <w:rFonts w:ascii="Arial" w:eastAsia="Calibri" w:hAnsi="Arial" w:cs="Arial"/>
          <w:lang w:eastAsia="ar-SA"/>
        </w:rPr>
      </w:pPr>
    </w:p>
    <w:p w:rsidR="00F003E4" w:rsidRDefault="00F003E4" w:rsidP="00261D80">
      <w:pPr>
        <w:suppressAutoHyphens/>
        <w:spacing w:after="0" w:line="240" w:lineRule="auto"/>
        <w:outlineLvl w:val="0"/>
        <w:rPr>
          <w:rFonts w:ascii="Arial" w:eastAsia="Calibri" w:hAnsi="Arial" w:cs="Arial"/>
          <w:lang w:eastAsia="ar-SA"/>
        </w:rPr>
      </w:pPr>
    </w:p>
    <w:p w:rsidR="00F003E4" w:rsidRPr="00185006" w:rsidRDefault="00F003E4" w:rsidP="00F003E4">
      <w:pPr>
        <w:keepNext/>
        <w:suppressAutoHyphens/>
        <w:spacing w:after="0" w:line="240" w:lineRule="auto"/>
        <w:outlineLvl w:val="0"/>
        <w:rPr>
          <w:rFonts w:ascii="Arial" w:eastAsia="Calibri" w:hAnsi="Arial" w:cs="Arial"/>
          <w:i/>
          <w:lang w:eastAsia="ar-SA"/>
        </w:rPr>
      </w:pPr>
      <w:r>
        <w:rPr>
          <w:rFonts w:ascii="Arial" w:eastAsia="Calibri" w:hAnsi="Arial" w:cs="Arial"/>
          <w:i/>
          <w:lang w:eastAsia="ar-SA"/>
        </w:rPr>
        <w:t>Recommendation 4</w:t>
      </w:r>
    </w:p>
    <w:p w:rsidR="00F003E4" w:rsidRPr="00185006" w:rsidRDefault="00F003E4" w:rsidP="00F003E4">
      <w:pPr>
        <w:keepNext/>
        <w:suppressAutoHyphens/>
        <w:spacing w:after="0" w:line="240" w:lineRule="auto"/>
        <w:outlineLvl w:val="0"/>
        <w:rPr>
          <w:rFonts w:ascii="Arial" w:eastAsia="Calibri" w:hAnsi="Arial" w:cs="Arial"/>
          <w:i/>
          <w:lang w:eastAsia="ar-SA"/>
        </w:rPr>
      </w:pPr>
      <w:r w:rsidRPr="00185006">
        <w:rPr>
          <w:rFonts w:ascii="Arial" w:eastAsia="Calibri" w:hAnsi="Arial" w:cs="Arial"/>
          <w:i/>
          <w:lang w:eastAsia="ar-SA"/>
        </w:rPr>
        <w:t>[to the National Heavy Vehicle Regulator]</w:t>
      </w:r>
    </w:p>
    <w:p w:rsidR="00F003E4" w:rsidRPr="00A536B4" w:rsidRDefault="00F003E4" w:rsidP="00F003E4">
      <w:pPr>
        <w:keepNext/>
        <w:suppressAutoHyphens/>
        <w:spacing w:after="0" w:line="240" w:lineRule="auto"/>
        <w:outlineLvl w:val="0"/>
        <w:rPr>
          <w:rFonts w:ascii="Arial" w:eastAsia="Calibri" w:hAnsi="Arial" w:cs="Arial"/>
          <w:lang w:eastAsia="ar-SA"/>
        </w:rPr>
      </w:pPr>
    </w:p>
    <w:p w:rsidR="00F003E4" w:rsidRPr="008526D9" w:rsidRDefault="00F003E4"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Before ADRs 35/06 and 38/05 come into force, the NHVIM should be amended to </w:t>
      </w:r>
      <w:r w:rsidRPr="008526D9">
        <w:rPr>
          <w:rFonts w:ascii="Arial" w:eastAsia="Calibri" w:hAnsi="Arial" w:cs="Arial"/>
          <w:lang w:eastAsia="ar-SA"/>
        </w:rPr>
        <w:t xml:space="preserve">provide inspectors and the industry with guidance that: </w:t>
      </w:r>
    </w:p>
    <w:p w:rsidR="00F003E4" w:rsidRPr="008526D9" w:rsidRDefault="00F003E4" w:rsidP="00F003E4">
      <w:pPr>
        <w:keepNext/>
        <w:suppressAutoHyphens/>
        <w:spacing w:after="0" w:line="240" w:lineRule="auto"/>
        <w:outlineLvl w:val="0"/>
        <w:rPr>
          <w:rFonts w:ascii="Arial" w:eastAsia="Calibri" w:hAnsi="Arial" w:cs="Arial"/>
          <w:lang w:eastAsia="ar-SA"/>
        </w:rPr>
      </w:pPr>
    </w:p>
    <w:p w:rsidR="00F003E4" w:rsidRPr="008526D9" w:rsidRDefault="00F003E4" w:rsidP="00F003E4">
      <w:pPr>
        <w:pStyle w:val="ListParagraph"/>
        <w:keepNext/>
        <w:numPr>
          <w:ilvl w:val="0"/>
          <w:numId w:val="27"/>
        </w:numPr>
        <w:suppressAutoHyphens/>
        <w:spacing w:after="0" w:line="240" w:lineRule="auto"/>
        <w:outlineLvl w:val="0"/>
        <w:rPr>
          <w:rFonts w:ascii="Arial" w:eastAsia="Calibri" w:hAnsi="Arial" w:cs="Arial"/>
          <w:lang w:eastAsia="ar-SA"/>
        </w:rPr>
      </w:pPr>
      <w:r w:rsidRPr="008526D9">
        <w:rPr>
          <w:rFonts w:ascii="Arial" w:eastAsia="Calibri" w:hAnsi="Arial" w:cs="Arial"/>
          <w:lang w:eastAsia="ar-SA"/>
        </w:rPr>
        <w:t>new trucks and trailers used in road train combinations must be wired for 24V power</w:t>
      </w:r>
    </w:p>
    <w:p w:rsidR="00F003E4" w:rsidRDefault="00F003E4" w:rsidP="00F003E4">
      <w:pPr>
        <w:pStyle w:val="ListParagraph"/>
        <w:keepNext/>
        <w:numPr>
          <w:ilvl w:val="0"/>
          <w:numId w:val="27"/>
        </w:numPr>
        <w:suppressAutoHyphens/>
        <w:spacing w:after="0" w:line="240" w:lineRule="auto"/>
        <w:outlineLvl w:val="0"/>
        <w:rPr>
          <w:rFonts w:ascii="Arial" w:eastAsia="Calibri" w:hAnsi="Arial" w:cs="Arial"/>
          <w:lang w:eastAsia="ar-SA"/>
        </w:rPr>
      </w:pPr>
      <w:r w:rsidRPr="008526D9">
        <w:rPr>
          <w:rFonts w:ascii="Arial" w:eastAsia="Calibri" w:hAnsi="Arial" w:cs="Arial"/>
          <w:lang w:eastAsia="ar-SA"/>
        </w:rPr>
        <w:t xml:space="preserve">the power cables connecting new trucks and trailers in road train combinations must be configured </w:t>
      </w:r>
      <w:r>
        <w:rPr>
          <w:rFonts w:ascii="Arial" w:eastAsia="Calibri" w:hAnsi="Arial" w:cs="Arial"/>
          <w:lang w:eastAsia="ar-SA"/>
        </w:rPr>
        <w:t xml:space="preserve">and connected </w:t>
      </w:r>
      <w:r w:rsidRPr="008526D9">
        <w:rPr>
          <w:rFonts w:ascii="Arial" w:eastAsia="Calibri" w:hAnsi="Arial" w:cs="Arial"/>
          <w:lang w:eastAsia="ar-SA"/>
        </w:rPr>
        <w:t>to supply 24V power.</w:t>
      </w:r>
    </w:p>
    <w:p w:rsidR="00F003E4" w:rsidRPr="00261D80" w:rsidRDefault="00F003E4" w:rsidP="00261D80">
      <w:pPr>
        <w:suppressAutoHyphens/>
        <w:spacing w:after="0" w:line="240" w:lineRule="auto"/>
        <w:outlineLvl w:val="0"/>
        <w:rPr>
          <w:rFonts w:ascii="Arial" w:eastAsia="Calibri" w:hAnsi="Arial" w:cs="Arial"/>
          <w:lang w:eastAsia="ar-SA"/>
        </w:rPr>
      </w:pPr>
    </w:p>
    <w:p w:rsidR="00261D80" w:rsidRPr="00261D80" w:rsidRDefault="00261D80" w:rsidP="00261D80">
      <w:pPr>
        <w:suppressAutoHyphens/>
        <w:spacing w:after="0" w:line="240" w:lineRule="auto"/>
        <w:outlineLvl w:val="0"/>
        <w:rPr>
          <w:rFonts w:ascii="Arial" w:eastAsia="Calibri" w:hAnsi="Arial" w:cs="Arial"/>
          <w:lang w:eastAsia="ar-SA"/>
        </w:rPr>
      </w:pPr>
    </w:p>
    <w:p w:rsidR="00624164" w:rsidRPr="00EB5D57" w:rsidRDefault="00261D80" w:rsidP="00F1429E">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Introduction</w:t>
      </w:r>
    </w:p>
    <w:p w:rsidR="000D45C2" w:rsidRDefault="000D45C2" w:rsidP="00A07745">
      <w:pPr>
        <w:pStyle w:val="Default"/>
        <w:rPr>
          <w:sz w:val="22"/>
          <w:szCs w:val="22"/>
        </w:rPr>
      </w:pPr>
    </w:p>
    <w:p w:rsidR="00ED3B2C" w:rsidRDefault="00261D80"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On 28 December 2009, </w:t>
      </w:r>
      <w:r w:rsidR="007376E0">
        <w:rPr>
          <w:rFonts w:ascii="Arial" w:eastAsia="Calibri" w:hAnsi="Arial" w:cs="Arial"/>
          <w:lang w:eastAsia="ar-SA"/>
        </w:rPr>
        <w:t>just after Christmas, David Carolan was driving a fuel tanker southbound on the Princes Highway at East Lynne, NSW. Just north of Pebbly Beach Road, the tanker rolled over, slid into the northbound lane, and collided with a Toyota RAV 4, a Honda sedan and a Subaru Forester. There was a massive explosion.</w:t>
      </w:r>
    </w:p>
    <w:p w:rsidR="007376E0" w:rsidRDefault="007376E0" w:rsidP="00596738">
      <w:pPr>
        <w:suppressAutoHyphens/>
        <w:spacing w:after="0" w:line="240" w:lineRule="auto"/>
        <w:outlineLvl w:val="0"/>
        <w:rPr>
          <w:rFonts w:ascii="Arial" w:eastAsia="Calibri" w:hAnsi="Arial" w:cs="Arial"/>
          <w:lang w:eastAsia="ar-SA"/>
        </w:rPr>
      </w:pPr>
    </w:p>
    <w:p w:rsidR="007376E0" w:rsidRDefault="007376E0"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Mr Carolan died at the scene of the crash. The driver of the Subaru, David Bridge, survived the explosion but died in hospital five days later. His children, Jordan and Makeely, died</w:t>
      </w:r>
      <w:r w:rsidR="006365D5">
        <w:rPr>
          <w:rFonts w:ascii="Arial" w:eastAsia="Calibri" w:hAnsi="Arial" w:cs="Arial"/>
          <w:lang w:eastAsia="ar-SA"/>
        </w:rPr>
        <w:t>. His wife,</w:t>
      </w:r>
      <w:r>
        <w:rPr>
          <w:rFonts w:ascii="Arial" w:eastAsia="Calibri" w:hAnsi="Arial" w:cs="Arial"/>
          <w:lang w:eastAsia="ar-SA"/>
        </w:rPr>
        <w:t xml:space="preserve"> Deborah, miraculously survived</w:t>
      </w:r>
      <w:r w:rsidR="006365D5">
        <w:rPr>
          <w:rFonts w:ascii="Arial" w:eastAsia="Calibri" w:hAnsi="Arial" w:cs="Arial"/>
          <w:lang w:eastAsia="ar-SA"/>
        </w:rPr>
        <w:t xml:space="preserve"> but was critically injured</w:t>
      </w:r>
      <w:r>
        <w:rPr>
          <w:rFonts w:ascii="Arial" w:eastAsia="Calibri" w:hAnsi="Arial" w:cs="Arial"/>
          <w:lang w:eastAsia="ar-SA"/>
        </w:rPr>
        <w:t>.</w:t>
      </w:r>
    </w:p>
    <w:p w:rsidR="007376E0" w:rsidRDefault="006365D5"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 </w:t>
      </w:r>
    </w:p>
    <w:p w:rsidR="00261D80" w:rsidRPr="00261D80" w:rsidRDefault="00FD1E7F"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Two years later, </w:t>
      </w:r>
      <w:r w:rsidR="006365D5">
        <w:rPr>
          <w:rFonts w:ascii="Arial" w:eastAsia="Calibri" w:hAnsi="Arial" w:cs="Arial"/>
          <w:lang w:eastAsia="ar-SA"/>
        </w:rPr>
        <w:t xml:space="preserve">in 2011, </w:t>
      </w:r>
      <w:r>
        <w:rPr>
          <w:rFonts w:ascii="Arial" w:eastAsia="Calibri" w:hAnsi="Arial" w:cs="Arial"/>
          <w:lang w:eastAsia="ar-SA"/>
        </w:rPr>
        <w:t>Deputy State Coroner Carmel Forbes recommended that all vehicles in Australia used for the transportation of dangerous goods should be fitted with a stability control system.</w:t>
      </w:r>
      <w:r>
        <w:rPr>
          <w:rStyle w:val="FootnoteReference"/>
          <w:rFonts w:ascii="Arial" w:eastAsia="Calibri" w:hAnsi="Arial" w:cs="Arial"/>
          <w:lang w:eastAsia="ar-SA"/>
        </w:rPr>
        <w:footnoteReference w:id="2"/>
      </w:r>
    </w:p>
    <w:p w:rsidR="006365D5" w:rsidRDefault="006365D5" w:rsidP="00596738">
      <w:pPr>
        <w:suppressAutoHyphens/>
        <w:spacing w:after="0" w:line="240" w:lineRule="auto"/>
        <w:outlineLvl w:val="0"/>
        <w:rPr>
          <w:rFonts w:ascii="Arial" w:eastAsia="Calibri" w:hAnsi="Arial" w:cs="Arial"/>
          <w:lang w:eastAsia="ar-SA"/>
        </w:rPr>
      </w:pPr>
    </w:p>
    <w:p w:rsidR="00FD1E7F" w:rsidRDefault="006365D5"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I</w:t>
      </w:r>
      <w:r w:rsidR="006E2AC4">
        <w:rPr>
          <w:rFonts w:ascii="Arial" w:eastAsia="Calibri" w:hAnsi="Arial" w:cs="Arial"/>
          <w:lang w:eastAsia="ar-SA"/>
        </w:rPr>
        <w:t>n 2013</w:t>
      </w:r>
      <w:r>
        <w:rPr>
          <w:rFonts w:ascii="Arial" w:eastAsia="Calibri" w:hAnsi="Arial" w:cs="Arial"/>
          <w:lang w:eastAsia="ar-SA"/>
        </w:rPr>
        <w:t xml:space="preserve">, </w:t>
      </w:r>
      <w:r w:rsidR="006E2AC4">
        <w:rPr>
          <w:rFonts w:ascii="Arial" w:eastAsia="Calibri" w:hAnsi="Arial" w:cs="Arial"/>
          <w:lang w:eastAsia="ar-SA"/>
        </w:rPr>
        <w:t>after another tanker crash in New South Wales, the ATA repeated this call.</w:t>
      </w:r>
      <w:r w:rsidR="00064845">
        <w:rPr>
          <w:rStyle w:val="FootnoteReference"/>
          <w:rFonts w:ascii="Arial" w:eastAsia="Calibri" w:hAnsi="Arial" w:cs="Arial"/>
          <w:lang w:eastAsia="ar-SA"/>
        </w:rPr>
        <w:footnoteReference w:id="3"/>
      </w:r>
      <w:r w:rsidR="006E2AC4">
        <w:rPr>
          <w:rFonts w:ascii="Arial" w:eastAsia="Calibri" w:hAnsi="Arial" w:cs="Arial"/>
          <w:lang w:eastAsia="ar-SA"/>
        </w:rPr>
        <w:t xml:space="preserve"> </w:t>
      </w:r>
    </w:p>
    <w:p w:rsidR="00064845" w:rsidRDefault="00064845" w:rsidP="00596738">
      <w:pPr>
        <w:suppressAutoHyphens/>
        <w:spacing w:after="0" w:line="240" w:lineRule="auto"/>
        <w:outlineLvl w:val="0"/>
        <w:rPr>
          <w:rFonts w:ascii="Arial" w:eastAsia="Calibri" w:hAnsi="Arial" w:cs="Arial"/>
          <w:lang w:eastAsia="ar-SA"/>
        </w:rPr>
      </w:pPr>
    </w:p>
    <w:p w:rsidR="00064845" w:rsidRDefault="00064845"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NSW Government subsequently required all dangerous goods tanker trailers built after 1 July 2014 to </w:t>
      </w:r>
      <w:r w:rsidR="00D1099E">
        <w:rPr>
          <w:rFonts w:ascii="Arial" w:eastAsia="Calibri" w:hAnsi="Arial" w:cs="Arial"/>
          <w:lang w:eastAsia="ar-SA"/>
        </w:rPr>
        <w:t xml:space="preserve">be fitted with </w:t>
      </w:r>
      <w:r>
        <w:rPr>
          <w:rFonts w:ascii="Arial" w:eastAsia="Calibri" w:hAnsi="Arial" w:cs="Arial"/>
          <w:lang w:eastAsia="ar-SA"/>
        </w:rPr>
        <w:t>RSC.</w:t>
      </w:r>
      <w:r w:rsidR="00D1099E">
        <w:rPr>
          <w:rStyle w:val="FootnoteReference"/>
          <w:rFonts w:ascii="Arial" w:eastAsia="Calibri" w:hAnsi="Arial" w:cs="Arial"/>
          <w:lang w:eastAsia="ar-SA"/>
        </w:rPr>
        <w:footnoteReference w:id="4"/>
      </w:r>
      <w:r>
        <w:rPr>
          <w:rFonts w:ascii="Arial" w:eastAsia="Calibri" w:hAnsi="Arial" w:cs="Arial"/>
          <w:lang w:eastAsia="ar-SA"/>
        </w:rPr>
        <w:t xml:space="preserve"> From 1 January 2019, every dangerous goods tanker trailer used in NSW will need to have RSC.</w:t>
      </w:r>
      <w:r w:rsidR="00D1099E">
        <w:rPr>
          <w:rStyle w:val="FootnoteReference"/>
          <w:rFonts w:ascii="Arial" w:eastAsia="Calibri" w:hAnsi="Arial" w:cs="Arial"/>
          <w:lang w:eastAsia="ar-SA"/>
        </w:rPr>
        <w:footnoteReference w:id="5"/>
      </w:r>
      <w:r>
        <w:rPr>
          <w:rFonts w:ascii="Arial" w:eastAsia="Calibri" w:hAnsi="Arial" w:cs="Arial"/>
          <w:lang w:eastAsia="ar-SA"/>
        </w:rPr>
        <w:t xml:space="preserve"> The NSW Government was </w:t>
      </w:r>
      <w:r w:rsidR="00D1099E">
        <w:rPr>
          <w:rFonts w:ascii="Arial" w:eastAsia="Calibri" w:hAnsi="Arial" w:cs="Arial"/>
          <w:lang w:eastAsia="ar-SA"/>
        </w:rPr>
        <w:t>not able to</w:t>
      </w:r>
      <w:r>
        <w:rPr>
          <w:rFonts w:ascii="Arial" w:eastAsia="Calibri" w:hAnsi="Arial" w:cs="Arial"/>
          <w:lang w:eastAsia="ar-SA"/>
        </w:rPr>
        <w:t xml:space="preserve"> secure national agreement on these requirements.</w:t>
      </w:r>
    </w:p>
    <w:p w:rsidR="00D1099E" w:rsidRDefault="00D1099E" w:rsidP="00596738">
      <w:pPr>
        <w:suppressAutoHyphens/>
        <w:spacing w:after="0" w:line="240" w:lineRule="auto"/>
        <w:outlineLvl w:val="0"/>
        <w:rPr>
          <w:rFonts w:ascii="Arial" w:eastAsia="Calibri" w:hAnsi="Arial" w:cs="Arial"/>
          <w:lang w:eastAsia="ar-SA"/>
        </w:rPr>
      </w:pPr>
    </w:p>
    <w:p w:rsidR="00D1099E" w:rsidRDefault="00D1099E" w:rsidP="00596738">
      <w:pPr>
        <w:suppressAutoHyphens/>
        <w:spacing w:after="0" w:line="240" w:lineRule="auto"/>
        <w:outlineLvl w:val="0"/>
        <w:rPr>
          <w:rFonts w:ascii="Arial" w:eastAsia="Calibri" w:hAnsi="Arial" w:cs="Arial"/>
          <w:lang w:eastAsia="ar-SA"/>
        </w:rPr>
      </w:pPr>
      <w:r>
        <w:rPr>
          <w:rFonts w:ascii="Arial" w:eastAsia="Calibri" w:hAnsi="Arial" w:cs="Arial"/>
          <w:lang w:eastAsia="ar-SA"/>
        </w:rPr>
        <w:t>The ATA went on to make stability control for new trucks and trailers a central part of its 2016 election and ongoing safety campaign.</w:t>
      </w:r>
      <w:r>
        <w:rPr>
          <w:rStyle w:val="FootnoteReference"/>
          <w:rFonts w:ascii="Arial" w:eastAsia="Calibri" w:hAnsi="Arial" w:cs="Arial"/>
          <w:lang w:eastAsia="ar-SA"/>
        </w:rPr>
        <w:footnoteReference w:id="6"/>
      </w:r>
    </w:p>
    <w:p w:rsidR="00FD1E7F" w:rsidRDefault="00FD1E7F" w:rsidP="00596738">
      <w:pPr>
        <w:suppressAutoHyphens/>
        <w:spacing w:after="0" w:line="240" w:lineRule="auto"/>
        <w:outlineLvl w:val="0"/>
        <w:rPr>
          <w:rFonts w:ascii="Arial" w:eastAsia="Calibri" w:hAnsi="Arial" w:cs="Arial"/>
          <w:lang w:eastAsia="ar-SA"/>
        </w:rPr>
      </w:pPr>
    </w:p>
    <w:p w:rsidR="007E413C" w:rsidRPr="00261D80" w:rsidRDefault="007E413C" w:rsidP="00596738">
      <w:pPr>
        <w:suppressAutoHyphens/>
        <w:spacing w:after="0" w:line="240" w:lineRule="auto"/>
        <w:outlineLvl w:val="0"/>
        <w:rPr>
          <w:rFonts w:ascii="Arial" w:eastAsia="Calibri" w:hAnsi="Arial" w:cs="Arial"/>
          <w:lang w:eastAsia="ar-SA"/>
        </w:rPr>
      </w:pPr>
    </w:p>
    <w:p w:rsidR="00596738" w:rsidRPr="00261D80" w:rsidRDefault="00596738" w:rsidP="00596738">
      <w:pPr>
        <w:suppressAutoHyphens/>
        <w:spacing w:after="0" w:line="240" w:lineRule="auto"/>
        <w:outlineLvl w:val="0"/>
        <w:rPr>
          <w:rFonts w:ascii="Arial" w:eastAsia="Calibri" w:hAnsi="Arial" w:cs="Arial"/>
          <w:sz w:val="24"/>
          <w:szCs w:val="24"/>
          <w:lang w:eastAsia="ar-SA"/>
        </w:rPr>
      </w:pPr>
    </w:p>
    <w:p w:rsidR="005940DB" w:rsidRDefault="00CB5EA4" w:rsidP="005276F5">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About the RIS</w:t>
      </w:r>
    </w:p>
    <w:p w:rsidR="00261D80" w:rsidRDefault="00261D80" w:rsidP="00261D80">
      <w:pPr>
        <w:suppressAutoHyphens/>
        <w:spacing w:after="0" w:line="240" w:lineRule="auto"/>
        <w:outlineLvl w:val="0"/>
        <w:rPr>
          <w:rFonts w:ascii="Arial" w:eastAsia="Calibri" w:hAnsi="Arial" w:cs="Arial"/>
          <w:lang w:eastAsia="ar-SA"/>
        </w:rPr>
      </w:pPr>
    </w:p>
    <w:p w:rsidR="00FD1E7F" w:rsidRDefault="00660E4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w:t>
      </w:r>
      <w:r w:rsidR="00F05508">
        <w:rPr>
          <w:rFonts w:ascii="Arial" w:eastAsia="Calibri" w:hAnsi="Arial" w:cs="Arial"/>
          <w:lang w:eastAsia="ar-SA"/>
        </w:rPr>
        <w:t xml:space="preserve">consultation RIS considers six options, and a number of sub-options, for improving the stability and control of heavy vehicles. After </w:t>
      </w:r>
      <w:r w:rsidR="004F7F38">
        <w:rPr>
          <w:rFonts w:ascii="Arial" w:eastAsia="Calibri" w:hAnsi="Arial" w:cs="Arial"/>
          <w:lang w:eastAsia="ar-SA"/>
        </w:rPr>
        <w:t>dealing with</w:t>
      </w:r>
      <w:r w:rsidR="00F05508">
        <w:rPr>
          <w:rFonts w:ascii="Arial" w:eastAsia="Calibri" w:hAnsi="Arial" w:cs="Arial"/>
          <w:lang w:eastAsia="ar-SA"/>
        </w:rPr>
        <w:t xml:space="preserve"> the base case (option 1), non-regulatory options (options 2-3) and the development of a voluntary code of practice or mandatory standards under the </w:t>
      </w:r>
      <w:r w:rsidR="00F05508" w:rsidRPr="00F05508">
        <w:rPr>
          <w:rFonts w:ascii="Arial" w:eastAsia="Calibri" w:hAnsi="Arial" w:cs="Arial"/>
          <w:i/>
          <w:lang w:eastAsia="ar-SA"/>
        </w:rPr>
        <w:t>Competition and Consumer Act 2010</w:t>
      </w:r>
      <w:r w:rsidR="00F05508">
        <w:rPr>
          <w:rFonts w:ascii="Arial" w:eastAsia="Calibri" w:hAnsi="Arial" w:cs="Arial"/>
          <w:lang w:eastAsia="ar-SA"/>
        </w:rPr>
        <w:t xml:space="preserve"> (options 4-5), the </w:t>
      </w:r>
      <w:r>
        <w:rPr>
          <w:rFonts w:ascii="Arial" w:eastAsia="Calibri" w:hAnsi="Arial" w:cs="Arial"/>
          <w:lang w:eastAsia="ar-SA"/>
        </w:rPr>
        <w:t xml:space="preserve">RIS </w:t>
      </w:r>
      <w:r w:rsidR="00F05508">
        <w:rPr>
          <w:rFonts w:ascii="Arial" w:eastAsia="Calibri" w:hAnsi="Arial" w:cs="Arial"/>
          <w:lang w:eastAsia="ar-SA"/>
        </w:rPr>
        <w:t>focuses on</w:t>
      </w:r>
      <w:r>
        <w:rPr>
          <w:rFonts w:ascii="Arial" w:eastAsia="Calibri" w:hAnsi="Arial" w:cs="Arial"/>
          <w:lang w:eastAsia="ar-SA"/>
        </w:rPr>
        <w:t xml:space="preserve"> three sub-options for </w:t>
      </w:r>
      <w:r w:rsidR="00F05508">
        <w:rPr>
          <w:rFonts w:ascii="Arial" w:eastAsia="Calibri" w:hAnsi="Arial" w:cs="Arial"/>
          <w:lang w:eastAsia="ar-SA"/>
        </w:rPr>
        <w:t>amendments to the Australian Design Rules, as set out in table 1</w:t>
      </w:r>
      <w:r>
        <w:rPr>
          <w:rFonts w:ascii="Arial" w:eastAsia="Calibri" w:hAnsi="Arial" w:cs="Arial"/>
          <w:lang w:eastAsia="ar-SA"/>
        </w:rPr>
        <w:t>.</w:t>
      </w:r>
      <w:r w:rsidR="00606551">
        <w:rPr>
          <w:rStyle w:val="FootnoteReference"/>
          <w:rFonts w:ascii="Arial" w:eastAsia="Calibri" w:hAnsi="Arial" w:cs="Arial"/>
          <w:lang w:eastAsia="ar-SA"/>
        </w:rPr>
        <w:footnoteReference w:id="7"/>
      </w:r>
    </w:p>
    <w:p w:rsidR="00660E44" w:rsidRPr="005A3AF5" w:rsidRDefault="00660E44" w:rsidP="00261D80">
      <w:pPr>
        <w:suppressAutoHyphens/>
        <w:spacing w:after="0" w:line="240" w:lineRule="auto"/>
        <w:outlineLvl w:val="0"/>
        <w:rPr>
          <w:rFonts w:ascii="Arial" w:eastAsia="Calibri" w:hAnsi="Arial" w:cs="Arial"/>
          <w:b/>
          <w:sz w:val="20"/>
          <w:szCs w:val="20"/>
          <w:lang w:eastAsia="ar-SA"/>
        </w:rPr>
      </w:pPr>
    </w:p>
    <w:p w:rsidR="00660E44" w:rsidRDefault="00660E44" w:rsidP="00261D80">
      <w:pPr>
        <w:suppressAutoHyphens/>
        <w:spacing w:after="0" w:line="240" w:lineRule="auto"/>
        <w:outlineLvl w:val="0"/>
        <w:rPr>
          <w:rFonts w:ascii="Arial" w:eastAsia="Calibri" w:hAnsi="Arial" w:cs="Arial"/>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05508" w:rsidTr="00F05508">
        <w:tc>
          <w:tcPr>
            <w:tcW w:w="9016" w:type="dxa"/>
            <w:gridSpan w:val="4"/>
            <w:tcBorders>
              <w:bottom w:val="single" w:sz="4" w:space="0" w:color="auto"/>
            </w:tcBorders>
            <w:tcMar>
              <w:bottom w:w="113" w:type="dxa"/>
            </w:tcMar>
          </w:tcPr>
          <w:p w:rsidR="00F05508" w:rsidRPr="005A3AF5" w:rsidRDefault="00F05508" w:rsidP="00F05508">
            <w:pPr>
              <w:suppressAutoHyphens/>
              <w:outlineLvl w:val="0"/>
              <w:rPr>
                <w:rFonts w:ascii="Arial" w:eastAsia="Calibri" w:hAnsi="Arial" w:cs="Arial"/>
                <w:b/>
                <w:sz w:val="20"/>
                <w:szCs w:val="20"/>
                <w:lang w:eastAsia="ar-SA"/>
              </w:rPr>
            </w:pPr>
            <w:r w:rsidRPr="005A3AF5">
              <w:rPr>
                <w:rFonts w:ascii="Arial" w:eastAsia="Calibri" w:hAnsi="Arial" w:cs="Arial"/>
                <w:b/>
                <w:sz w:val="20"/>
                <w:szCs w:val="20"/>
                <w:lang w:eastAsia="ar-SA"/>
              </w:rPr>
              <w:t xml:space="preserve">Table </w:t>
            </w:r>
            <w:r>
              <w:rPr>
                <w:rFonts w:ascii="Arial" w:eastAsia="Calibri" w:hAnsi="Arial" w:cs="Arial"/>
                <w:b/>
                <w:sz w:val="20"/>
                <w:szCs w:val="20"/>
                <w:lang w:eastAsia="ar-SA"/>
              </w:rPr>
              <w:t>1</w:t>
            </w:r>
            <w:r w:rsidRPr="005A3AF5">
              <w:rPr>
                <w:rFonts w:ascii="Arial" w:eastAsia="Calibri" w:hAnsi="Arial" w:cs="Arial"/>
                <w:b/>
                <w:sz w:val="20"/>
                <w:szCs w:val="20"/>
                <w:lang w:eastAsia="ar-SA"/>
              </w:rPr>
              <w:t xml:space="preserve">: </w:t>
            </w:r>
            <w:r>
              <w:rPr>
                <w:rFonts w:ascii="Arial" w:eastAsia="Calibri" w:hAnsi="Arial" w:cs="Arial"/>
                <w:b/>
                <w:sz w:val="20"/>
                <w:szCs w:val="20"/>
                <w:lang w:eastAsia="ar-SA"/>
              </w:rPr>
              <w:t>ADR</w:t>
            </w:r>
            <w:r w:rsidRPr="005A3AF5">
              <w:rPr>
                <w:rFonts w:ascii="Arial" w:eastAsia="Calibri" w:hAnsi="Arial" w:cs="Arial"/>
                <w:b/>
                <w:sz w:val="20"/>
                <w:szCs w:val="20"/>
                <w:lang w:eastAsia="ar-SA"/>
              </w:rPr>
              <w:t xml:space="preserve"> options considered in the RIS</w:t>
            </w:r>
          </w:p>
        </w:tc>
      </w:tr>
      <w:tr w:rsidR="005A3AF5" w:rsidTr="00F05508">
        <w:tc>
          <w:tcPr>
            <w:tcW w:w="2254" w:type="dxa"/>
            <w:tcBorders>
              <w:top w:val="single" w:sz="4" w:space="0" w:color="auto"/>
              <w:bottom w:val="single" w:sz="4" w:space="0" w:color="auto"/>
            </w:tcBorders>
          </w:tcPr>
          <w:p w:rsidR="005A3AF5" w:rsidRPr="005A3AF5" w:rsidRDefault="005A3AF5" w:rsidP="005A3AF5">
            <w:pPr>
              <w:suppressAutoHyphens/>
              <w:jc w:val="center"/>
              <w:outlineLvl w:val="0"/>
              <w:rPr>
                <w:rFonts w:ascii="Arial" w:eastAsia="Calibri" w:hAnsi="Arial" w:cs="Arial"/>
                <w:b/>
                <w:sz w:val="20"/>
                <w:szCs w:val="20"/>
                <w:lang w:eastAsia="ar-SA"/>
              </w:rPr>
            </w:pPr>
            <w:r w:rsidRPr="005A3AF5">
              <w:rPr>
                <w:rFonts w:ascii="Arial" w:eastAsia="Calibri" w:hAnsi="Arial" w:cs="Arial"/>
                <w:b/>
                <w:sz w:val="20"/>
                <w:szCs w:val="20"/>
                <w:lang w:eastAsia="ar-SA"/>
              </w:rPr>
              <w:t>Option</w:t>
            </w:r>
          </w:p>
        </w:tc>
        <w:tc>
          <w:tcPr>
            <w:tcW w:w="2254" w:type="dxa"/>
            <w:tcBorders>
              <w:top w:val="single" w:sz="4" w:space="0" w:color="auto"/>
              <w:bottom w:val="single" w:sz="4" w:space="0" w:color="auto"/>
            </w:tcBorders>
          </w:tcPr>
          <w:p w:rsidR="005A3AF5" w:rsidRPr="005A3AF5" w:rsidRDefault="005A3AF5" w:rsidP="005A3AF5">
            <w:pPr>
              <w:suppressAutoHyphens/>
              <w:jc w:val="center"/>
              <w:outlineLvl w:val="0"/>
              <w:rPr>
                <w:rFonts w:ascii="Arial" w:eastAsia="Calibri" w:hAnsi="Arial" w:cs="Arial"/>
                <w:b/>
                <w:sz w:val="20"/>
                <w:szCs w:val="20"/>
                <w:lang w:eastAsia="ar-SA"/>
              </w:rPr>
            </w:pPr>
            <w:r w:rsidRPr="005A3AF5">
              <w:rPr>
                <w:rFonts w:ascii="Arial" w:eastAsia="Calibri" w:hAnsi="Arial" w:cs="Arial"/>
                <w:b/>
                <w:sz w:val="20"/>
                <w:szCs w:val="20"/>
                <w:lang w:eastAsia="ar-SA"/>
              </w:rPr>
              <w:t>Rigid trucks</w:t>
            </w:r>
            <w:r>
              <w:rPr>
                <w:rFonts w:ascii="Arial" w:eastAsia="Calibri" w:hAnsi="Arial" w:cs="Arial"/>
                <w:b/>
                <w:sz w:val="20"/>
                <w:szCs w:val="20"/>
                <w:lang w:eastAsia="ar-SA"/>
              </w:rPr>
              <w:t xml:space="preserve"> ESC</w:t>
            </w:r>
          </w:p>
        </w:tc>
        <w:tc>
          <w:tcPr>
            <w:tcW w:w="2254" w:type="dxa"/>
            <w:tcBorders>
              <w:top w:val="single" w:sz="4" w:space="0" w:color="auto"/>
              <w:bottom w:val="single" w:sz="4" w:space="0" w:color="auto"/>
            </w:tcBorders>
          </w:tcPr>
          <w:p w:rsidR="005A3AF5" w:rsidRPr="005A3AF5" w:rsidRDefault="005A3AF5" w:rsidP="005A3AF5">
            <w:pPr>
              <w:suppressAutoHyphens/>
              <w:jc w:val="center"/>
              <w:outlineLvl w:val="0"/>
              <w:rPr>
                <w:rFonts w:ascii="Arial" w:eastAsia="Calibri" w:hAnsi="Arial" w:cs="Arial"/>
                <w:b/>
                <w:sz w:val="20"/>
                <w:szCs w:val="20"/>
                <w:lang w:eastAsia="ar-SA"/>
              </w:rPr>
            </w:pPr>
            <w:r>
              <w:rPr>
                <w:rFonts w:ascii="Arial" w:eastAsia="Calibri" w:hAnsi="Arial" w:cs="Arial"/>
                <w:b/>
                <w:sz w:val="20"/>
                <w:szCs w:val="20"/>
                <w:lang w:eastAsia="ar-SA"/>
              </w:rPr>
              <w:t>Prime mover ESC</w:t>
            </w:r>
          </w:p>
        </w:tc>
        <w:tc>
          <w:tcPr>
            <w:tcW w:w="2254" w:type="dxa"/>
            <w:tcBorders>
              <w:top w:val="single" w:sz="4" w:space="0" w:color="auto"/>
              <w:bottom w:val="single" w:sz="4" w:space="0" w:color="auto"/>
            </w:tcBorders>
          </w:tcPr>
          <w:p w:rsidR="005A3AF5" w:rsidRPr="005A3AF5" w:rsidRDefault="005A3AF5" w:rsidP="005A3AF5">
            <w:pPr>
              <w:suppressAutoHyphens/>
              <w:jc w:val="center"/>
              <w:outlineLvl w:val="0"/>
              <w:rPr>
                <w:rFonts w:ascii="Arial" w:eastAsia="Calibri" w:hAnsi="Arial" w:cs="Arial"/>
                <w:b/>
                <w:sz w:val="20"/>
                <w:szCs w:val="20"/>
                <w:lang w:eastAsia="ar-SA"/>
              </w:rPr>
            </w:pPr>
            <w:r w:rsidRPr="005A3AF5">
              <w:rPr>
                <w:rFonts w:ascii="Arial" w:eastAsia="Calibri" w:hAnsi="Arial" w:cs="Arial"/>
                <w:b/>
                <w:sz w:val="20"/>
                <w:szCs w:val="20"/>
                <w:lang w:eastAsia="ar-SA"/>
              </w:rPr>
              <w:t>Trailers</w:t>
            </w:r>
          </w:p>
        </w:tc>
      </w:tr>
      <w:tr w:rsidR="005A3AF5" w:rsidTr="00F05508">
        <w:tc>
          <w:tcPr>
            <w:tcW w:w="2254" w:type="dxa"/>
            <w:tcBorders>
              <w:top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sidRPr="005A3AF5">
              <w:rPr>
                <w:rFonts w:ascii="Arial" w:eastAsia="Calibri" w:hAnsi="Arial" w:cs="Arial"/>
                <w:sz w:val="20"/>
                <w:szCs w:val="20"/>
                <w:lang w:eastAsia="ar-SA"/>
              </w:rPr>
              <w:t>6a</w:t>
            </w:r>
            <w:r>
              <w:rPr>
                <w:rFonts w:ascii="Arial" w:eastAsia="Calibri" w:hAnsi="Arial" w:cs="Arial"/>
                <w:sz w:val="20"/>
                <w:szCs w:val="20"/>
                <w:lang w:eastAsia="ar-SA"/>
              </w:rPr>
              <w:t xml:space="preserve"> (broad scope)</w:t>
            </w:r>
          </w:p>
        </w:tc>
        <w:tc>
          <w:tcPr>
            <w:tcW w:w="2254" w:type="dxa"/>
            <w:tcBorders>
              <w:top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&gt;4.5t</w:t>
            </w:r>
          </w:p>
        </w:tc>
        <w:tc>
          <w:tcPr>
            <w:tcW w:w="2254" w:type="dxa"/>
            <w:tcBorders>
              <w:top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&gt;4.5t</w:t>
            </w:r>
          </w:p>
        </w:tc>
        <w:tc>
          <w:tcPr>
            <w:tcW w:w="2254" w:type="dxa"/>
            <w:tcBorders>
              <w:top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ABS&gt;4.5t, RSC&gt;10t</w:t>
            </w:r>
          </w:p>
        </w:tc>
      </w:tr>
      <w:tr w:rsidR="005A3AF5" w:rsidTr="00F05508">
        <w:tc>
          <w:tcPr>
            <w:tcW w:w="2254" w:type="dxa"/>
          </w:tcPr>
          <w:p w:rsidR="005A3AF5" w:rsidRPr="005A3AF5" w:rsidRDefault="005A3AF5" w:rsidP="005A3AF5">
            <w:pPr>
              <w:suppressAutoHyphens/>
              <w:jc w:val="center"/>
              <w:outlineLvl w:val="0"/>
              <w:rPr>
                <w:rFonts w:ascii="Arial" w:eastAsia="Calibri" w:hAnsi="Arial" w:cs="Arial"/>
                <w:sz w:val="20"/>
                <w:szCs w:val="20"/>
                <w:lang w:eastAsia="ar-SA"/>
              </w:rPr>
            </w:pPr>
            <w:r w:rsidRPr="005A3AF5">
              <w:rPr>
                <w:rFonts w:ascii="Arial" w:eastAsia="Calibri" w:hAnsi="Arial" w:cs="Arial"/>
                <w:sz w:val="20"/>
                <w:szCs w:val="20"/>
                <w:lang w:eastAsia="ar-SA"/>
              </w:rPr>
              <w:t>6b</w:t>
            </w:r>
            <w:r>
              <w:rPr>
                <w:rFonts w:ascii="Arial" w:eastAsia="Calibri" w:hAnsi="Arial" w:cs="Arial"/>
                <w:sz w:val="20"/>
                <w:szCs w:val="20"/>
                <w:lang w:eastAsia="ar-SA"/>
              </w:rPr>
              <w:t xml:space="preserve"> (medium scope)</w:t>
            </w:r>
          </w:p>
        </w:tc>
        <w:tc>
          <w:tcPr>
            <w:tcW w:w="2254" w:type="dxa"/>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&gt;12t</w:t>
            </w:r>
          </w:p>
        </w:tc>
        <w:tc>
          <w:tcPr>
            <w:tcW w:w="2254" w:type="dxa"/>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&gt;12t</w:t>
            </w:r>
          </w:p>
        </w:tc>
        <w:tc>
          <w:tcPr>
            <w:tcW w:w="2254" w:type="dxa"/>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ABS&gt;4.5t, RSC&gt;10t</w:t>
            </w:r>
          </w:p>
        </w:tc>
      </w:tr>
      <w:tr w:rsidR="005A3AF5" w:rsidTr="00F05508">
        <w:tc>
          <w:tcPr>
            <w:tcW w:w="2254" w:type="dxa"/>
            <w:tcBorders>
              <w:bottom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sidRPr="005A3AF5">
              <w:rPr>
                <w:rFonts w:ascii="Arial" w:eastAsia="Calibri" w:hAnsi="Arial" w:cs="Arial"/>
                <w:sz w:val="20"/>
                <w:szCs w:val="20"/>
                <w:lang w:eastAsia="ar-SA"/>
              </w:rPr>
              <w:t>6c</w:t>
            </w:r>
            <w:r>
              <w:rPr>
                <w:rFonts w:ascii="Arial" w:eastAsia="Calibri" w:hAnsi="Arial" w:cs="Arial"/>
                <w:sz w:val="20"/>
                <w:szCs w:val="20"/>
                <w:lang w:eastAsia="ar-SA"/>
              </w:rPr>
              <w:t xml:space="preserve"> (narrow scope)</w:t>
            </w:r>
          </w:p>
        </w:tc>
        <w:tc>
          <w:tcPr>
            <w:tcW w:w="2254" w:type="dxa"/>
            <w:tcBorders>
              <w:bottom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Not required</w:t>
            </w:r>
          </w:p>
        </w:tc>
        <w:tc>
          <w:tcPr>
            <w:tcW w:w="2254" w:type="dxa"/>
            <w:tcBorders>
              <w:bottom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&gt;12t</w:t>
            </w:r>
          </w:p>
        </w:tc>
        <w:tc>
          <w:tcPr>
            <w:tcW w:w="2254" w:type="dxa"/>
            <w:tcBorders>
              <w:bottom w:val="single" w:sz="4" w:space="0" w:color="auto"/>
            </w:tcBorders>
          </w:tcPr>
          <w:p w:rsidR="005A3AF5" w:rsidRPr="005A3AF5" w:rsidRDefault="005A3AF5" w:rsidP="005A3AF5">
            <w:pPr>
              <w:suppressAutoHyphens/>
              <w:jc w:val="center"/>
              <w:outlineLvl w:val="0"/>
              <w:rPr>
                <w:rFonts w:ascii="Arial" w:eastAsia="Calibri" w:hAnsi="Arial" w:cs="Arial"/>
                <w:sz w:val="20"/>
                <w:szCs w:val="20"/>
                <w:lang w:eastAsia="ar-SA"/>
              </w:rPr>
            </w:pPr>
            <w:r>
              <w:rPr>
                <w:rFonts w:ascii="Arial" w:eastAsia="Calibri" w:hAnsi="Arial" w:cs="Arial"/>
                <w:sz w:val="20"/>
                <w:szCs w:val="20"/>
                <w:lang w:eastAsia="ar-SA"/>
              </w:rPr>
              <w:t>ABS&gt;4.5t, RSC&gt;10t</w:t>
            </w:r>
          </w:p>
        </w:tc>
      </w:tr>
    </w:tbl>
    <w:p w:rsidR="008C6670" w:rsidRDefault="008C6670" w:rsidP="00261D80">
      <w:pPr>
        <w:suppressAutoHyphens/>
        <w:spacing w:after="0" w:line="240" w:lineRule="auto"/>
        <w:outlineLvl w:val="0"/>
        <w:rPr>
          <w:rFonts w:ascii="Arial" w:eastAsia="Calibri" w:hAnsi="Arial" w:cs="Arial"/>
          <w:lang w:eastAsia="ar-SA"/>
        </w:rPr>
      </w:pPr>
    </w:p>
    <w:p w:rsidR="00660E44" w:rsidRDefault="00660E44" w:rsidP="00261D80">
      <w:pPr>
        <w:suppressAutoHyphens/>
        <w:spacing w:after="0" w:line="240" w:lineRule="auto"/>
        <w:outlineLvl w:val="0"/>
        <w:rPr>
          <w:rFonts w:ascii="Arial" w:eastAsia="Calibri" w:hAnsi="Arial" w:cs="Arial"/>
          <w:lang w:eastAsia="ar-SA"/>
        </w:rPr>
      </w:pPr>
    </w:p>
    <w:p w:rsidR="00606551" w:rsidRDefault="00F05508" w:rsidP="00F05508">
      <w:pPr>
        <w:suppressAutoHyphens/>
        <w:spacing w:after="0" w:line="240" w:lineRule="auto"/>
        <w:outlineLvl w:val="0"/>
        <w:rPr>
          <w:rFonts w:ascii="Arial" w:eastAsia="Calibri" w:hAnsi="Arial" w:cs="Arial"/>
          <w:lang w:eastAsia="ar-SA"/>
        </w:rPr>
      </w:pPr>
      <w:r>
        <w:rPr>
          <w:rFonts w:ascii="Arial" w:eastAsia="Calibri" w:hAnsi="Arial" w:cs="Arial"/>
          <w:lang w:eastAsia="ar-SA"/>
        </w:rPr>
        <w:t>Table 2</w:t>
      </w:r>
      <w:r w:rsidR="00660E44">
        <w:rPr>
          <w:rFonts w:ascii="Arial" w:eastAsia="Calibri" w:hAnsi="Arial" w:cs="Arial"/>
          <w:lang w:eastAsia="ar-SA"/>
        </w:rPr>
        <w:t xml:space="preserve"> summarises the estimated costs and benefits of each </w:t>
      </w:r>
      <w:r>
        <w:rPr>
          <w:rFonts w:ascii="Arial" w:eastAsia="Calibri" w:hAnsi="Arial" w:cs="Arial"/>
          <w:lang w:eastAsia="ar-SA"/>
        </w:rPr>
        <w:t>sub-</w:t>
      </w:r>
      <w:r w:rsidR="00660E44">
        <w:rPr>
          <w:rFonts w:ascii="Arial" w:eastAsia="Calibri" w:hAnsi="Arial" w:cs="Arial"/>
          <w:lang w:eastAsia="ar-SA"/>
        </w:rPr>
        <w:t xml:space="preserve">option. </w:t>
      </w:r>
    </w:p>
    <w:p w:rsidR="00606551" w:rsidRDefault="00606551" w:rsidP="00F05508">
      <w:pPr>
        <w:suppressAutoHyphens/>
        <w:spacing w:after="0" w:line="240" w:lineRule="auto"/>
        <w:outlineLvl w:val="0"/>
        <w:rPr>
          <w:rFonts w:ascii="Arial" w:eastAsia="Calibri" w:hAnsi="Arial" w:cs="Arial"/>
          <w:lang w:eastAsia="ar-SA"/>
        </w:rPr>
      </w:pPr>
    </w:p>
    <w:p w:rsidR="00606551" w:rsidRDefault="00606551" w:rsidP="00F0550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w:t>
      </w:r>
      <w:r w:rsidRPr="00606551">
        <w:rPr>
          <w:rFonts w:ascii="Arial" w:eastAsia="Calibri" w:hAnsi="Arial" w:cs="Arial"/>
          <w:i/>
          <w:lang w:eastAsia="ar-SA"/>
        </w:rPr>
        <w:t>Australian Government Guide to Regulation</w:t>
      </w:r>
      <w:r>
        <w:rPr>
          <w:rFonts w:ascii="Arial" w:eastAsia="Calibri" w:hAnsi="Arial" w:cs="Arial"/>
          <w:lang w:eastAsia="ar-SA"/>
        </w:rPr>
        <w:t xml:space="preserve"> requires regulatory impact statements to recommend the option that delivers the highest net benefits.</w:t>
      </w:r>
      <w:r w:rsidR="001F44E1">
        <w:rPr>
          <w:rStyle w:val="FootnoteReference"/>
          <w:rFonts w:ascii="Arial" w:eastAsia="Calibri" w:hAnsi="Arial" w:cs="Arial"/>
          <w:lang w:eastAsia="ar-SA"/>
        </w:rPr>
        <w:footnoteReference w:id="8"/>
      </w:r>
      <w:r>
        <w:rPr>
          <w:rFonts w:ascii="Arial" w:eastAsia="Calibri" w:hAnsi="Arial" w:cs="Arial"/>
          <w:lang w:eastAsia="ar-SA"/>
        </w:rPr>
        <w:t xml:space="preserve"> As a result, t</w:t>
      </w:r>
      <w:r w:rsidR="00660E44">
        <w:rPr>
          <w:rFonts w:ascii="Arial" w:eastAsia="Calibri" w:hAnsi="Arial" w:cs="Arial"/>
          <w:lang w:eastAsia="ar-SA"/>
        </w:rPr>
        <w:t>he RIS recommends option 6c</w:t>
      </w:r>
      <w:r>
        <w:rPr>
          <w:rFonts w:ascii="Arial" w:eastAsia="Calibri" w:hAnsi="Arial" w:cs="Arial"/>
          <w:lang w:eastAsia="ar-SA"/>
        </w:rPr>
        <w:t>.</w:t>
      </w:r>
      <w:r w:rsidR="00660E44">
        <w:rPr>
          <w:rFonts w:ascii="Arial" w:eastAsia="Calibri" w:hAnsi="Arial" w:cs="Arial"/>
          <w:lang w:eastAsia="ar-SA"/>
        </w:rPr>
        <w:t xml:space="preserve"> </w:t>
      </w:r>
    </w:p>
    <w:p w:rsidR="00606551" w:rsidRDefault="00606551" w:rsidP="00F05508">
      <w:pPr>
        <w:suppressAutoHyphens/>
        <w:spacing w:after="0" w:line="240" w:lineRule="auto"/>
        <w:outlineLvl w:val="0"/>
        <w:rPr>
          <w:rFonts w:ascii="Arial" w:eastAsia="Calibri" w:hAnsi="Arial" w:cs="Arial"/>
          <w:lang w:eastAsia="ar-SA"/>
        </w:rPr>
      </w:pPr>
    </w:p>
    <w:p w:rsidR="00660E44" w:rsidRDefault="00606551" w:rsidP="00F05508">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It should be noted that option 6c would </w:t>
      </w:r>
      <w:r w:rsidR="00660E44">
        <w:rPr>
          <w:rFonts w:ascii="Arial" w:eastAsia="Calibri" w:hAnsi="Arial" w:cs="Arial"/>
          <w:lang w:eastAsia="ar-SA"/>
        </w:rPr>
        <w:t>deliver the lowest number of lives sav</w:t>
      </w:r>
      <w:r w:rsidR="005A3AF5">
        <w:rPr>
          <w:rFonts w:ascii="Arial" w:eastAsia="Calibri" w:hAnsi="Arial" w:cs="Arial"/>
          <w:lang w:eastAsia="ar-SA"/>
        </w:rPr>
        <w:t>ed and serious injuries avoided.</w:t>
      </w:r>
    </w:p>
    <w:p w:rsidR="00F05508" w:rsidRDefault="00F05508" w:rsidP="00F05508">
      <w:pPr>
        <w:suppressAutoHyphens/>
        <w:spacing w:after="0" w:line="240" w:lineRule="auto"/>
        <w:outlineLvl w:val="0"/>
        <w:rPr>
          <w:rFonts w:ascii="Arial" w:eastAsia="Calibri" w:hAnsi="Arial" w:cs="Arial"/>
          <w:lang w:eastAsia="ar-SA"/>
        </w:rPr>
      </w:pPr>
    </w:p>
    <w:p w:rsidR="008C6670" w:rsidRPr="00F05508" w:rsidRDefault="008C6670" w:rsidP="00F05508">
      <w:pPr>
        <w:pStyle w:val="Caption"/>
        <w:keepNext/>
        <w:keepLines/>
        <w:spacing w:before="0" w:after="0"/>
        <w:rPr>
          <w:rFonts w:ascii="Arial" w:hAnsi="Arial" w:cs="Arial"/>
          <w:b w:val="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82"/>
        <w:tblDescription w:val="Summary of benefits, costs, lives saved and serious injuries avoided under each option"/>
      </w:tblPr>
      <w:tblGrid>
        <w:gridCol w:w="1275"/>
        <w:gridCol w:w="1276"/>
        <w:gridCol w:w="1276"/>
        <w:gridCol w:w="1276"/>
        <w:gridCol w:w="1276"/>
        <w:gridCol w:w="1276"/>
        <w:gridCol w:w="1276"/>
      </w:tblGrid>
      <w:tr w:rsidR="00F05508" w:rsidRPr="008C6670" w:rsidTr="00F05508">
        <w:trPr>
          <w:tblHeader/>
        </w:trPr>
        <w:tc>
          <w:tcPr>
            <w:tcW w:w="8931" w:type="dxa"/>
            <w:gridSpan w:val="7"/>
            <w:tcBorders>
              <w:bottom w:val="single" w:sz="4" w:space="0" w:color="auto"/>
            </w:tcBorders>
            <w:shd w:val="clear" w:color="auto" w:fill="auto"/>
            <w:tcMar>
              <w:bottom w:w="113" w:type="dxa"/>
            </w:tcMar>
            <w:vAlign w:val="center"/>
          </w:tcPr>
          <w:p w:rsidR="00F05508" w:rsidRDefault="00F05508" w:rsidP="005B7EC2">
            <w:pPr>
              <w:pStyle w:val="Table2heading"/>
              <w:keepNext/>
              <w:keepLines/>
              <w:spacing w:before="0" w:after="0"/>
              <w:jc w:val="left"/>
              <w:rPr>
                <w:rFonts w:ascii="Arial" w:hAnsi="Arial" w:cs="Arial"/>
                <w:szCs w:val="20"/>
              </w:rPr>
            </w:pPr>
            <w:r>
              <w:rPr>
                <w:rFonts w:ascii="Arial" w:hAnsi="Arial" w:cs="Arial"/>
                <w:szCs w:val="20"/>
              </w:rPr>
              <w:t>Table 2</w:t>
            </w:r>
            <w:r w:rsidRPr="00F05508">
              <w:rPr>
                <w:rFonts w:ascii="Arial" w:hAnsi="Arial" w:cs="Arial"/>
                <w:szCs w:val="20"/>
              </w:rPr>
              <w:t>:</w:t>
            </w:r>
            <w:r w:rsidRPr="00F05508">
              <w:rPr>
                <w:rFonts w:ascii="Arial" w:hAnsi="Arial" w:cs="Arial"/>
                <w:szCs w:val="20"/>
              </w:rPr>
              <w:tab/>
              <w:t xml:space="preserve">summary of benefits, costs, lives saved and serious injuries avoided under each </w:t>
            </w:r>
            <w:r>
              <w:rPr>
                <w:rFonts w:ascii="Arial" w:hAnsi="Arial" w:cs="Arial"/>
                <w:szCs w:val="20"/>
              </w:rPr>
              <w:t>ADR</w:t>
            </w:r>
            <w:r w:rsidRPr="00F05508">
              <w:rPr>
                <w:rFonts w:ascii="Arial" w:hAnsi="Arial" w:cs="Arial"/>
                <w:szCs w:val="20"/>
              </w:rPr>
              <w:t xml:space="preserve"> option</w:t>
            </w:r>
          </w:p>
        </w:tc>
      </w:tr>
      <w:tr w:rsidR="008C6670" w:rsidRPr="008C6670" w:rsidTr="00F05508">
        <w:trPr>
          <w:tblHeader/>
        </w:trPr>
        <w:tc>
          <w:tcPr>
            <w:tcW w:w="1275" w:type="dxa"/>
            <w:tcBorders>
              <w:top w:val="single" w:sz="4" w:space="0" w:color="auto"/>
              <w:bottom w:val="single" w:sz="4" w:space="0" w:color="auto"/>
            </w:tcBorders>
            <w:shd w:val="clear" w:color="auto" w:fill="auto"/>
            <w:vAlign w:val="center"/>
          </w:tcPr>
          <w:p w:rsidR="008C6670" w:rsidRPr="008C6670" w:rsidRDefault="008C6670" w:rsidP="00322BEF">
            <w:pPr>
              <w:pStyle w:val="Table2heading"/>
              <w:keepNext/>
              <w:keepLines/>
              <w:jc w:val="left"/>
              <w:rPr>
                <w:rFonts w:ascii="Arial" w:hAnsi="Arial" w:cs="Arial"/>
                <w:szCs w:val="20"/>
              </w:rPr>
            </w:pPr>
          </w:p>
        </w:tc>
        <w:tc>
          <w:tcPr>
            <w:tcW w:w="1276" w:type="dxa"/>
            <w:tcBorders>
              <w:top w:val="single" w:sz="4" w:space="0" w:color="auto"/>
              <w:bottom w:val="single" w:sz="4" w:space="0" w:color="auto"/>
            </w:tcBorders>
            <w:shd w:val="clear" w:color="auto" w:fill="auto"/>
            <w:vAlign w:val="center"/>
          </w:tcPr>
          <w:p w:rsidR="008C6670" w:rsidRPr="008C6670" w:rsidRDefault="008C6670" w:rsidP="008C6670">
            <w:pPr>
              <w:pStyle w:val="Table2heading"/>
              <w:keepNext/>
              <w:keepLines/>
              <w:jc w:val="right"/>
              <w:rPr>
                <w:rFonts w:ascii="Arial" w:hAnsi="Arial" w:cs="Arial"/>
                <w:szCs w:val="20"/>
              </w:rPr>
            </w:pPr>
            <w:r>
              <w:rPr>
                <w:rFonts w:ascii="Arial" w:hAnsi="Arial" w:cs="Arial"/>
                <w:szCs w:val="20"/>
              </w:rPr>
              <w:t>Net b</w:t>
            </w:r>
            <w:r w:rsidRPr="008C6670">
              <w:rPr>
                <w:rFonts w:ascii="Arial" w:hAnsi="Arial" w:cs="Arial"/>
                <w:szCs w:val="20"/>
              </w:rPr>
              <w:t>enefits ($m)</w:t>
            </w:r>
          </w:p>
        </w:tc>
        <w:tc>
          <w:tcPr>
            <w:tcW w:w="1276" w:type="dxa"/>
            <w:tcBorders>
              <w:top w:val="single" w:sz="4" w:space="0" w:color="auto"/>
              <w:bottom w:val="single" w:sz="4" w:space="0" w:color="auto"/>
            </w:tcBorders>
            <w:shd w:val="clear" w:color="auto" w:fill="auto"/>
            <w:vAlign w:val="center"/>
          </w:tcPr>
          <w:p w:rsidR="008C6670" w:rsidRPr="008C6670" w:rsidRDefault="008C6670" w:rsidP="008C6670">
            <w:pPr>
              <w:pStyle w:val="Table2heading"/>
              <w:keepNext/>
              <w:keepLines/>
              <w:jc w:val="right"/>
              <w:rPr>
                <w:rFonts w:ascii="Arial" w:hAnsi="Arial" w:cs="Arial"/>
                <w:szCs w:val="20"/>
              </w:rPr>
            </w:pPr>
            <w:r>
              <w:rPr>
                <w:rFonts w:ascii="Arial" w:hAnsi="Arial" w:cs="Arial"/>
                <w:szCs w:val="20"/>
              </w:rPr>
              <w:t>Cost to b</w:t>
            </w:r>
            <w:r w:rsidRPr="008C6670">
              <w:rPr>
                <w:rFonts w:ascii="Arial" w:hAnsi="Arial" w:cs="Arial"/>
                <w:szCs w:val="20"/>
              </w:rPr>
              <w:t>usiness</w:t>
            </w:r>
          </w:p>
          <w:p w:rsidR="008C6670" w:rsidRPr="008C6670" w:rsidRDefault="008C6670" w:rsidP="008C6670">
            <w:pPr>
              <w:pStyle w:val="Table2heading"/>
              <w:keepNext/>
              <w:keepLines/>
              <w:jc w:val="right"/>
              <w:rPr>
                <w:rFonts w:ascii="Arial" w:hAnsi="Arial" w:cs="Arial"/>
                <w:szCs w:val="20"/>
              </w:rPr>
            </w:pPr>
            <w:r w:rsidRPr="008C6670">
              <w:rPr>
                <w:rFonts w:ascii="Arial" w:hAnsi="Arial" w:cs="Arial"/>
                <w:szCs w:val="20"/>
              </w:rPr>
              <w:t>($m)</w:t>
            </w:r>
          </w:p>
        </w:tc>
        <w:tc>
          <w:tcPr>
            <w:tcW w:w="1276" w:type="dxa"/>
            <w:tcBorders>
              <w:top w:val="single" w:sz="4" w:space="0" w:color="auto"/>
              <w:bottom w:val="single" w:sz="4" w:space="0" w:color="auto"/>
            </w:tcBorders>
            <w:shd w:val="clear" w:color="auto" w:fill="auto"/>
            <w:vAlign w:val="center"/>
          </w:tcPr>
          <w:p w:rsidR="008C6670" w:rsidRDefault="008C6670" w:rsidP="008C6670">
            <w:pPr>
              <w:pStyle w:val="Table2heading"/>
              <w:keepNext/>
              <w:keepLines/>
              <w:jc w:val="right"/>
              <w:rPr>
                <w:rFonts w:ascii="Arial" w:hAnsi="Arial" w:cs="Arial"/>
                <w:szCs w:val="20"/>
              </w:rPr>
            </w:pPr>
            <w:r w:rsidRPr="008C6670">
              <w:rPr>
                <w:rFonts w:ascii="Arial" w:hAnsi="Arial" w:cs="Arial"/>
                <w:szCs w:val="20"/>
              </w:rPr>
              <w:t xml:space="preserve">Cost </w:t>
            </w:r>
            <w:r>
              <w:rPr>
                <w:rFonts w:ascii="Arial" w:hAnsi="Arial" w:cs="Arial"/>
                <w:szCs w:val="20"/>
              </w:rPr>
              <w:t>to gov</w:t>
            </w:r>
            <w:r w:rsidRPr="008C6670">
              <w:rPr>
                <w:rFonts w:ascii="Arial" w:hAnsi="Arial" w:cs="Arial"/>
                <w:szCs w:val="20"/>
              </w:rPr>
              <w:t xml:space="preserve">t </w:t>
            </w:r>
          </w:p>
          <w:p w:rsidR="008C6670" w:rsidRPr="008C6670" w:rsidRDefault="008C6670" w:rsidP="008C6670">
            <w:pPr>
              <w:pStyle w:val="Table2heading"/>
              <w:keepNext/>
              <w:keepLines/>
              <w:jc w:val="right"/>
              <w:rPr>
                <w:rFonts w:ascii="Arial" w:hAnsi="Arial" w:cs="Arial"/>
                <w:szCs w:val="20"/>
              </w:rPr>
            </w:pPr>
            <w:r w:rsidRPr="008C6670">
              <w:rPr>
                <w:rFonts w:ascii="Arial" w:hAnsi="Arial" w:cs="Arial"/>
                <w:szCs w:val="20"/>
              </w:rPr>
              <w:t>($m)</w:t>
            </w:r>
          </w:p>
        </w:tc>
        <w:tc>
          <w:tcPr>
            <w:tcW w:w="1276" w:type="dxa"/>
            <w:tcBorders>
              <w:top w:val="single" w:sz="4" w:space="0" w:color="auto"/>
              <w:bottom w:val="single" w:sz="4" w:space="0" w:color="auto"/>
            </w:tcBorders>
            <w:shd w:val="clear" w:color="auto" w:fill="auto"/>
            <w:vAlign w:val="center"/>
          </w:tcPr>
          <w:p w:rsidR="008C6670" w:rsidRPr="008C6670" w:rsidRDefault="004F7F38" w:rsidP="008C6670">
            <w:pPr>
              <w:pStyle w:val="Table2heading"/>
              <w:keepNext/>
              <w:keepLines/>
              <w:jc w:val="right"/>
              <w:rPr>
                <w:rFonts w:ascii="Arial" w:hAnsi="Arial" w:cs="Arial"/>
                <w:szCs w:val="20"/>
              </w:rPr>
            </w:pPr>
            <w:r>
              <w:rPr>
                <w:rFonts w:ascii="Arial" w:hAnsi="Arial" w:cs="Arial"/>
                <w:szCs w:val="20"/>
              </w:rPr>
              <w:t>Benefit cost ratio</w:t>
            </w:r>
          </w:p>
        </w:tc>
        <w:tc>
          <w:tcPr>
            <w:tcW w:w="1276" w:type="dxa"/>
            <w:tcBorders>
              <w:top w:val="single" w:sz="4" w:space="0" w:color="auto"/>
              <w:bottom w:val="single" w:sz="4" w:space="0" w:color="auto"/>
            </w:tcBorders>
            <w:shd w:val="clear" w:color="auto" w:fill="auto"/>
            <w:vAlign w:val="center"/>
          </w:tcPr>
          <w:p w:rsidR="008C6670" w:rsidRPr="008C6670" w:rsidRDefault="008C6670" w:rsidP="008C6670">
            <w:pPr>
              <w:pStyle w:val="Table2heading"/>
              <w:keepNext/>
              <w:keepLines/>
              <w:jc w:val="right"/>
              <w:rPr>
                <w:rFonts w:ascii="Arial" w:hAnsi="Arial" w:cs="Arial"/>
                <w:szCs w:val="20"/>
              </w:rPr>
            </w:pPr>
            <w:r>
              <w:rPr>
                <w:rFonts w:ascii="Arial" w:hAnsi="Arial" w:cs="Arial"/>
                <w:szCs w:val="20"/>
              </w:rPr>
              <w:t>Lives s</w:t>
            </w:r>
            <w:r w:rsidRPr="008C6670">
              <w:rPr>
                <w:rFonts w:ascii="Arial" w:hAnsi="Arial" w:cs="Arial"/>
                <w:szCs w:val="20"/>
              </w:rPr>
              <w:t>aved</w:t>
            </w:r>
          </w:p>
        </w:tc>
        <w:tc>
          <w:tcPr>
            <w:tcW w:w="1276" w:type="dxa"/>
            <w:tcBorders>
              <w:top w:val="single" w:sz="4" w:space="0" w:color="auto"/>
              <w:bottom w:val="single" w:sz="4" w:space="0" w:color="auto"/>
            </w:tcBorders>
            <w:shd w:val="clear" w:color="auto" w:fill="auto"/>
            <w:vAlign w:val="center"/>
          </w:tcPr>
          <w:p w:rsidR="008C6670" w:rsidRPr="008C6670" w:rsidRDefault="008C6670" w:rsidP="008C6670">
            <w:pPr>
              <w:pStyle w:val="Table2heading"/>
              <w:keepNext/>
              <w:keepLines/>
              <w:jc w:val="right"/>
              <w:rPr>
                <w:rFonts w:ascii="Arial" w:hAnsi="Arial" w:cs="Arial"/>
                <w:szCs w:val="20"/>
              </w:rPr>
            </w:pPr>
            <w:r>
              <w:rPr>
                <w:rFonts w:ascii="Arial" w:hAnsi="Arial" w:cs="Arial"/>
                <w:szCs w:val="20"/>
              </w:rPr>
              <w:t>Serious i</w:t>
            </w:r>
            <w:r w:rsidRPr="008C6670">
              <w:rPr>
                <w:rFonts w:ascii="Arial" w:hAnsi="Arial" w:cs="Arial"/>
                <w:szCs w:val="20"/>
              </w:rPr>
              <w:t>njuries</w:t>
            </w:r>
            <w:r>
              <w:rPr>
                <w:rFonts w:ascii="Arial" w:hAnsi="Arial" w:cs="Arial"/>
                <w:szCs w:val="20"/>
              </w:rPr>
              <w:t xml:space="preserve"> a</w:t>
            </w:r>
            <w:r w:rsidRPr="008C6670">
              <w:rPr>
                <w:rFonts w:ascii="Arial" w:hAnsi="Arial" w:cs="Arial"/>
                <w:szCs w:val="20"/>
              </w:rPr>
              <w:t>voided</w:t>
            </w:r>
          </w:p>
        </w:tc>
      </w:tr>
      <w:tr w:rsidR="008C6670" w:rsidRPr="008C6670" w:rsidTr="00F05508">
        <w:trPr>
          <w:trHeight w:val="284"/>
        </w:trPr>
        <w:tc>
          <w:tcPr>
            <w:tcW w:w="8931" w:type="dxa"/>
            <w:gridSpan w:val="7"/>
            <w:tcBorders>
              <w:top w:val="single" w:sz="4" w:space="0" w:color="auto"/>
              <w:bottom w:val="single" w:sz="4" w:space="0" w:color="auto"/>
            </w:tcBorders>
            <w:vAlign w:val="center"/>
          </w:tcPr>
          <w:p w:rsidR="008C6670" w:rsidRPr="008C6670" w:rsidRDefault="008C6670" w:rsidP="00322BEF">
            <w:pPr>
              <w:pStyle w:val="Table2heading"/>
              <w:keepNext/>
              <w:keepLines/>
              <w:rPr>
                <w:rFonts w:ascii="Arial" w:hAnsi="Arial" w:cs="Arial"/>
                <w:szCs w:val="20"/>
              </w:rPr>
            </w:pPr>
            <w:r w:rsidRPr="008C6670">
              <w:rPr>
                <w:rFonts w:ascii="Arial" w:hAnsi="Arial" w:cs="Arial"/>
                <w:szCs w:val="20"/>
              </w:rPr>
              <w:t>Option 6a</w:t>
            </w:r>
            <w:r w:rsidR="00F05508">
              <w:rPr>
                <w:rFonts w:ascii="Arial" w:hAnsi="Arial" w:cs="Arial"/>
                <w:szCs w:val="20"/>
              </w:rPr>
              <w:t xml:space="preserve"> (broad scope)</w:t>
            </w:r>
          </w:p>
        </w:tc>
      </w:tr>
      <w:tr w:rsidR="008C6670" w:rsidRPr="008C6670" w:rsidTr="00322BEF">
        <w:trPr>
          <w:trHeight w:val="284"/>
        </w:trPr>
        <w:tc>
          <w:tcPr>
            <w:tcW w:w="1275" w:type="dxa"/>
            <w:tcBorders>
              <w:top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Best case</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266</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70</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4.75</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r w:rsidR="008C6670" w:rsidRPr="008C6670" w:rsidTr="00322BEF">
        <w:trPr>
          <w:trHeight w:val="284"/>
        </w:trPr>
        <w:tc>
          <w:tcPr>
            <w:tcW w:w="1275" w:type="dxa"/>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Likely case</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167</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169</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1.99</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148</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1496</w:t>
            </w:r>
          </w:p>
        </w:tc>
      </w:tr>
      <w:tr w:rsidR="008C6670" w:rsidRPr="008C6670" w:rsidTr="00322BEF">
        <w:trPr>
          <w:trHeight w:val="284"/>
        </w:trPr>
        <w:tc>
          <w:tcPr>
            <w:tcW w:w="1275" w:type="dxa"/>
            <w:tcBorders>
              <w:bottom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Worst case</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-24</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360</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0.93</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r w:rsidR="008C6670" w:rsidRPr="008C6670" w:rsidTr="00322BEF">
        <w:trPr>
          <w:trHeight w:val="284"/>
        </w:trPr>
        <w:tc>
          <w:tcPr>
            <w:tcW w:w="8931" w:type="dxa"/>
            <w:gridSpan w:val="7"/>
            <w:tcBorders>
              <w:top w:val="single" w:sz="4" w:space="0" w:color="auto"/>
              <w:bottom w:val="single" w:sz="4" w:space="0" w:color="auto"/>
            </w:tcBorders>
            <w:vAlign w:val="center"/>
          </w:tcPr>
          <w:p w:rsidR="008C6670" w:rsidRPr="008C6670" w:rsidRDefault="008C6670" w:rsidP="00322BEF">
            <w:pPr>
              <w:pStyle w:val="Table2heading"/>
              <w:keepNext/>
              <w:keepLines/>
              <w:rPr>
                <w:rFonts w:ascii="Arial" w:hAnsi="Arial" w:cs="Arial"/>
                <w:szCs w:val="20"/>
              </w:rPr>
            </w:pPr>
            <w:r w:rsidRPr="008C6670">
              <w:rPr>
                <w:rFonts w:ascii="Arial" w:hAnsi="Arial" w:cs="Arial"/>
                <w:szCs w:val="20"/>
              </w:rPr>
              <w:t>Option 6b</w:t>
            </w:r>
            <w:r w:rsidR="00F05508">
              <w:rPr>
                <w:rFonts w:ascii="Arial" w:hAnsi="Arial" w:cs="Arial"/>
                <w:szCs w:val="20"/>
              </w:rPr>
              <w:t xml:space="preserve"> (medium scope)</w:t>
            </w:r>
          </w:p>
        </w:tc>
      </w:tr>
      <w:tr w:rsidR="008C6670" w:rsidRPr="008C6670" w:rsidTr="00322BEF">
        <w:trPr>
          <w:trHeight w:val="284"/>
        </w:trPr>
        <w:tc>
          <w:tcPr>
            <w:tcW w:w="1275" w:type="dxa"/>
            <w:tcBorders>
              <w:top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Best case</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273</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30</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9.96</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r w:rsidR="008C6670" w:rsidRPr="008C6670" w:rsidTr="00322BEF">
        <w:trPr>
          <w:trHeight w:val="284"/>
        </w:trPr>
        <w:tc>
          <w:tcPr>
            <w:tcW w:w="1275" w:type="dxa"/>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Likely case</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204</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98</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3.07</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136</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1292</w:t>
            </w:r>
          </w:p>
        </w:tc>
      </w:tr>
      <w:tr w:rsidR="008C6670" w:rsidRPr="008C6670" w:rsidTr="00322BEF">
        <w:trPr>
          <w:trHeight w:val="284"/>
        </w:trPr>
        <w:tc>
          <w:tcPr>
            <w:tcW w:w="1275" w:type="dxa"/>
            <w:tcBorders>
              <w:bottom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Worst case</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75</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228</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1.33</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r w:rsidR="008C6670" w:rsidRPr="008C6670" w:rsidTr="00322BEF">
        <w:trPr>
          <w:trHeight w:val="284"/>
        </w:trPr>
        <w:tc>
          <w:tcPr>
            <w:tcW w:w="8931" w:type="dxa"/>
            <w:gridSpan w:val="7"/>
            <w:tcBorders>
              <w:top w:val="single" w:sz="4" w:space="0" w:color="auto"/>
              <w:bottom w:val="single" w:sz="4" w:space="0" w:color="auto"/>
            </w:tcBorders>
            <w:vAlign w:val="center"/>
          </w:tcPr>
          <w:p w:rsidR="008C6670" w:rsidRPr="008C6670" w:rsidRDefault="008C6670" w:rsidP="00322BEF">
            <w:pPr>
              <w:pStyle w:val="Table2heading"/>
              <w:keepNext/>
              <w:keepLines/>
              <w:rPr>
                <w:rFonts w:ascii="Arial" w:hAnsi="Arial" w:cs="Arial"/>
                <w:szCs w:val="20"/>
              </w:rPr>
            </w:pPr>
            <w:r w:rsidRPr="008C6670">
              <w:rPr>
                <w:rFonts w:ascii="Arial" w:hAnsi="Arial" w:cs="Arial"/>
                <w:szCs w:val="20"/>
              </w:rPr>
              <w:t>Option 6c</w:t>
            </w:r>
            <w:r w:rsidR="00F05508">
              <w:rPr>
                <w:rFonts w:ascii="Arial" w:hAnsi="Arial" w:cs="Arial"/>
                <w:szCs w:val="20"/>
              </w:rPr>
              <w:t xml:space="preserve"> (narrow scope)</w:t>
            </w:r>
          </w:p>
        </w:tc>
      </w:tr>
      <w:tr w:rsidR="008C6670" w:rsidRPr="008C6670" w:rsidTr="00322BEF">
        <w:trPr>
          <w:trHeight w:val="284"/>
        </w:trPr>
        <w:tc>
          <w:tcPr>
            <w:tcW w:w="1275" w:type="dxa"/>
            <w:tcBorders>
              <w:top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Best case</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264</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4.5</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51.8</w:t>
            </w: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top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r w:rsidR="008C6670" w:rsidRPr="008C6670" w:rsidTr="00606551">
        <w:trPr>
          <w:trHeight w:val="284"/>
        </w:trPr>
        <w:tc>
          <w:tcPr>
            <w:tcW w:w="1275" w:type="dxa"/>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Likely case</w:t>
            </w:r>
          </w:p>
        </w:tc>
        <w:tc>
          <w:tcPr>
            <w:tcW w:w="1276" w:type="dxa"/>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216</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52</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5.10</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124</w:t>
            </w:r>
          </w:p>
        </w:tc>
        <w:tc>
          <w:tcPr>
            <w:tcW w:w="1276" w:type="dxa"/>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1084</w:t>
            </w:r>
          </w:p>
        </w:tc>
      </w:tr>
      <w:tr w:rsidR="008C6670" w:rsidRPr="008C6670" w:rsidTr="00606551">
        <w:trPr>
          <w:trHeight w:val="284"/>
        </w:trPr>
        <w:tc>
          <w:tcPr>
            <w:tcW w:w="1275" w:type="dxa"/>
            <w:tcBorders>
              <w:bottom w:val="single" w:sz="4" w:space="0" w:color="auto"/>
            </w:tcBorders>
            <w:vAlign w:val="center"/>
          </w:tcPr>
          <w:p w:rsidR="008C6670" w:rsidRPr="008C6670" w:rsidRDefault="008C6670" w:rsidP="00322BEF">
            <w:pPr>
              <w:pStyle w:val="Table2"/>
              <w:keepNext/>
              <w:keepLines/>
              <w:rPr>
                <w:rFonts w:ascii="Arial" w:hAnsi="Arial" w:cs="Arial"/>
                <w:szCs w:val="20"/>
              </w:rPr>
            </w:pPr>
            <w:r w:rsidRPr="008C6670">
              <w:rPr>
                <w:rFonts w:ascii="Arial" w:hAnsi="Arial" w:cs="Arial"/>
                <w:szCs w:val="20"/>
              </w:rPr>
              <w:t>Worst case</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140</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129</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r w:rsidRPr="008C6670">
              <w:rPr>
                <w:rFonts w:ascii="Arial" w:hAnsi="Arial" w:cs="Arial"/>
                <w:szCs w:val="20"/>
              </w:rPr>
              <w:t>0.7</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napToGrid w:val="0"/>
                <w:szCs w:val="20"/>
              </w:rPr>
            </w:pPr>
            <w:r w:rsidRPr="008C6670">
              <w:rPr>
                <w:rFonts w:ascii="Arial" w:hAnsi="Arial" w:cs="Arial"/>
                <w:szCs w:val="20"/>
              </w:rPr>
              <w:t>2.08</w:t>
            </w: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c>
          <w:tcPr>
            <w:tcW w:w="1276" w:type="dxa"/>
            <w:tcBorders>
              <w:bottom w:val="single" w:sz="4" w:space="0" w:color="auto"/>
            </w:tcBorders>
            <w:vAlign w:val="center"/>
          </w:tcPr>
          <w:p w:rsidR="008C6670" w:rsidRPr="008C6670" w:rsidRDefault="008C6670" w:rsidP="008C6670">
            <w:pPr>
              <w:pStyle w:val="Table2"/>
              <w:keepNext/>
              <w:keepLines/>
              <w:jc w:val="right"/>
              <w:rPr>
                <w:rFonts w:ascii="Arial" w:hAnsi="Arial" w:cs="Arial"/>
                <w:szCs w:val="20"/>
              </w:rPr>
            </w:pPr>
          </w:p>
        </w:tc>
      </w:tr>
    </w:tbl>
    <w:p w:rsidR="008C6670" w:rsidRPr="001F44E1" w:rsidRDefault="008C6670" w:rsidP="001F44E1">
      <w:pPr>
        <w:spacing w:after="0" w:line="240" w:lineRule="auto"/>
        <w:rPr>
          <w:rFonts w:ascii="Arial" w:hAnsi="Arial" w:cs="Arial"/>
        </w:rPr>
      </w:pPr>
    </w:p>
    <w:p w:rsidR="0090529E" w:rsidRDefault="0090529E" w:rsidP="001F44E1">
      <w:pPr>
        <w:suppressAutoHyphens/>
        <w:spacing w:after="0" w:line="240" w:lineRule="auto"/>
        <w:outlineLvl w:val="0"/>
        <w:rPr>
          <w:rFonts w:ascii="Arial" w:eastAsia="Calibri" w:hAnsi="Arial" w:cs="Arial"/>
          <w:lang w:eastAsia="ar-SA"/>
        </w:rPr>
      </w:pPr>
    </w:p>
    <w:p w:rsidR="00F336FF" w:rsidRDefault="00A56F30" w:rsidP="001F44E1">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Section 5 of this submission </w:t>
      </w:r>
      <w:r w:rsidR="00AC6A3D">
        <w:rPr>
          <w:rFonts w:ascii="Arial" w:eastAsia="Calibri" w:hAnsi="Arial" w:cs="Arial"/>
          <w:lang w:eastAsia="ar-SA"/>
        </w:rPr>
        <w:t xml:space="preserve">considers the way the RIS values the cost of a serious injury. Section 6 </w:t>
      </w:r>
      <w:r w:rsidR="00F336FF">
        <w:rPr>
          <w:rFonts w:ascii="Arial" w:eastAsia="Calibri" w:hAnsi="Arial" w:cs="Arial"/>
          <w:lang w:eastAsia="ar-SA"/>
        </w:rPr>
        <w:t>sets out the ATA’s views about the option we th</w:t>
      </w:r>
      <w:r w:rsidR="00AC6A3D">
        <w:rPr>
          <w:rFonts w:ascii="Arial" w:eastAsia="Calibri" w:hAnsi="Arial" w:cs="Arial"/>
          <w:lang w:eastAsia="ar-SA"/>
        </w:rPr>
        <w:t>ink the Government should adopt; section 7</w:t>
      </w:r>
      <w:r w:rsidR="00F336FF">
        <w:rPr>
          <w:rFonts w:ascii="Arial" w:eastAsia="Calibri" w:hAnsi="Arial" w:cs="Arial"/>
          <w:lang w:eastAsia="ar-SA"/>
        </w:rPr>
        <w:t xml:space="preserve"> </w:t>
      </w:r>
      <w:r w:rsidR="00AC6A3D">
        <w:rPr>
          <w:rFonts w:ascii="Arial" w:eastAsia="Calibri" w:hAnsi="Arial" w:cs="Arial"/>
          <w:lang w:eastAsia="ar-SA"/>
        </w:rPr>
        <w:t xml:space="preserve">examines some of </w:t>
      </w:r>
      <w:r w:rsidR="00F336FF">
        <w:rPr>
          <w:rFonts w:ascii="Arial" w:eastAsia="Calibri" w:hAnsi="Arial" w:cs="Arial"/>
          <w:lang w:eastAsia="ar-SA"/>
        </w:rPr>
        <w:t>the technical issues raised in the RIS.</w:t>
      </w:r>
    </w:p>
    <w:p w:rsidR="0090529E" w:rsidRDefault="0090529E" w:rsidP="001F44E1">
      <w:pPr>
        <w:suppressAutoHyphens/>
        <w:spacing w:after="0" w:line="240" w:lineRule="auto"/>
        <w:outlineLvl w:val="0"/>
        <w:rPr>
          <w:rFonts w:ascii="Arial" w:eastAsia="Calibri" w:hAnsi="Arial" w:cs="Arial"/>
          <w:lang w:eastAsia="ar-SA"/>
        </w:rPr>
      </w:pPr>
    </w:p>
    <w:p w:rsidR="0090529E" w:rsidRDefault="0090529E" w:rsidP="001F44E1">
      <w:pPr>
        <w:suppressAutoHyphens/>
        <w:spacing w:after="0" w:line="240" w:lineRule="auto"/>
        <w:outlineLvl w:val="0"/>
        <w:rPr>
          <w:rFonts w:ascii="Arial" w:eastAsia="Calibri" w:hAnsi="Arial" w:cs="Arial"/>
          <w:lang w:eastAsia="ar-SA"/>
        </w:rPr>
      </w:pPr>
    </w:p>
    <w:p w:rsidR="00BA60C8" w:rsidRPr="00BA60C8" w:rsidRDefault="00BA60C8" w:rsidP="00F003E4">
      <w:pPr>
        <w:pStyle w:val="ListParagraph"/>
        <w:keepNext/>
        <w:numPr>
          <w:ilvl w:val="0"/>
          <w:numId w:val="1"/>
        </w:numPr>
        <w:suppressAutoHyphens/>
        <w:spacing w:after="0" w:line="240" w:lineRule="auto"/>
        <w:outlineLvl w:val="0"/>
        <w:rPr>
          <w:rFonts w:ascii="Arial" w:eastAsia="Calibri" w:hAnsi="Arial" w:cs="Arial"/>
          <w:b/>
          <w:sz w:val="24"/>
          <w:szCs w:val="24"/>
          <w:lang w:eastAsia="ar-SA"/>
        </w:rPr>
      </w:pPr>
      <w:r w:rsidRPr="00BA60C8">
        <w:rPr>
          <w:rFonts w:ascii="Arial" w:eastAsia="Calibri" w:hAnsi="Arial" w:cs="Arial"/>
          <w:b/>
          <w:sz w:val="24"/>
          <w:szCs w:val="24"/>
          <w:lang w:eastAsia="ar-SA"/>
        </w:rPr>
        <w:t xml:space="preserve">Valuing the </w:t>
      </w:r>
      <w:r w:rsidR="008D1595">
        <w:rPr>
          <w:rFonts w:ascii="Arial" w:eastAsia="Calibri" w:hAnsi="Arial" w:cs="Arial"/>
          <w:b/>
          <w:sz w:val="24"/>
          <w:szCs w:val="24"/>
          <w:lang w:eastAsia="ar-SA"/>
        </w:rPr>
        <w:t xml:space="preserve">cost </w:t>
      </w:r>
      <w:r w:rsidRPr="00BA60C8">
        <w:rPr>
          <w:rFonts w:ascii="Arial" w:eastAsia="Calibri" w:hAnsi="Arial" w:cs="Arial"/>
          <w:b/>
          <w:sz w:val="24"/>
          <w:szCs w:val="24"/>
          <w:lang w:eastAsia="ar-SA"/>
        </w:rPr>
        <w:t>of serious injuries</w:t>
      </w:r>
    </w:p>
    <w:p w:rsidR="00BA60C8" w:rsidRDefault="00BA60C8" w:rsidP="00F003E4">
      <w:pPr>
        <w:pStyle w:val="ListParagraph"/>
        <w:keepNext/>
        <w:suppressAutoHyphens/>
        <w:spacing w:after="0" w:line="240" w:lineRule="auto"/>
        <w:ind w:left="360"/>
        <w:outlineLvl w:val="0"/>
        <w:rPr>
          <w:rFonts w:ascii="Arial" w:eastAsia="Calibri" w:hAnsi="Arial" w:cs="Arial"/>
          <w:lang w:eastAsia="ar-SA"/>
        </w:rPr>
      </w:pPr>
    </w:p>
    <w:p w:rsidR="008D1595" w:rsidRDefault="008D1595"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w:t>
      </w:r>
      <w:r w:rsidRPr="00D616CD">
        <w:rPr>
          <w:rFonts w:ascii="Arial" w:eastAsia="Calibri" w:hAnsi="Arial" w:cs="Arial"/>
          <w:lang w:eastAsia="ar-SA"/>
        </w:rPr>
        <w:t>he RIS estimates the cost of a serious injury</w:t>
      </w:r>
      <w:r w:rsidR="00FE6304">
        <w:rPr>
          <w:rFonts w:ascii="Arial" w:eastAsia="Calibri" w:hAnsi="Arial" w:cs="Arial"/>
          <w:lang w:eastAsia="ar-SA"/>
        </w:rPr>
        <w:t xml:space="preserve"> at $271</w:t>
      </w:r>
      <w:r>
        <w:rPr>
          <w:rFonts w:ascii="Arial" w:eastAsia="Calibri" w:hAnsi="Arial" w:cs="Arial"/>
          <w:lang w:eastAsia="ar-SA"/>
        </w:rPr>
        <w:t>,012 in 2016 dollar terms,</w:t>
      </w:r>
      <w:r>
        <w:rPr>
          <w:rStyle w:val="FootnoteReference"/>
          <w:rFonts w:ascii="Arial" w:eastAsia="Calibri" w:hAnsi="Arial" w:cs="Arial"/>
          <w:lang w:eastAsia="ar-SA"/>
        </w:rPr>
        <w:footnoteReference w:id="9"/>
      </w:r>
      <w:r w:rsidRPr="00D616CD">
        <w:rPr>
          <w:rFonts w:ascii="Arial" w:eastAsia="Calibri" w:hAnsi="Arial" w:cs="Arial"/>
          <w:lang w:eastAsia="ar-SA"/>
        </w:rPr>
        <w:t xml:space="preserve"> based on </w:t>
      </w:r>
      <w:r>
        <w:rPr>
          <w:rFonts w:ascii="Arial" w:eastAsia="Calibri" w:hAnsi="Arial" w:cs="Arial"/>
          <w:lang w:eastAsia="ar-SA"/>
        </w:rPr>
        <w:t>a BITRE research report.</w:t>
      </w:r>
      <w:r>
        <w:rPr>
          <w:rStyle w:val="FootnoteReference"/>
          <w:rFonts w:ascii="Arial" w:eastAsia="Calibri" w:hAnsi="Arial" w:cs="Arial"/>
          <w:lang w:eastAsia="ar-SA"/>
        </w:rPr>
        <w:footnoteReference w:id="10"/>
      </w:r>
      <w:r w:rsidRPr="00D616CD">
        <w:rPr>
          <w:rFonts w:ascii="Arial" w:eastAsia="Calibri" w:hAnsi="Arial" w:cs="Arial"/>
          <w:lang w:eastAsia="ar-SA"/>
        </w:rPr>
        <w:t xml:space="preserve"> </w:t>
      </w:r>
    </w:p>
    <w:p w:rsidR="008D1595" w:rsidRDefault="008D1595" w:rsidP="008D1595">
      <w:pPr>
        <w:suppressAutoHyphens/>
        <w:spacing w:after="0" w:line="240" w:lineRule="auto"/>
        <w:outlineLvl w:val="0"/>
        <w:rPr>
          <w:rFonts w:ascii="Arial" w:eastAsia="Calibri" w:hAnsi="Arial" w:cs="Arial"/>
          <w:lang w:eastAsia="ar-SA"/>
        </w:rPr>
      </w:pPr>
    </w:p>
    <w:p w:rsidR="008D1595" w:rsidRDefault="008D1595" w:rsidP="008D1595">
      <w:pPr>
        <w:suppressAutoHyphens/>
        <w:spacing w:after="0" w:line="240" w:lineRule="auto"/>
        <w:outlineLvl w:val="0"/>
        <w:rPr>
          <w:rFonts w:ascii="Arial" w:eastAsia="Calibri" w:hAnsi="Arial" w:cs="Arial"/>
          <w:lang w:eastAsia="ar-SA"/>
        </w:rPr>
      </w:pPr>
      <w:r>
        <w:rPr>
          <w:rFonts w:ascii="Arial" w:eastAsia="Calibri" w:hAnsi="Arial" w:cs="Arial"/>
          <w:lang w:eastAsia="ar-SA"/>
        </w:rPr>
        <w:t>The report uses</w:t>
      </w:r>
      <w:r w:rsidRPr="00D616CD">
        <w:rPr>
          <w:rFonts w:ascii="Arial" w:eastAsia="Calibri" w:hAnsi="Arial" w:cs="Arial"/>
          <w:lang w:eastAsia="ar-SA"/>
        </w:rPr>
        <w:t xml:space="preserve"> a hybrid human capital approach to reach </w:t>
      </w:r>
      <w:r>
        <w:rPr>
          <w:rFonts w:ascii="Arial" w:eastAsia="Calibri" w:hAnsi="Arial" w:cs="Arial"/>
          <w:lang w:eastAsia="ar-SA"/>
        </w:rPr>
        <w:t>the estimate. The approach sums 11 economic and non-economic costs together, such as workplace and household losses, hospital and medical costs and the cost of workplace disruption and replacement.</w:t>
      </w:r>
      <w:r>
        <w:rPr>
          <w:rStyle w:val="FootnoteReference"/>
          <w:rFonts w:ascii="Arial" w:eastAsia="Calibri" w:hAnsi="Arial" w:cs="Arial"/>
          <w:lang w:eastAsia="ar-SA"/>
        </w:rPr>
        <w:footnoteReference w:id="11"/>
      </w:r>
    </w:p>
    <w:p w:rsidR="008D1595" w:rsidRDefault="008D1595" w:rsidP="008D1595">
      <w:pPr>
        <w:suppressAutoHyphens/>
        <w:spacing w:after="0" w:line="240" w:lineRule="auto"/>
        <w:outlineLvl w:val="0"/>
        <w:rPr>
          <w:rFonts w:ascii="Arial" w:eastAsia="Calibri" w:hAnsi="Arial" w:cs="Arial"/>
          <w:lang w:eastAsia="ar-SA"/>
        </w:rPr>
      </w:pPr>
    </w:p>
    <w:p w:rsidR="008D1595" w:rsidRDefault="008D1595" w:rsidP="008D1595">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alternative approach to calculating a statistical cost for deaths and injuries is known as willingness to pay. This approach generates its values by asking individuals how much they are willing </w:t>
      </w:r>
      <w:r w:rsidRPr="00516F1C">
        <w:rPr>
          <w:rFonts w:ascii="Arial" w:eastAsia="Calibri" w:hAnsi="Arial" w:cs="Arial"/>
          <w:lang w:eastAsia="ar-SA"/>
        </w:rPr>
        <w:t xml:space="preserve">to pay </w:t>
      </w:r>
      <w:r>
        <w:rPr>
          <w:rFonts w:ascii="Arial" w:eastAsia="Calibri" w:hAnsi="Arial" w:cs="Arial"/>
          <w:lang w:eastAsia="ar-SA"/>
        </w:rPr>
        <w:t xml:space="preserve">for </w:t>
      </w:r>
      <w:r w:rsidRPr="00516F1C">
        <w:rPr>
          <w:rFonts w:ascii="Arial" w:eastAsia="Calibri" w:hAnsi="Arial" w:cs="Arial"/>
          <w:lang w:eastAsia="ar-SA"/>
        </w:rPr>
        <w:t xml:space="preserve">gains </w:t>
      </w:r>
      <w:r>
        <w:rPr>
          <w:rFonts w:ascii="Arial" w:eastAsia="Calibri" w:hAnsi="Arial" w:cs="Arial"/>
          <w:lang w:eastAsia="ar-SA"/>
        </w:rPr>
        <w:t xml:space="preserve">such as </w:t>
      </w:r>
      <w:r w:rsidRPr="00516F1C">
        <w:rPr>
          <w:rFonts w:ascii="Arial" w:eastAsia="Calibri" w:hAnsi="Arial" w:cs="Arial"/>
          <w:lang w:eastAsia="ar-SA"/>
        </w:rPr>
        <w:t xml:space="preserve">a certain improvement in health or the </w:t>
      </w:r>
      <w:r>
        <w:rPr>
          <w:rFonts w:ascii="Arial" w:eastAsia="Calibri" w:hAnsi="Arial" w:cs="Arial"/>
          <w:lang w:eastAsia="ar-SA"/>
        </w:rPr>
        <w:t>reduction in risk of a crash.</w:t>
      </w:r>
      <w:r>
        <w:rPr>
          <w:rStyle w:val="FootnoteReference"/>
          <w:rFonts w:ascii="Arial" w:eastAsia="Calibri" w:hAnsi="Arial" w:cs="Arial"/>
          <w:lang w:eastAsia="ar-SA"/>
        </w:rPr>
        <w:footnoteReference w:id="12"/>
      </w:r>
      <w:r>
        <w:rPr>
          <w:rFonts w:ascii="Arial" w:eastAsia="Calibri" w:hAnsi="Arial" w:cs="Arial"/>
          <w:lang w:eastAsia="ar-SA"/>
        </w:rPr>
        <w:t xml:space="preserve"> </w:t>
      </w:r>
    </w:p>
    <w:p w:rsidR="008D1595" w:rsidRDefault="008D1595" w:rsidP="008D1595">
      <w:pPr>
        <w:suppressAutoHyphens/>
        <w:spacing w:after="0" w:line="240" w:lineRule="auto"/>
        <w:outlineLvl w:val="0"/>
        <w:rPr>
          <w:rFonts w:ascii="Arial" w:eastAsia="Calibri" w:hAnsi="Arial" w:cs="Arial"/>
          <w:lang w:eastAsia="ar-SA"/>
        </w:rPr>
      </w:pPr>
    </w:p>
    <w:p w:rsidR="008D1595" w:rsidRDefault="008D1595" w:rsidP="008D1595">
      <w:pPr>
        <w:suppressAutoHyphens/>
        <w:spacing w:after="0" w:line="240" w:lineRule="auto"/>
        <w:outlineLvl w:val="0"/>
        <w:rPr>
          <w:rFonts w:ascii="Arial" w:eastAsia="Calibri" w:hAnsi="Arial" w:cs="Arial"/>
          <w:lang w:eastAsia="ar-SA"/>
        </w:rPr>
      </w:pPr>
      <w:r>
        <w:rPr>
          <w:rFonts w:ascii="Arial" w:eastAsia="Calibri" w:hAnsi="Arial" w:cs="Arial"/>
          <w:lang w:eastAsia="ar-SA"/>
        </w:rPr>
        <w:t>Willingness to pay estimates of the cost of road crashes are markedly higher than human capital estimates: people are risk averse and are prepared to pay a premium for not being killed or injured. According to BITRE, a willingness to pay valuation of the cost of serious injury would generate values 45 per cent higher than those generated using its human capital approach.</w:t>
      </w:r>
      <w:r w:rsidRPr="003D7DF1">
        <w:rPr>
          <w:rStyle w:val="FootnoteReference"/>
          <w:rFonts w:ascii="Arial" w:eastAsia="Calibri" w:hAnsi="Arial" w:cs="Arial"/>
          <w:lang w:eastAsia="ar-SA"/>
        </w:rPr>
        <w:t xml:space="preserve"> </w:t>
      </w:r>
      <w:r>
        <w:rPr>
          <w:rStyle w:val="FootnoteReference"/>
          <w:rFonts w:ascii="Arial" w:eastAsia="Calibri" w:hAnsi="Arial" w:cs="Arial"/>
          <w:lang w:eastAsia="ar-SA"/>
        </w:rPr>
        <w:footnoteReference w:id="13"/>
      </w:r>
    </w:p>
    <w:p w:rsidR="008D1595" w:rsidRDefault="008D1595" w:rsidP="008D1595">
      <w:pPr>
        <w:suppressAutoHyphens/>
        <w:spacing w:after="0" w:line="240" w:lineRule="auto"/>
        <w:outlineLvl w:val="0"/>
        <w:rPr>
          <w:rFonts w:ascii="Arial" w:eastAsia="Calibri" w:hAnsi="Arial" w:cs="Arial"/>
          <w:lang w:eastAsia="ar-SA"/>
        </w:rPr>
      </w:pPr>
    </w:p>
    <w:p w:rsidR="008D1595" w:rsidRDefault="008D1595" w:rsidP="008D1595">
      <w:pPr>
        <w:suppressAutoHyphens/>
        <w:spacing w:after="0" w:line="240" w:lineRule="auto"/>
        <w:outlineLvl w:val="0"/>
        <w:rPr>
          <w:rFonts w:ascii="Arial" w:eastAsia="Calibri" w:hAnsi="Arial" w:cs="Arial"/>
          <w:lang w:eastAsia="ar-SA"/>
        </w:rPr>
      </w:pPr>
      <w:r>
        <w:rPr>
          <w:rFonts w:ascii="Arial" w:eastAsia="Calibri" w:hAnsi="Arial" w:cs="Arial"/>
          <w:lang w:eastAsia="ar-SA"/>
        </w:rPr>
        <w:t>Governments agreed in the 2011-2020 National Road Safety Strategy to use the willingness to pay approach to valuing the cost of deaths and injuries in road crashes.</w:t>
      </w:r>
      <w:r>
        <w:rPr>
          <w:rStyle w:val="FootnoteReference"/>
          <w:rFonts w:ascii="Arial" w:eastAsia="Calibri" w:hAnsi="Arial" w:cs="Arial"/>
          <w:lang w:eastAsia="ar-SA"/>
        </w:rPr>
        <w:footnoteReference w:id="14"/>
      </w:r>
      <w:r>
        <w:rPr>
          <w:rFonts w:ascii="Arial" w:eastAsia="Calibri" w:hAnsi="Arial" w:cs="Arial"/>
          <w:lang w:eastAsia="ar-SA"/>
        </w:rPr>
        <w:t xml:space="preserve"> Accordingly, the ATA considers that DIRDC should revalue the cost of a serious injury in the RIS to </w:t>
      </w:r>
      <w:r w:rsidR="00FE6304">
        <w:rPr>
          <w:rFonts w:ascii="Arial" w:eastAsia="Calibri" w:hAnsi="Arial" w:cs="Arial"/>
          <w:b/>
          <w:lang w:eastAsia="ar-SA"/>
        </w:rPr>
        <w:t>$392,9</w:t>
      </w:r>
      <w:r w:rsidRPr="003D7DF1">
        <w:rPr>
          <w:rFonts w:ascii="Arial" w:eastAsia="Calibri" w:hAnsi="Arial" w:cs="Arial"/>
          <w:b/>
          <w:lang w:eastAsia="ar-SA"/>
        </w:rPr>
        <w:t>67</w:t>
      </w:r>
      <w:r>
        <w:rPr>
          <w:rFonts w:ascii="Arial" w:eastAsia="Calibri" w:hAnsi="Arial" w:cs="Arial"/>
          <w:lang w:eastAsia="ar-SA"/>
        </w:rPr>
        <w:t>.</w:t>
      </w:r>
    </w:p>
    <w:p w:rsidR="00FE6304" w:rsidRDefault="00FE6304" w:rsidP="008D1595">
      <w:pPr>
        <w:suppressAutoHyphens/>
        <w:spacing w:after="0" w:line="240" w:lineRule="auto"/>
        <w:outlineLvl w:val="0"/>
        <w:rPr>
          <w:rFonts w:ascii="Arial" w:eastAsia="Calibri" w:hAnsi="Arial" w:cs="Arial"/>
          <w:lang w:eastAsia="ar-SA"/>
        </w:rPr>
      </w:pPr>
    </w:p>
    <w:p w:rsidR="00FE6304" w:rsidRDefault="00FE6304" w:rsidP="008D1595">
      <w:pPr>
        <w:suppressAutoHyphens/>
        <w:spacing w:after="0" w:line="240" w:lineRule="auto"/>
        <w:outlineLvl w:val="0"/>
        <w:rPr>
          <w:rFonts w:ascii="Arial" w:eastAsia="Calibri" w:hAnsi="Arial" w:cs="Arial"/>
          <w:lang w:eastAsia="ar-SA"/>
        </w:rPr>
      </w:pPr>
      <w:r>
        <w:rPr>
          <w:rFonts w:ascii="Arial" w:eastAsia="Calibri" w:hAnsi="Arial" w:cs="Arial"/>
          <w:lang w:eastAsia="ar-SA"/>
        </w:rPr>
        <w:t>At the ATA’s request, DIRDC modelled the impact of this increase on the net benefits and BCRs of options 6a, 6b and 6c. The results of thi</w:t>
      </w:r>
      <w:r w:rsidR="002E31C7">
        <w:rPr>
          <w:rFonts w:ascii="Arial" w:eastAsia="Calibri" w:hAnsi="Arial" w:cs="Arial"/>
          <w:lang w:eastAsia="ar-SA"/>
        </w:rPr>
        <w:t>s modelling are shown in table 3.</w:t>
      </w:r>
    </w:p>
    <w:p w:rsidR="00FE6304" w:rsidRDefault="00FE6304" w:rsidP="008D1595">
      <w:pPr>
        <w:suppressAutoHyphens/>
        <w:spacing w:after="0" w:line="240" w:lineRule="auto"/>
        <w:outlineLvl w:val="0"/>
        <w:rPr>
          <w:rFonts w:ascii="Arial" w:eastAsia="Calibri" w:hAnsi="Arial" w:cs="Arial"/>
          <w:lang w:eastAsia="ar-SA"/>
        </w:rPr>
      </w:pPr>
    </w:p>
    <w:p w:rsidR="00FE6304" w:rsidRDefault="00FE6304" w:rsidP="008D1595">
      <w:pPr>
        <w:suppressAutoHyphens/>
        <w:spacing w:after="0" w:line="240" w:lineRule="auto"/>
        <w:outlineLvl w:val="0"/>
        <w:rPr>
          <w:rFonts w:ascii="Arial" w:eastAsia="Calibri" w:hAnsi="Arial" w:cs="Arial"/>
          <w:lang w:eastAsia="ar-SA"/>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559"/>
        <w:gridCol w:w="1418"/>
      </w:tblGrid>
      <w:tr w:rsidR="002E31C7" w:rsidRPr="008C6670" w:rsidTr="002E31C7">
        <w:trPr>
          <w:tblHeader/>
        </w:trPr>
        <w:tc>
          <w:tcPr>
            <w:tcW w:w="8931" w:type="dxa"/>
            <w:gridSpan w:val="3"/>
            <w:tcBorders>
              <w:bottom w:val="single" w:sz="4" w:space="0" w:color="auto"/>
            </w:tcBorders>
            <w:shd w:val="clear" w:color="auto" w:fill="auto"/>
            <w:tcMar>
              <w:bottom w:w="113" w:type="dxa"/>
            </w:tcMar>
            <w:vAlign w:val="center"/>
          </w:tcPr>
          <w:p w:rsidR="002E31C7" w:rsidRDefault="002E31C7" w:rsidP="002E31C7">
            <w:pPr>
              <w:pStyle w:val="Table2heading"/>
              <w:keepNext/>
              <w:keepLines/>
              <w:jc w:val="left"/>
              <w:rPr>
                <w:rFonts w:ascii="Arial" w:hAnsi="Arial" w:cs="Arial"/>
                <w:szCs w:val="20"/>
              </w:rPr>
            </w:pPr>
            <w:r>
              <w:rPr>
                <w:rFonts w:ascii="Arial" w:hAnsi="Arial" w:cs="Arial"/>
                <w:szCs w:val="20"/>
              </w:rPr>
              <w:t>Table 3: RIS results using willingness-to-pay values for avoiding serious injury</w:t>
            </w:r>
          </w:p>
        </w:tc>
      </w:tr>
      <w:tr w:rsidR="002E31C7" w:rsidRPr="008C6670" w:rsidTr="002E31C7">
        <w:trPr>
          <w:tblHeader/>
        </w:trPr>
        <w:tc>
          <w:tcPr>
            <w:tcW w:w="5954" w:type="dxa"/>
            <w:tcBorders>
              <w:top w:val="single" w:sz="4" w:space="0" w:color="auto"/>
              <w:bottom w:val="single" w:sz="4" w:space="0" w:color="auto"/>
            </w:tcBorders>
            <w:shd w:val="clear" w:color="auto" w:fill="auto"/>
          </w:tcPr>
          <w:p w:rsidR="002E31C7" w:rsidRPr="008C6670" w:rsidRDefault="002E31C7" w:rsidP="002E31C7">
            <w:pPr>
              <w:pStyle w:val="Table2heading"/>
              <w:keepNext/>
              <w:keepLines/>
              <w:jc w:val="left"/>
              <w:rPr>
                <w:rFonts w:ascii="Arial" w:hAnsi="Arial" w:cs="Arial"/>
                <w:szCs w:val="20"/>
              </w:rPr>
            </w:pPr>
            <w:r>
              <w:rPr>
                <w:rFonts w:ascii="Arial" w:hAnsi="Arial" w:cs="Arial"/>
                <w:szCs w:val="20"/>
              </w:rPr>
              <w:t>Option</w:t>
            </w:r>
          </w:p>
        </w:tc>
        <w:tc>
          <w:tcPr>
            <w:tcW w:w="1559" w:type="dxa"/>
            <w:tcBorders>
              <w:top w:val="single" w:sz="4" w:space="0" w:color="auto"/>
              <w:bottom w:val="single" w:sz="4" w:space="0" w:color="auto"/>
            </w:tcBorders>
            <w:shd w:val="clear" w:color="auto" w:fill="auto"/>
            <w:vAlign w:val="center"/>
          </w:tcPr>
          <w:p w:rsidR="002E31C7" w:rsidRPr="008C6670" w:rsidRDefault="002E31C7" w:rsidP="00A716B8">
            <w:pPr>
              <w:pStyle w:val="Table2heading"/>
              <w:keepNext/>
              <w:keepLines/>
              <w:jc w:val="right"/>
              <w:rPr>
                <w:rFonts w:ascii="Arial" w:hAnsi="Arial" w:cs="Arial"/>
                <w:szCs w:val="20"/>
              </w:rPr>
            </w:pPr>
            <w:r>
              <w:rPr>
                <w:rFonts w:ascii="Arial" w:hAnsi="Arial" w:cs="Arial"/>
                <w:szCs w:val="20"/>
              </w:rPr>
              <w:t>Net b</w:t>
            </w:r>
            <w:r w:rsidRPr="008C6670">
              <w:rPr>
                <w:rFonts w:ascii="Arial" w:hAnsi="Arial" w:cs="Arial"/>
                <w:szCs w:val="20"/>
              </w:rPr>
              <w:t>enefits ($m)</w:t>
            </w:r>
          </w:p>
        </w:tc>
        <w:tc>
          <w:tcPr>
            <w:tcW w:w="1418" w:type="dxa"/>
            <w:tcBorders>
              <w:top w:val="single" w:sz="4" w:space="0" w:color="auto"/>
              <w:bottom w:val="single" w:sz="4" w:space="0" w:color="auto"/>
            </w:tcBorders>
            <w:shd w:val="clear" w:color="auto" w:fill="auto"/>
            <w:vAlign w:val="center"/>
          </w:tcPr>
          <w:p w:rsidR="002E31C7" w:rsidRPr="008C6670" w:rsidRDefault="002E31C7" w:rsidP="00A716B8">
            <w:pPr>
              <w:pStyle w:val="Table2heading"/>
              <w:keepNext/>
              <w:keepLines/>
              <w:jc w:val="right"/>
              <w:rPr>
                <w:rFonts w:ascii="Arial" w:hAnsi="Arial" w:cs="Arial"/>
                <w:szCs w:val="20"/>
              </w:rPr>
            </w:pPr>
            <w:r>
              <w:rPr>
                <w:rFonts w:ascii="Arial" w:hAnsi="Arial" w:cs="Arial"/>
                <w:szCs w:val="20"/>
              </w:rPr>
              <w:t>Benefit-cost ratio</w:t>
            </w:r>
          </w:p>
        </w:tc>
      </w:tr>
      <w:tr w:rsidR="002E31C7" w:rsidRPr="008C6670" w:rsidTr="002E31C7">
        <w:trPr>
          <w:trHeight w:val="284"/>
        </w:trPr>
        <w:tc>
          <w:tcPr>
            <w:tcW w:w="5954" w:type="dxa"/>
            <w:tcBorders>
              <w:top w:val="single" w:sz="4" w:space="0" w:color="auto"/>
            </w:tcBorders>
          </w:tcPr>
          <w:p w:rsidR="002E31C7" w:rsidRPr="005A3AF5" w:rsidRDefault="002E31C7" w:rsidP="002E31C7">
            <w:pPr>
              <w:suppressAutoHyphens/>
              <w:outlineLvl w:val="0"/>
              <w:rPr>
                <w:rFonts w:ascii="Arial" w:eastAsia="Calibri" w:hAnsi="Arial" w:cs="Arial"/>
                <w:sz w:val="20"/>
                <w:szCs w:val="20"/>
                <w:lang w:eastAsia="ar-SA"/>
              </w:rPr>
            </w:pPr>
            <w:r w:rsidRPr="005A3AF5">
              <w:rPr>
                <w:rFonts w:ascii="Arial" w:eastAsia="Calibri" w:hAnsi="Arial" w:cs="Arial"/>
                <w:sz w:val="20"/>
                <w:szCs w:val="20"/>
                <w:lang w:eastAsia="ar-SA"/>
              </w:rPr>
              <w:t>6a</w:t>
            </w:r>
            <w:r>
              <w:rPr>
                <w:rFonts w:ascii="Arial" w:eastAsia="Calibri" w:hAnsi="Arial" w:cs="Arial"/>
                <w:sz w:val="20"/>
                <w:szCs w:val="20"/>
                <w:lang w:eastAsia="ar-SA"/>
              </w:rPr>
              <w:t xml:space="preserve"> (broad scope)</w:t>
            </w:r>
          </w:p>
        </w:tc>
        <w:tc>
          <w:tcPr>
            <w:tcW w:w="1559" w:type="dxa"/>
            <w:tcBorders>
              <w:top w:val="single" w:sz="4" w:space="0" w:color="auto"/>
            </w:tcBorders>
            <w:vAlign w:val="center"/>
          </w:tcPr>
          <w:p w:rsidR="002E31C7" w:rsidRPr="008C6670" w:rsidRDefault="002E31C7" w:rsidP="002E31C7">
            <w:pPr>
              <w:pStyle w:val="Table2"/>
              <w:keepNext/>
              <w:keepLines/>
              <w:jc w:val="right"/>
              <w:rPr>
                <w:rFonts w:ascii="Arial" w:hAnsi="Arial" w:cs="Arial"/>
                <w:szCs w:val="20"/>
              </w:rPr>
            </w:pPr>
            <w:r w:rsidRPr="008C6670">
              <w:rPr>
                <w:rFonts w:ascii="Arial" w:hAnsi="Arial" w:cs="Arial"/>
                <w:szCs w:val="20"/>
              </w:rPr>
              <w:t>2</w:t>
            </w:r>
            <w:r>
              <w:rPr>
                <w:rFonts w:ascii="Arial" w:hAnsi="Arial" w:cs="Arial"/>
                <w:szCs w:val="20"/>
              </w:rPr>
              <w:t>09</w:t>
            </w:r>
          </w:p>
        </w:tc>
        <w:tc>
          <w:tcPr>
            <w:tcW w:w="1418" w:type="dxa"/>
            <w:tcBorders>
              <w:top w:val="single" w:sz="4" w:space="0" w:color="auto"/>
            </w:tcBorders>
            <w:vAlign w:val="center"/>
          </w:tcPr>
          <w:p w:rsidR="002E31C7" w:rsidRPr="008C6670" w:rsidRDefault="002E31C7" w:rsidP="002E31C7">
            <w:pPr>
              <w:pStyle w:val="Table2"/>
              <w:keepNext/>
              <w:keepLines/>
              <w:jc w:val="right"/>
              <w:rPr>
                <w:rFonts w:ascii="Arial" w:hAnsi="Arial" w:cs="Arial"/>
                <w:szCs w:val="20"/>
              </w:rPr>
            </w:pPr>
            <w:r>
              <w:rPr>
                <w:rFonts w:ascii="Arial" w:hAnsi="Arial" w:cs="Arial"/>
                <w:szCs w:val="20"/>
              </w:rPr>
              <w:t>2.24</w:t>
            </w:r>
          </w:p>
        </w:tc>
      </w:tr>
      <w:tr w:rsidR="002E31C7" w:rsidRPr="008C6670" w:rsidTr="002E31C7">
        <w:trPr>
          <w:trHeight w:val="284"/>
        </w:trPr>
        <w:tc>
          <w:tcPr>
            <w:tcW w:w="5954" w:type="dxa"/>
          </w:tcPr>
          <w:p w:rsidR="002E31C7" w:rsidRPr="005A3AF5" w:rsidRDefault="002E31C7" w:rsidP="002E31C7">
            <w:pPr>
              <w:suppressAutoHyphens/>
              <w:outlineLvl w:val="0"/>
              <w:rPr>
                <w:rFonts w:ascii="Arial" w:eastAsia="Calibri" w:hAnsi="Arial" w:cs="Arial"/>
                <w:sz w:val="20"/>
                <w:szCs w:val="20"/>
                <w:lang w:eastAsia="ar-SA"/>
              </w:rPr>
            </w:pPr>
            <w:r w:rsidRPr="005A3AF5">
              <w:rPr>
                <w:rFonts w:ascii="Arial" w:eastAsia="Calibri" w:hAnsi="Arial" w:cs="Arial"/>
                <w:sz w:val="20"/>
                <w:szCs w:val="20"/>
                <w:lang w:eastAsia="ar-SA"/>
              </w:rPr>
              <w:t>6b</w:t>
            </w:r>
            <w:r>
              <w:rPr>
                <w:rFonts w:ascii="Arial" w:eastAsia="Calibri" w:hAnsi="Arial" w:cs="Arial"/>
                <w:sz w:val="20"/>
                <w:szCs w:val="20"/>
                <w:lang w:eastAsia="ar-SA"/>
              </w:rPr>
              <w:t xml:space="preserve"> (medium scope)</w:t>
            </w:r>
          </w:p>
        </w:tc>
        <w:tc>
          <w:tcPr>
            <w:tcW w:w="1559" w:type="dxa"/>
            <w:vAlign w:val="center"/>
          </w:tcPr>
          <w:p w:rsidR="002E31C7" w:rsidRPr="008C6670" w:rsidRDefault="002E31C7" w:rsidP="002E31C7">
            <w:pPr>
              <w:pStyle w:val="Table2"/>
              <w:keepNext/>
              <w:keepLines/>
              <w:jc w:val="right"/>
              <w:rPr>
                <w:rFonts w:ascii="Arial" w:hAnsi="Arial" w:cs="Arial"/>
                <w:szCs w:val="20"/>
              </w:rPr>
            </w:pPr>
            <w:r>
              <w:rPr>
                <w:rFonts w:ascii="Arial" w:hAnsi="Arial" w:cs="Arial"/>
                <w:szCs w:val="20"/>
              </w:rPr>
              <w:t>241</w:t>
            </w:r>
          </w:p>
        </w:tc>
        <w:tc>
          <w:tcPr>
            <w:tcW w:w="1418" w:type="dxa"/>
            <w:vAlign w:val="center"/>
          </w:tcPr>
          <w:p w:rsidR="002E31C7" w:rsidRPr="008C6670" w:rsidRDefault="002E31C7" w:rsidP="002E31C7">
            <w:pPr>
              <w:pStyle w:val="Table2"/>
              <w:keepNext/>
              <w:keepLines/>
              <w:jc w:val="right"/>
              <w:rPr>
                <w:rFonts w:ascii="Arial" w:hAnsi="Arial" w:cs="Arial"/>
                <w:szCs w:val="20"/>
              </w:rPr>
            </w:pPr>
            <w:r>
              <w:rPr>
                <w:rFonts w:ascii="Arial" w:hAnsi="Arial" w:cs="Arial"/>
                <w:szCs w:val="20"/>
              </w:rPr>
              <w:t>3.44</w:t>
            </w:r>
          </w:p>
        </w:tc>
      </w:tr>
      <w:tr w:rsidR="002E31C7" w:rsidRPr="008C6670" w:rsidTr="002E31C7">
        <w:trPr>
          <w:trHeight w:val="284"/>
        </w:trPr>
        <w:tc>
          <w:tcPr>
            <w:tcW w:w="5954" w:type="dxa"/>
            <w:tcBorders>
              <w:bottom w:val="single" w:sz="4" w:space="0" w:color="auto"/>
            </w:tcBorders>
          </w:tcPr>
          <w:p w:rsidR="002E31C7" w:rsidRPr="005A3AF5" w:rsidRDefault="002E31C7" w:rsidP="002E31C7">
            <w:pPr>
              <w:suppressAutoHyphens/>
              <w:outlineLvl w:val="0"/>
              <w:rPr>
                <w:rFonts w:ascii="Arial" w:eastAsia="Calibri" w:hAnsi="Arial" w:cs="Arial"/>
                <w:sz w:val="20"/>
                <w:szCs w:val="20"/>
                <w:lang w:eastAsia="ar-SA"/>
              </w:rPr>
            </w:pPr>
            <w:r w:rsidRPr="005A3AF5">
              <w:rPr>
                <w:rFonts w:ascii="Arial" w:eastAsia="Calibri" w:hAnsi="Arial" w:cs="Arial"/>
                <w:sz w:val="20"/>
                <w:szCs w:val="20"/>
                <w:lang w:eastAsia="ar-SA"/>
              </w:rPr>
              <w:t>6c</w:t>
            </w:r>
            <w:r>
              <w:rPr>
                <w:rFonts w:ascii="Arial" w:eastAsia="Calibri" w:hAnsi="Arial" w:cs="Arial"/>
                <w:sz w:val="20"/>
                <w:szCs w:val="20"/>
                <w:lang w:eastAsia="ar-SA"/>
              </w:rPr>
              <w:t xml:space="preserve"> (narrow scope)</w:t>
            </w:r>
          </w:p>
        </w:tc>
        <w:tc>
          <w:tcPr>
            <w:tcW w:w="1559" w:type="dxa"/>
            <w:tcBorders>
              <w:bottom w:val="single" w:sz="4" w:space="0" w:color="auto"/>
            </w:tcBorders>
            <w:vAlign w:val="center"/>
          </w:tcPr>
          <w:p w:rsidR="002E31C7" w:rsidRPr="008C6670" w:rsidRDefault="002E31C7" w:rsidP="002E31C7">
            <w:pPr>
              <w:pStyle w:val="Table2"/>
              <w:keepNext/>
              <w:keepLines/>
              <w:jc w:val="right"/>
              <w:rPr>
                <w:rFonts w:ascii="Arial" w:hAnsi="Arial" w:cs="Arial"/>
                <w:szCs w:val="20"/>
              </w:rPr>
            </w:pPr>
            <w:r>
              <w:rPr>
                <w:rFonts w:ascii="Arial" w:hAnsi="Arial" w:cs="Arial"/>
                <w:szCs w:val="20"/>
              </w:rPr>
              <w:t>247</w:t>
            </w:r>
          </w:p>
        </w:tc>
        <w:tc>
          <w:tcPr>
            <w:tcW w:w="1418" w:type="dxa"/>
            <w:tcBorders>
              <w:bottom w:val="single" w:sz="4" w:space="0" w:color="auto"/>
            </w:tcBorders>
            <w:vAlign w:val="center"/>
          </w:tcPr>
          <w:p w:rsidR="002E31C7" w:rsidRPr="008C6670" w:rsidRDefault="002E31C7" w:rsidP="002E31C7">
            <w:pPr>
              <w:pStyle w:val="Table2"/>
              <w:keepNext/>
              <w:keepLines/>
              <w:jc w:val="right"/>
              <w:rPr>
                <w:rFonts w:ascii="Arial" w:hAnsi="Arial" w:cs="Arial"/>
                <w:szCs w:val="20"/>
              </w:rPr>
            </w:pPr>
            <w:r>
              <w:rPr>
                <w:rFonts w:ascii="Arial" w:hAnsi="Arial" w:cs="Arial"/>
                <w:szCs w:val="20"/>
              </w:rPr>
              <w:t>5.68</w:t>
            </w:r>
          </w:p>
        </w:tc>
      </w:tr>
      <w:tr w:rsidR="002E31C7" w:rsidRPr="008C6670" w:rsidTr="002E31C7">
        <w:trPr>
          <w:trHeight w:val="284"/>
        </w:trPr>
        <w:tc>
          <w:tcPr>
            <w:tcW w:w="5954" w:type="dxa"/>
            <w:tcBorders>
              <w:top w:val="single" w:sz="4" w:space="0" w:color="auto"/>
            </w:tcBorders>
            <w:vAlign w:val="center"/>
          </w:tcPr>
          <w:p w:rsidR="002E31C7" w:rsidRPr="002E31C7" w:rsidRDefault="002E31C7" w:rsidP="002E31C7">
            <w:pPr>
              <w:pStyle w:val="Table2"/>
              <w:keepNext/>
              <w:keepLines/>
              <w:rPr>
                <w:rFonts w:ascii="Arial" w:hAnsi="Arial" w:cs="Arial"/>
                <w:sz w:val="18"/>
                <w:szCs w:val="18"/>
              </w:rPr>
            </w:pPr>
            <w:r w:rsidRPr="002E31C7">
              <w:rPr>
                <w:rFonts w:ascii="Arial" w:hAnsi="Arial" w:cs="Arial"/>
                <w:sz w:val="18"/>
                <w:szCs w:val="18"/>
              </w:rPr>
              <w:t>Source: Additional DIRDC modelling</w:t>
            </w:r>
          </w:p>
        </w:tc>
        <w:tc>
          <w:tcPr>
            <w:tcW w:w="1559" w:type="dxa"/>
            <w:tcBorders>
              <w:top w:val="single" w:sz="4" w:space="0" w:color="auto"/>
            </w:tcBorders>
            <w:vAlign w:val="center"/>
          </w:tcPr>
          <w:p w:rsidR="002E31C7" w:rsidRPr="008C6670" w:rsidRDefault="002E31C7" w:rsidP="00A716B8">
            <w:pPr>
              <w:pStyle w:val="Table2"/>
              <w:keepNext/>
              <w:keepLines/>
              <w:jc w:val="right"/>
              <w:rPr>
                <w:rFonts w:ascii="Arial" w:hAnsi="Arial" w:cs="Arial"/>
                <w:szCs w:val="20"/>
              </w:rPr>
            </w:pPr>
          </w:p>
        </w:tc>
        <w:tc>
          <w:tcPr>
            <w:tcW w:w="1418" w:type="dxa"/>
            <w:tcBorders>
              <w:top w:val="single" w:sz="4" w:space="0" w:color="auto"/>
            </w:tcBorders>
            <w:vAlign w:val="center"/>
          </w:tcPr>
          <w:p w:rsidR="002E31C7" w:rsidRPr="008C6670" w:rsidRDefault="002E31C7" w:rsidP="00A716B8">
            <w:pPr>
              <w:pStyle w:val="Table2"/>
              <w:keepNext/>
              <w:keepLines/>
              <w:jc w:val="right"/>
              <w:rPr>
                <w:rFonts w:ascii="Arial" w:hAnsi="Arial" w:cs="Arial"/>
                <w:szCs w:val="20"/>
              </w:rPr>
            </w:pPr>
          </w:p>
        </w:tc>
      </w:tr>
    </w:tbl>
    <w:p w:rsidR="00FE6304" w:rsidRDefault="00FE6304" w:rsidP="008D1595">
      <w:pPr>
        <w:suppressAutoHyphens/>
        <w:spacing w:after="0" w:line="240" w:lineRule="auto"/>
        <w:outlineLvl w:val="0"/>
        <w:rPr>
          <w:rFonts w:ascii="Arial" w:eastAsia="Calibri" w:hAnsi="Arial" w:cs="Arial"/>
          <w:lang w:eastAsia="ar-SA"/>
        </w:rPr>
      </w:pPr>
    </w:p>
    <w:p w:rsidR="00BA60C8" w:rsidRDefault="00BA60C8" w:rsidP="00BA60C8">
      <w:pPr>
        <w:pStyle w:val="ListParagraph"/>
        <w:suppressAutoHyphens/>
        <w:spacing w:after="0" w:line="240" w:lineRule="auto"/>
        <w:ind w:left="0"/>
        <w:outlineLvl w:val="0"/>
        <w:rPr>
          <w:rFonts w:ascii="Arial" w:eastAsia="Calibri" w:hAnsi="Arial" w:cs="Arial"/>
          <w:lang w:eastAsia="ar-SA"/>
        </w:rPr>
      </w:pPr>
    </w:p>
    <w:p w:rsidR="002E31C7" w:rsidRDefault="002E31C7" w:rsidP="002E31C7">
      <w:pPr>
        <w:pStyle w:val="ListParagraph"/>
        <w:keepNext/>
        <w:suppressAutoHyphens/>
        <w:spacing w:after="0" w:line="240" w:lineRule="auto"/>
        <w:ind w:left="0"/>
        <w:outlineLvl w:val="0"/>
        <w:rPr>
          <w:rFonts w:ascii="Arial" w:eastAsia="Calibri" w:hAnsi="Arial" w:cs="Arial"/>
          <w:i/>
          <w:lang w:eastAsia="ar-SA"/>
        </w:rPr>
      </w:pPr>
      <w:r w:rsidRPr="002E31C7">
        <w:rPr>
          <w:rFonts w:ascii="Arial" w:eastAsia="Calibri" w:hAnsi="Arial" w:cs="Arial"/>
          <w:i/>
          <w:lang w:eastAsia="ar-SA"/>
        </w:rPr>
        <w:t>Recommendation 1</w:t>
      </w:r>
    </w:p>
    <w:p w:rsidR="002E31C7" w:rsidRPr="002E31C7" w:rsidRDefault="002E31C7" w:rsidP="002E31C7">
      <w:pPr>
        <w:pStyle w:val="ListParagraph"/>
        <w:keepNext/>
        <w:suppressAutoHyphens/>
        <w:spacing w:after="0" w:line="240" w:lineRule="auto"/>
        <w:ind w:left="0"/>
        <w:outlineLvl w:val="0"/>
        <w:rPr>
          <w:rFonts w:ascii="Arial" w:eastAsia="Calibri" w:hAnsi="Arial" w:cs="Arial"/>
          <w:i/>
          <w:lang w:eastAsia="ar-SA"/>
        </w:rPr>
      </w:pPr>
      <w:r>
        <w:rPr>
          <w:rFonts w:ascii="Arial" w:eastAsia="Calibri" w:hAnsi="Arial" w:cs="Arial"/>
          <w:i/>
          <w:lang w:eastAsia="ar-SA"/>
        </w:rPr>
        <w:t>[to the Department of Infrastructure, Regional Development and Cities]</w:t>
      </w:r>
    </w:p>
    <w:p w:rsidR="00BA60C8" w:rsidRDefault="00BA60C8" w:rsidP="002E31C7">
      <w:pPr>
        <w:pStyle w:val="ListParagraph"/>
        <w:keepNext/>
        <w:suppressAutoHyphens/>
        <w:spacing w:after="0" w:line="240" w:lineRule="auto"/>
        <w:ind w:left="0"/>
        <w:outlineLvl w:val="0"/>
        <w:rPr>
          <w:rFonts w:ascii="Arial" w:eastAsia="Calibri" w:hAnsi="Arial" w:cs="Arial"/>
          <w:lang w:eastAsia="ar-SA"/>
        </w:rPr>
      </w:pPr>
    </w:p>
    <w:p w:rsidR="002E31C7" w:rsidRDefault="002E31C7" w:rsidP="002E31C7">
      <w:pPr>
        <w:pStyle w:val="ListParagraph"/>
        <w:keepNext/>
        <w:suppressAutoHyphens/>
        <w:spacing w:after="0" w:line="240" w:lineRule="auto"/>
        <w:ind w:left="0"/>
        <w:outlineLvl w:val="0"/>
        <w:rPr>
          <w:rFonts w:ascii="Arial" w:eastAsia="Calibri" w:hAnsi="Arial" w:cs="Arial"/>
          <w:lang w:eastAsia="ar-SA"/>
        </w:rPr>
      </w:pPr>
      <w:r>
        <w:rPr>
          <w:rFonts w:ascii="Arial" w:eastAsia="Calibri" w:hAnsi="Arial" w:cs="Arial"/>
          <w:lang w:eastAsia="ar-SA"/>
        </w:rPr>
        <w:t>The final version of the RIS presented should value the cost of a serious injury at $392,967, consistent with the willingness-to-pay approach endorsed by governments.</w:t>
      </w:r>
    </w:p>
    <w:p w:rsidR="002E31C7" w:rsidRDefault="002E31C7" w:rsidP="00BA60C8">
      <w:pPr>
        <w:pStyle w:val="ListParagraph"/>
        <w:suppressAutoHyphens/>
        <w:spacing w:after="0" w:line="240" w:lineRule="auto"/>
        <w:ind w:left="0"/>
        <w:outlineLvl w:val="0"/>
        <w:rPr>
          <w:rFonts w:ascii="Arial" w:eastAsia="Calibri" w:hAnsi="Arial" w:cs="Arial"/>
          <w:lang w:eastAsia="ar-SA"/>
        </w:rPr>
      </w:pPr>
    </w:p>
    <w:p w:rsidR="002E31C7" w:rsidRPr="00BA60C8" w:rsidRDefault="002E31C7" w:rsidP="00BA60C8">
      <w:pPr>
        <w:pStyle w:val="ListParagraph"/>
        <w:suppressAutoHyphens/>
        <w:spacing w:after="0" w:line="240" w:lineRule="auto"/>
        <w:ind w:left="0"/>
        <w:outlineLvl w:val="0"/>
        <w:rPr>
          <w:rFonts w:ascii="Arial" w:eastAsia="Calibri" w:hAnsi="Arial" w:cs="Arial"/>
          <w:lang w:eastAsia="ar-SA"/>
        </w:rPr>
      </w:pPr>
    </w:p>
    <w:p w:rsidR="00CB5EA4" w:rsidRDefault="00C836AE" w:rsidP="001F44E1">
      <w:pPr>
        <w:keepNext/>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The Government should adopt option 6a</w:t>
      </w:r>
    </w:p>
    <w:p w:rsidR="00F44B51" w:rsidRDefault="00F44B51" w:rsidP="001F44E1">
      <w:pPr>
        <w:keepNext/>
        <w:suppressAutoHyphens/>
        <w:spacing w:after="0" w:line="240" w:lineRule="auto"/>
        <w:outlineLvl w:val="0"/>
        <w:rPr>
          <w:rFonts w:ascii="Arial" w:eastAsia="Calibri" w:hAnsi="Arial" w:cs="Arial"/>
          <w:lang w:eastAsia="ar-SA"/>
        </w:rPr>
      </w:pPr>
    </w:p>
    <w:p w:rsidR="00CB5EA4" w:rsidRDefault="00CB5EA4" w:rsidP="001F44E1">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considers that the Government should lean in on safety and adopt option 6a instead of option 6c, as recommended </w:t>
      </w:r>
      <w:r w:rsidR="00F336FF">
        <w:rPr>
          <w:rFonts w:ascii="Arial" w:eastAsia="Calibri" w:hAnsi="Arial" w:cs="Arial"/>
          <w:lang w:eastAsia="ar-SA"/>
        </w:rPr>
        <w:t>in the draft RIS</w:t>
      </w:r>
      <w:r>
        <w:rPr>
          <w:rFonts w:ascii="Arial" w:eastAsia="Calibri" w:hAnsi="Arial" w:cs="Arial"/>
          <w:lang w:eastAsia="ar-SA"/>
        </w:rPr>
        <w:t>.</w:t>
      </w:r>
    </w:p>
    <w:p w:rsidR="00CB5EA4" w:rsidRDefault="00CB5EA4" w:rsidP="00261D80">
      <w:pPr>
        <w:suppressAutoHyphens/>
        <w:spacing w:after="0" w:line="240" w:lineRule="auto"/>
        <w:outlineLvl w:val="0"/>
        <w:rPr>
          <w:rFonts w:ascii="Arial" w:eastAsia="Calibri" w:hAnsi="Arial" w:cs="Arial"/>
          <w:lang w:eastAsia="ar-SA"/>
        </w:rPr>
      </w:pPr>
    </w:p>
    <w:p w:rsidR="00CB5EA4" w:rsidRDefault="00F336FF"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supports option 6a because it would save more lives and prevent more serious injuries than option 6c. </w:t>
      </w:r>
    </w:p>
    <w:p w:rsidR="00CB5EA4" w:rsidRDefault="00CB5EA4" w:rsidP="00261D80">
      <w:pPr>
        <w:suppressAutoHyphens/>
        <w:spacing w:after="0" w:line="240" w:lineRule="auto"/>
        <w:outlineLvl w:val="0"/>
        <w:rPr>
          <w:rFonts w:ascii="Arial" w:eastAsia="Calibri" w:hAnsi="Arial" w:cs="Arial"/>
          <w:lang w:eastAsia="ar-SA"/>
        </w:rPr>
      </w:pPr>
    </w:p>
    <w:p w:rsidR="00CB5EA4" w:rsidRDefault="00CB5EA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In addition, option 6a would </w:t>
      </w:r>
      <w:r w:rsidR="00F336FF">
        <w:rPr>
          <w:rFonts w:ascii="Arial" w:eastAsia="Calibri" w:hAnsi="Arial" w:cs="Arial"/>
          <w:lang w:eastAsia="ar-SA"/>
        </w:rPr>
        <w:t xml:space="preserve">provide drivers with a </w:t>
      </w:r>
      <w:r>
        <w:rPr>
          <w:rFonts w:ascii="Arial" w:eastAsia="Calibri" w:hAnsi="Arial" w:cs="Arial"/>
          <w:lang w:eastAsia="ar-SA"/>
        </w:rPr>
        <w:t>consistent braking environment across all v</w:t>
      </w:r>
      <w:r w:rsidR="00BA0E63">
        <w:rPr>
          <w:rFonts w:ascii="Arial" w:eastAsia="Calibri" w:hAnsi="Arial" w:cs="Arial"/>
          <w:lang w:eastAsia="ar-SA"/>
        </w:rPr>
        <w:t>ehicle categories</w:t>
      </w:r>
      <w:r>
        <w:rPr>
          <w:rFonts w:ascii="Arial" w:eastAsia="Calibri" w:hAnsi="Arial" w:cs="Arial"/>
          <w:lang w:eastAsia="ar-SA"/>
        </w:rPr>
        <w:t>.</w:t>
      </w:r>
    </w:p>
    <w:p w:rsidR="00CB5EA4" w:rsidRDefault="00CB5EA4" w:rsidP="00261D80">
      <w:pPr>
        <w:suppressAutoHyphens/>
        <w:spacing w:after="0" w:line="240" w:lineRule="auto"/>
        <w:outlineLvl w:val="0"/>
        <w:rPr>
          <w:rFonts w:ascii="Arial" w:eastAsia="Calibri" w:hAnsi="Arial" w:cs="Arial"/>
          <w:lang w:eastAsia="ar-SA"/>
        </w:rPr>
      </w:pPr>
    </w:p>
    <w:p w:rsidR="00F336FF" w:rsidRDefault="00F336FF"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It is true that option 6a would deliver a smaller net economic benefit than option 6c. </w:t>
      </w:r>
      <w:r w:rsidR="000A2269">
        <w:rPr>
          <w:rFonts w:ascii="Arial" w:eastAsia="Calibri" w:hAnsi="Arial" w:cs="Arial"/>
          <w:lang w:eastAsia="ar-SA"/>
        </w:rPr>
        <w:t xml:space="preserve">In the ATA’s view, </w:t>
      </w:r>
      <w:r w:rsidR="00996EF2">
        <w:rPr>
          <w:rFonts w:ascii="Arial" w:eastAsia="Calibri" w:hAnsi="Arial" w:cs="Arial"/>
          <w:lang w:eastAsia="ar-SA"/>
        </w:rPr>
        <w:t xml:space="preserve">however, </w:t>
      </w:r>
      <w:r w:rsidR="000A2269">
        <w:rPr>
          <w:rFonts w:ascii="Arial" w:eastAsia="Calibri" w:hAnsi="Arial" w:cs="Arial"/>
          <w:lang w:eastAsia="ar-SA"/>
        </w:rPr>
        <w:t>the imperative need to reduce the road toll means the Government should, in this case, prioritise safety and accept the lower, but still positive, economic benefit</w:t>
      </w:r>
      <w:r w:rsidR="00996EF2">
        <w:rPr>
          <w:rFonts w:ascii="Arial" w:eastAsia="Calibri" w:hAnsi="Arial" w:cs="Arial"/>
          <w:lang w:eastAsia="ar-SA"/>
        </w:rPr>
        <w:t>s</w:t>
      </w:r>
      <w:r w:rsidR="000A2269">
        <w:rPr>
          <w:rFonts w:ascii="Arial" w:eastAsia="Calibri" w:hAnsi="Arial" w:cs="Arial"/>
          <w:lang w:eastAsia="ar-SA"/>
        </w:rPr>
        <w:t xml:space="preserve"> offered by option 6a.</w:t>
      </w:r>
    </w:p>
    <w:p w:rsidR="00CB5EA4" w:rsidRDefault="00CB5EA4" w:rsidP="00261D80">
      <w:pPr>
        <w:suppressAutoHyphens/>
        <w:spacing w:after="0" w:line="240" w:lineRule="auto"/>
        <w:outlineLvl w:val="0"/>
        <w:rPr>
          <w:rFonts w:ascii="Arial" w:eastAsia="Calibri" w:hAnsi="Arial" w:cs="Arial"/>
          <w:lang w:eastAsia="ar-SA"/>
        </w:rPr>
      </w:pPr>
    </w:p>
    <w:p w:rsidR="00F64023" w:rsidRDefault="00F64023" w:rsidP="00261D80">
      <w:pPr>
        <w:suppressAutoHyphens/>
        <w:spacing w:after="0" w:line="240" w:lineRule="auto"/>
        <w:outlineLvl w:val="0"/>
        <w:rPr>
          <w:rFonts w:ascii="Arial" w:eastAsia="Calibri" w:hAnsi="Arial" w:cs="Arial"/>
          <w:lang w:eastAsia="ar-SA"/>
        </w:rPr>
      </w:pPr>
    </w:p>
    <w:p w:rsidR="00261D80" w:rsidRPr="00261D80" w:rsidRDefault="00211897" w:rsidP="00211897">
      <w:pPr>
        <w:keepNext/>
        <w:suppressAutoHyphens/>
        <w:spacing w:after="0" w:line="240" w:lineRule="auto"/>
        <w:outlineLvl w:val="0"/>
        <w:rPr>
          <w:rFonts w:ascii="Arial" w:eastAsia="Calibri" w:hAnsi="Arial" w:cs="Arial"/>
          <w:b/>
          <w:lang w:eastAsia="ar-SA"/>
        </w:rPr>
      </w:pPr>
      <w:r>
        <w:rPr>
          <w:rFonts w:ascii="Arial" w:eastAsia="Calibri" w:hAnsi="Arial" w:cs="Arial"/>
          <w:b/>
          <w:lang w:eastAsia="ar-SA"/>
        </w:rPr>
        <w:t>Saving lives and avoiding injuries</w:t>
      </w:r>
    </w:p>
    <w:p w:rsidR="00261D80" w:rsidRDefault="00261D80" w:rsidP="00211897">
      <w:pPr>
        <w:keepNext/>
        <w:suppressAutoHyphens/>
        <w:spacing w:after="0" w:line="240" w:lineRule="auto"/>
        <w:outlineLvl w:val="0"/>
        <w:rPr>
          <w:rFonts w:ascii="Arial" w:eastAsia="Calibri" w:hAnsi="Arial" w:cs="Arial"/>
          <w:lang w:eastAsia="ar-SA"/>
        </w:rPr>
      </w:pPr>
    </w:p>
    <w:p w:rsidR="003D28C3" w:rsidRDefault="003D28C3" w:rsidP="00211897">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Option 6a would save an additional 24 lives and avoid an additional 412 serious injuries to workers and the public</w:t>
      </w:r>
      <w:r w:rsidR="00BC7A36">
        <w:rPr>
          <w:rFonts w:ascii="Arial" w:eastAsia="Calibri" w:hAnsi="Arial" w:cs="Arial"/>
          <w:lang w:eastAsia="ar-SA"/>
        </w:rPr>
        <w:t xml:space="preserve">, </w:t>
      </w:r>
      <w:r>
        <w:rPr>
          <w:rFonts w:ascii="Arial" w:eastAsia="Calibri" w:hAnsi="Arial" w:cs="Arial"/>
          <w:lang w:eastAsia="ar-SA"/>
        </w:rPr>
        <w:t>compared to option 6c.</w:t>
      </w:r>
    </w:p>
    <w:p w:rsidR="003D28C3" w:rsidRDefault="003D28C3" w:rsidP="003D28C3">
      <w:pPr>
        <w:suppressAutoHyphens/>
        <w:spacing w:after="0" w:line="240" w:lineRule="auto"/>
        <w:outlineLvl w:val="0"/>
        <w:rPr>
          <w:rFonts w:ascii="Arial" w:eastAsia="Calibri" w:hAnsi="Arial" w:cs="Arial"/>
          <w:lang w:eastAsia="ar-SA"/>
        </w:rPr>
      </w:pPr>
    </w:p>
    <w:p w:rsidR="00CE2665" w:rsidRDefault="001E79BF" w:rsidP="00211897">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It would cost </w:t>
      </w:r>
      <w:r w:rsidR="00E348E7">
        <w:rPr>
          <w:rFonts w:ascii="Arial" w:eastAsia="Calibri" w:hAnsi="Arial" w:cs="Arial"/>
          <w:lang w:eastAsia="ar-SA"/>
        </w:rPr>
        <w:t>businesses an additional $117 million in NPV terms; however, this cost would not be borne by the trucking industry alone. The cost would be spread across</w:t>
      </w:r>
      <w:r w:rsidR="00CE2665">
        <w:rPr>
          <w:rFonts w:ascii="Arial" w:eastAsia="Calibri" w:hAnsi="Arial" w:cs="Arial"/>
          <w:lang w:eastAsia="ar-SA"/>
        </w:rPr>
        <w:t xml:space="preserve"> </w:t>
      </w:r>
      <w:r w:rsidR="00E348E7" w:rsidRPr="00CE2665">
        <w:rPr>
          <w:rFonts w:ascii="Arial" w:eastAsia="Calibri" w:hAnsi="Arial" w:cs="Arial"/>
          <w:lang w:eastAsia="ar-SA"/>
        </w:rPr>
        <w:t xml:space="preserve">all business purchasing new </w:t>
      </w:r>
      <w:r w:rsidR="004E1AE4" w:rsidRPr="00CE2665">
        <w:rPr>
          <w:rFonts w:ascii="Arial" w:eastAsia="Calibri" w:hAnsi="Arial" w:cs="Arial"/>
          <w:lang w:eastAsia="ar-SA"/>
        </w:rPr>
        <w:t>rigid</w:t>
      </w:r>
      <w:r w:rsidR="00CE2665">
        <w:rPr>
          <w:rFonts w:ascii="Arial" w:eastAsia="Calibri" w:hAnsi="Arial" w:cs="Arial"/>
          <w:lang w:eastAsia="ar-SA"/>
        </w:rPr>
        <w:t xml:space="preserve"> trucks and </w:t>
      </w:r>
      <w:r w:rsidR="00AC6A3D">
        <w:rPr>
          <w:rFonts w:ascii="Arial" w:eastAsia="Calibri" w:hAnsi="Arial" w:cs="Arial"/>
          <w:lang w:eastAsia="ar-SA"/>
        </w:rPr>
        <w:t>&lt;12t</w:t>
      </w:r>
      <w:r w:rsidR="00CE2665">
        <w:rPr>
          <w:rFonts w:ascii="Arial" w:eastAsia="Calibri" w:hAnsi="Arial" w:cs="Arial"/>
          <w:lang w:eastAsia="ar-SA"/>
        </w:rPr>
        <w:t xml:space="preserve"> prime movers.</w:t>
      </w:r>
      <w:r w:rsidR="004E1AE4" w:rsidRPr="00CE2665">
        <w:rPr>
          <w:rFonts w:ascii="Arial" w:eastAsia="Calibri" w:hAnsi="Arial" w:cs="Arial"/>
          <w:lang w:eastAsia="ar-SA"/>
        </w:rPr>
        <w:t xml:space="preserve"> </w:t>
      </w:r>
    </w:p>
    <w:p w:rsidR="00CE2665" w:rsidRDefault="00CE2665" w:rsidP="00211897">
      <w:pPr>
        <w:suppressAutoHyphens/>
        <w:spacing w:after="0" w:line="240" w:lineRule="auto"/>
        <w:outlineLvl w:val="0"/>
        <w:rPr>
          <w:rFonts w:ascii="Arial" w:eastAsia="Calibri" w:hAnsi="Arial" w:cs="Arial"/>
          <w:lang w:eastAsia="ar-SA"/>
        </w:rPr>
      </w:pPr>
    </w:p>
    <w:p w:rsidR="000A2269" w:rsidRDefault="000A2269" w:rsidP="00211897">
      <w:pPr>
        <w:suppressAutoHyphens/>
        <w:spacing w:after="0" w:line="240" w:lineRule="auto"/>
        <w:outlineLvl w:val="0"/>
        <w:rPr>
          <w:rFonts w:ascii="Arial" w:eastAsia="Calibri" w:hAnsi="Arial" w:cs="Arial"/>
          <w:lang w:eastAsia="ar-SA"/>
        </w:rPr>
      </w:pPr>
      <w:r>
        <w:rPr>
          <w:rFonts w:ascii="Arial" w:eastAsia="Calibri" w:hAnsi="Arial" w:cs="Arial"/>
          <w:lang w:eastAsia="ar-SA"/>
        </w:rPr>
        <w:t>The additional cost of option 6a would, in reality, be very small compared to its potential safety benefits.</w:t>
      </w:r>
    </w:p>
    <w:p w:rsidR="000A2269" w:rsidRDefault="000A2269" w:rsidP="00211897">
      <w:pPr>
        <w:suppressAutoHyphens/>
        <w:spacing w:after="0" w:line="240" w:lineRule="auto"/>
        <w:outlineLvl w:val="0"/>
        <w:rPr>
          <w:rFonts w:ascii="Arial" w:eastAsia="Calibri" w:hAnsi="Arial" w:cs="Arial"/>
          <w:lang w:eastAsia="ar-SA"/>
        </w:rPr>
      </w:pPr>
    </w:p>
    <w:p w:rsidR="00D91754" w:rsidRDefault="004E1AE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w:t>
      </w:r>
      <w:r w:rsidR="000B2988">
        <w:rPr>
          <w:rFonts w:ascii="Arial" w:eastAsia="Calibri" w:hAnsi="Arial" w:cs="Arial"/>
          <w:lang w:eastAsia="ar-SA"/>
        </w:rPr>
        <w:t>ATA</w:t>
      </w:r>
      <w:r w:rsidR="008A4599">
        <w:rPr>
          <w:rFonts w:ascii="Arial" w:eastAsia="Calibri" w:hAnsi="Arial" w:cs="Arial"/>
          <w:lang w:eastAsia="ar-SA"/>
        </w:rPr>
        <w:t>’s</w:t>
      </w:r>
      <w:r w:rsidR="000B2988">
        <w:rPr>
          <w:rFonts w:ascii="Arial" w:eastAsia="Calibri" w:hAnsi="Arial" w:cs="Arial"/>
          <w:lang w:eastAsia="ar-SA"/>
        </w:rPr>
        <w:t xml:space="preserve"> support for option 6a is </w:t>
      </w:r>
      <w:r w:rsidR="00D91754">
        <w:rPr>
          <w:rFonts w:ascii="Arial" w:eastAsia="Calibri" w:hAnsi="Arial" w:cs="Arial"/>
          <w:lang w:eastAsia="ar-SA"/>
        </w:rPr>
        <w:t xml:space="preserve">consistent with </w:t>
      </w:r>
      <w:r w:rsidR="000B2988">
        <w:rPr>
          <w:rFonts w:ascii="Arial" w:eastAsia="Calibri" w:hAnsi="Arial" w:cs="Arial"/>
          <w:lang w:eastAsia="ar-SA"/>
        </w:rPr>
        <w:t xml:space="preserve">the approach that underpins </w:t>
      </w:r>
      <w:r w:rsidR="000309A4">
        <w:rPr>
          <w:rFonts w:ascii="Arial" w:eastAsia="Calibri" w:hAnsi="Arial" w:cs="Arial"/>
          <w:lang w:eastAsia="ar-SA"/>
        </w:rPr>
        <w:t>Australia’s work health and safety legislation</w:t>
      </w:r>
      <w:r w:rsidR="00BC7A36">
        <w:rPr>
          <w:rFonts w:ascii="Arial" w:eastAsia="Calibri" w:hAnsi="Arial" w:cs="Arial"/>
          <w:lang w:eastAsia="ar-SA"/>
        </w:rPr>
        <w:t xml:space="preserve"> </w:t>
      </w:r>
      <w:r w:rsidR="000A2269">
        <w:rPr>
          <w:rFonts w:ascii="Arial" w:eastAsia="Calibri" w:hAnsi="Arial" w:cs="Arial"/>
          <w:lang w:eastAsia="ar-SA"/>
        </w:rPr>
        <w:t xml:space="preserve">and safety risk management generally, as well as </w:t>
      </w:r>
      <w:r w:rsidR="000B2988">
        <w:rPr>
          <w:rFonts w:ascii="Arial" w:eastAsia="Calibri" w:hAnsi="Arial" w:cs="Arial"/>
          <w:lang w:eastAsia="ar-SA"/>
        </w:rPr>
        <w:t>the UK Treasury</w:t>
      </w:r>
      <w:r w:rsidR="00D91754">
        <w:rPr>
          <w:rFonts w:ascii="Arial" w:eastAsia="Calibri" w:hAnsi="Arial" w:cs="Arial"/>
          <w:lang w:eastAsia="ar-SA"/>
        </w:rPr>
        <w:t xml:space="preserve"> approach to appraising the costs and benefits of managing risks to the public.</w:t>
      </w:r>
    </w:p>
    <w:p w:rsidR="00D91754" w:rsidRDefault="00D91754" w:rsidP="00261D80">
      <w:pPr>
        <w:suppressAutoHyphens/>
        <w:spacing w:after="0" w:line="240" w:lineRule="auto"/>
        <w:outlineLvl w:val="0"/>
        <w:rPr>
          <w:rFonts w:ascii="Arial" w:eastAsia="Calibri" w:hAnsi="Arial" w:cs="Arial"/>
          <w:lang w:eastAsia="ar-SA"/>
        </w:rPr>
      </w:pPr>
    </w:p>
    <w:p w:rsidR="00D91754" w:rsidRDefault="00D91754" w:rsidP="00261D80">
      <w:pPr>
        <w:suppressAutoHyphens/>
        <w:spacing w:after="0" w:line="240" w:lineRule="auto"/>
        <w:outlineLvl w:val="0"/>
        <w:rPr>
          <w:rFonts w:ascii="Arial" w:eastAsia="Calibri" w:hAnsi="Arial" w:cs="Arial"/>
          <w:lang w:eastAsia="ar-SA"/>
        </w:rPr>
      </w:pPr>
    </w:p>
    <w:p w:rsidR="00D91754" w:rsidRPr="00D91754" w:rsidRDefault="00D91754" w:rsidP="00261D80">
      <w:pPr>
        <w:suppressAutoHyphens/>
        <w:spacing w:after="0" w:line="240" w:lineRule="auto"/>
        <w:outlineLvl w:val="0"/>
        <w:rPr>
          <w:rFonts w:ascii="Arial" w:eastAsia="Calibri" w:hAnsi="Arial" w:cs="Arial"/>
          <w:i/>
          <w:lang w:eastAsia="ar-SA"/>
        </w:rPr>
      </w:pPr>
      <w:r w:rsidRPr="00D91754">
        <w:rPr>
          <w:rFonts w:ascii="Arial" w:eastAsia="Calibri" w:hAnsi="Arial" w:cs="Arial"/>
          <w:i/>
          <w:lang w:eastAsia="ar-SA"/>
        </w:rPr>
        <w:t>Work health and safety approach</w:t>
      </w:r>
    </w:p>
    <w:p w:rsidR="00D91754" w:rsidRDefault="00D91754" w:rsidP="00261D80">
      <w:pPr>
        <w:suppressAutoHyphens/>
        <w:spacing w:after="0" w:line="240" w:lineRule="auto"/>
        <w:outlineLvl w:val="0"/>
        <w:rPr>
          <w:rFonts w:ascii="Arial" w:eastAsia="Calibri" w:hAnsi="Arial" w:cs="Arial"/>
          <w:lang w:eastAsia="ar-SA"/>
        </w:rPr>
      </w:pPr>
    </w:p>
    <w:p w:rsidR="00261D80" w:rsidRDefault="00D9175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Australia’s work health and safety laws generally</w:t>
      </w:r>
      <w:r w:rsidR="000309A4">
        <w:rPr>
          <w:rFonts w:ascii="Arial" w:eastAsia="Calibri" w:hAnsi="Arial" w:cs="Arial"/>
          <w:lang w:eastAsia="ar-SA"/>
        </w:rPr>
        <w:t xml:space="preserve"> requ</w:t>
      </w:r>
      <w:r>
        <w:rPr>
          <w:rFonts w:ascii="Arial" w:eastAsia="Calibri" w:hAnsi="Arial" w:cs="Arial"/>
          <w:lang w:eastAsia="ar-SA"/>
        </w:rPr>
        <w:t>ire</w:t>
      </w:r>
      <w:r w:rsidR="000309A4">
        <w:rPr>
          <w:rFonts w:ascii="Arial" w:eastAsia="Calibri" w:hAnsi="Arial" w:cs="Arial"/>
          <w:lang w:eastAsia="ar-SA"/>
        </w:rPr>
        <w:t xml:space="preserve"> businesses to eliminate or minimise risk so far as is reasonably practicable.</w:t>
      </w:r>
      <w:r w:rsidR="00920C92">
        <w:rPr>
          <w:rStyle w:val="FootnoteReference"/>
          <w:rFonts w:ascii="Arial" w:eastAsia="Calibri" w:hAnsi="Arial" w:cs="Arial"/>
          <w:lang w:eastAsia="ar-SA"/>
        </w:rPr>
        <w:footnoteReference w:id="15"/>
      </w:r>
      <w:r w:rsidR="000309A4">
        <w:rPr>
          <w:rFonts w:ascii="Arial" w:eastAsia="Calibri" w:hAnsi="Arial" w:cs="Arial"/>
          <w:lang w:eastAsia="ar-SA"/>
        </w:rPr>
        <w:t xml:space="preserve"> The Heavy Vehicle National Law will include a </w:t>
      </w:r>
      <w:r>
        <w:rPr>
          <w:rFonts w:ascii="Arial" w:eastAsia="Calibri" w:hAnsi="Arial" w:cs="Arial"/>
          <w:lang w:eastAsia="ar-SA"/>
        </w:rPr>
        <w:t>comparable</w:t>
      </w:r>
      <w:r w:rsidR="000309A4">
        <w:rPr>
          <w:rFonts w:ascii="Arial" w:eastAsia="Calibri" w:hAnsi="Arial" w:cs="Arial"/>
          <w:lang w:eastAsia="ar-SA"/>
        </w:rPr>
        <w:t xml:space="preserve"> requirement from mid-2018.</w:t>
      </w:r>
      <w:r w:rsidR="00920C92">
        <w:rPr>
          <w:rStyle w:val="FootnoteReference"/>
          <w:rFonts w:ascii="Arial" w:eastAsia="Calibri" w:hAnsi="Arial" w:cs="Arial"/>
          <w:lang w:eastAsia="ar-SA"/>
        </w:rPr>
        <w:footnoteReference w:id="16"/>
      </w:r>
    </w:p>
    <w:p w:rsidR="000309A4" w:rsidRDefault="000309A4" w:rsidP="00261D80">
      <w:pPr>
        <w:suppressAutoHyphens/>
        <w:spacing w:after="0" w:line="240" w:lineRule="auto"/>
        <w:outlineLvl w:val="0"/>
        <w:rPr>
          <w:rFonts w:ascii="Arial" w:eastAsia="Calibri" w:hAnsi="Arial" w:cs="Arial"/>
          <w:lang w:eastAsia="ar-SA"/>
        </w:rPr>
      </w:pPr>
    </w:p>
    <w:p w:rsidR="00BC7A36" w:rsidRDefault="00D91754" w:rsidP="000A2269">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I</w:t>
      </w:r>
      <w:r w:rsidR="000A2269">
        <w:rPr>
          <w:rFonts w:ascii="Arial" w:eastAsia="Calibri" w:hAnsi="Arial" w:cs="Arial"/>
          <w:lang w:eastAsia="ar-SA"/>
        </w:rPr>
        <w:t>n its Australian form</w:t>
      </w:r>
      <w:r w:rsidR="00920C92">
        <w:rPr>
          <w:rFonts w:ascii="Arial" w:eastAsia="Calibri" w:hAnsi="Arial" w:cs="Arial"/>
          <w:lang w:eastAsia="ar-SA"/>
        </w:rPr>
        <w:t xml:space="preserve">, </w:t>
      </w:r>
      <w:r w:rsidR="003F485E">
        <w:rPr>
          <w:rFonts w:ascii="Arial" w:eastAsia="Calibri" w:hAnsi="Arial" w:cs="Arial"/>
          <w:lang w:eastAsia="ar-SA"/>
        </w:rPr>
        <w:t xml:space="preserve">the </w:t>
      </w:r>
      <w:r w:rsidR="000A2269">
        <w:rPr>
          <w:rFonts w:ascii="Arial" w:eastAsia="Calibri" w:hAnsi="Arial" w:cs="Arial"/>
          <w:lang w:eastAsia="ar-SA"/>
        </w:rPr>
        <w:t xml:space="preserve">concept of ‘so far as is reasonably practicable’ </w:t>
      </w:r>
      <w:r w:rsidR="00920C92">
        <w:rPr>
          <w:rFonts w:ascii="Arial" w:eastAsia="Calibri" w:hAnsi="Arial" w:cs="Arial"/>
          <w:lang w:eastAsia="ar-SA"/>
        </w:rPr>
        <w:t>requires businesses to take into account and weigh up all relevant matters, including:</w:t>
      </w:r>
    </w:p>
    <w:p w:rsidR="00920C92" w:rsidRDefault="00920C92" w:rsidP="000A2269">
      <w:pPr>
        <w:keepNext/>
        <w:suppressAutoHyphens/>
        <w:spacing w:after="0" w:line="240" w:lineRule="auto"/>
        <w:outlineLvl w:val="0"/>
        <w:rPr>
          <w:rFonts w:ascii="Arial" w:eastAsia="Calibri" w:hAnsi="Arial" w:cs="Arial"/>
          <w:lang w:eastAsia="ar-SA"/>
        </w:rPr>
      </w:pPr>
    </w:p>
    <w:p w:rsidR="00920C92" w:rsidRPr="00920C92" w:rsidRDefault="00920C92" w:rsidP="000A2269">
      <w:pPr>
        <w:pStyle w:val="ListParagraph"/>
        <w:keepNext/>
        <w:numPr>
          <w:ilvl w:val="0"/>
          <w:numId w:val="19"/>
        </w:numPr>
        <w:suppressAutoHyphens/>
        <w:spacing w:after="0" w:line="240" w:lineRule="auto"/>
        <w:outlineLvl w:val="0"/>
        <w:rPr>
          <w:rFonts w:ascii="Arial" w:eastAsia="Calibri" w:hAnsi="Arial" w:cs="Arial"/>
          <w:lang w:eastAsia="ar-SA"/>
        </w:rPr>
      </w:pPr>
      <w:r w:rsidRPr="00920C92">
        <w:rPr>
          <w:rFonts w:ascii="Arial" w:eastAsia="Calibri" w:hAnsi="Arial" w:cs="Arial"/>
          <w:lang w:eastAsia="ar-SA"/>
        </w:rPr>
        <w:t>The likelihood of the relevant hazard or risk occurring</w:t>
      </w:r>
    </w:p>
    <w:p w:rsidR="00920C92" w:rsidRPr="00920C92" w:rsidRDefault="00920C92" w:rsidP="000A2269">
      <w:pPr>
        <w:pStyle w:val="ListParagraph"/>
        <w:keepNext/>
        <w:numPr>
          <w:ilvl w:val="0"/>
          <w:numId w:val="19"/>
        </w:numPr>
        <w:suppressAutoHyphens/>
        <w:spacing w:after="0" w:line="240" w:lineRule="auto"/>
        <w:outlineLvl w:val="0"/>
        <w:rPr>
          <w:rFonts w:ascii="Arial" w:eastAsia="Calibri" w:hAnsi="Arial" w:cs="Arial"/>
          <w:lang w:eastAsia="ar-SA"/>
        </w:rPr>
      </w:pPr>
      <w:r w:rsidRPr="00920C92">
        <w:rPr>
          <w:rFonts w:ascii="Arial" w:eastAsia="Calibri" w:hAnsi="Arial" w:cs="Arial"/>
          <w:lang w:eastAsia="ar-SA"/>
        </w:rPr>
        <w:t>The degree of harm that might result</w:t>
      </w:r>
    </w:p>
    <w:p w:rsidR="00920C92" w:rsidRPr="00920C92" w:rsidRDefault="00920C92" w:rsidP="000A2269">
      <w:pPr>
        <w:pStyle w:val="ListParagraph"/>
        <w:keepNext/>
        <w:numPr>
          <w:ilvl w:val="0"/>
          <w:numId w:val="19"/>
        </w:numPr>
        <w:suppressAutoHyphens/>
        <w:spacing w:after="0" w:line="240" w:lineRule="auto"/>
        <w:outlineLvl w:val="0"/>
        <w:rPr>
          <w:rFonts w:ascii="Arial" w:eastAsia="Calibri" w:hAnsi="Arial" w:cs="Arial"/>
          <w:lang w:eastAsia="ar-SA"/>
        </w:rPr>
      </w:pPr>
      <w:r w:rsidRPr="00920C92">
        <w:rPr>
          <w:rFonts w:ascii="Arial" w:eastAsia="Calibri" w:hAnsi="Arial" w:cs="Arial"/>
          <w:lang w:eastAsia="ar-SA"/>
        </w:rPr>
        <w:t>The availability and suitability of ways to eliminate or minimise the risk.</w:t>
      </w:r>
    </w:p>
    <w:p w:rsidR="00BC7A36" w:rsidRDefault="00BC7A36" w:rsidP="00261D80">
      <w:pPr>
        <w:suppressAutoHyphens/>
        <w:spacing w:after="0" w:line="240" w:lineRule="auto"/>
        <w:outlineLvl w:val="0"/>
        <w:rPr>
          <w:rFonts w:ascii="Arial" w:eastAsia="Calibri" w:hAnsi="Arial" w:cs="Arial"/>
          <w:lang w:eastAsia="ar-SA"/>
        </w:rPr>
      </w:pPr>
    </w:p>
    <w:p w:rsidR="000309A4" w:rsidRPr="00F21887" w:rsidRDefault="00920C92" w:rsidP="00F21887">
      <w:pPr>
        <w:suppressAutoHyphens/>
        <w:spacing w:after="0" w:line="240" w:lineRule="auto"/>
        <w:outlineLvl w:val="0"/>
        <w:rPr>
          <w:rFonts w:ascii="Arial" w:eastAsia="Calibri" w:hAnsi="Arial" w:cs="Arial"/>
          <w:lang w:eastAsia="ar-SA"/>
        </w:rPr>
      </w:pPr>
      <w:r>
        <w:rPr>
          <w:rFonts w:ascii="Arial" w:eastAsia="Calibri" w:hAnsi="Arial" w:cs="Arial"/>
          <w:lang w:eastAsia="ar-SA"/>
        </w:rPr>
        <w:t>A business can only consider the costs involv</w:t>
      </w:r>
      <w:r w:rsidR="009F19F1">
        <w:rPr>
          <w:rFonts w:ascii="Arial" w:eastAsia="Calibri" w:hAnsi="Arial" w:cs="Arial"/>
          <w:lang w:eastAsia="ar-SA"/>
        </w:rPr>
        <w:t>ed after making this assessment. The cost</w:t>
      </w:r>
      <w:r>
        <w:rPr>
          <w:rFonts w:ascii="Arial" w:eastAsia="Calibri" w:hAnsi="Arial" w:cs="Arial"/>
          <w:lang w:eastAsia="ar-SA"/>
        </w:rPr>
        <w:t xml:space="preserve"> must be grossly disproportionate to the risk for </w:t>
      </w:r>
      <w:r w:rsidR="00F21887">
        <w:rPr>
          <w:rFonts w:ascii="Arial" w:eastAsia="Calibri" w:hAnsi="Arial" w:cs="Arial"/>
          <w:lang w:eastAsia="ar-SA"/>
        </w:rPr>
        <w:t xml:space="preserve">a </w:t>
      </w:r>
      <w:r w:rsidR="000A2269">
        <w:rPr>
          <w:rFonts w:ascii="Arial" w:eastAsia="Calibri" w:hAnsi="Arial" w:cs="Arial"/>
          <w:lang w:eastAsia="ar-SA"/>
        </w:rPr>
        <w:t>control measure</w:t>
      </w:r>
      <w:r>
        <w:rPr>
          <w:rFonts w:ascii="Arial" w:eastAsia="Calibri" w:hAnsi="Arial" w:cs="Arial"/>
          <w:lang w:eastAsia="ar-SA"/>
        </w:rPr>
        <w:t xml:space="preserve"> to be regarde</w:t>
      </w:r>
      <w:r w:rsidR="00F21887">
        <w:rPr>
          <w:rFonts w:ascii="Arial" w:eastAsia="Calibri" w:hAnsi="Arial" w:cs="Arial"/>
          <w:lang w:eastAsia="ar-SA"/>
        </w:rPr>
        <w:t>d as not reasonably practicable</w:t>
      </w:r>
      <w:r w:rsidR="000309A4" w:rsidRPr="00F21887">
        <w:rPr>
          <w:rFonts w:ascii="Arial" w:eastAsia="Calibri" w:hAnsi="Arial" w:cs="Arial"/>
          <w:lang w:eastAsia="ar-SA"/>
        </w:rPr>
        <w:t>.</w:t>
      </w:r>
      <w:r w:rsidR="000309A4">
        <w:rPr>
          <w:rStyle w:val="FootnoteReference"/>
          <w:rFonts w:ascii="Arial" w:eastAsia="Calibri" w:hAnsi="Arial" w:cs="Arial"/>
          <w:lang w:eastAsia="ar-SA"/>
        </w:rPr>
        <w:footnoteReference w:id="17"/>
      </w:r>
    </w:p>
    <w:p w:rsidR="000309A4" w:rsidRDefault="000309A4" w:rsidP="00261D80">
      <w:pPr>
        <w:suppressAutoHyphens/>
        <w:spacing w:after="0" w:line="240" w:lineRule="auto"/>
        <w:outlineLvl w:val="0"/>
        <w:rPr>
          <w:rFonts w:ascii="Arial" w:eastAsia="Calibri" w:hAnsi="Arial" w:cs="Arial"/>
          <w:lang w:eastAsia="ar-SA"/>
        </w:rPr>
      </w:pPr>
    </w:p>
    <w:p w:rsidR="00BC7A36" w:rsidRDefault="009F19F1"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Regulatory decisions are not within the ambit of work health and safety law</w:t>
      </w:r>
      <w:r w:rsidR="00F21887">
        <w:rPr>
          <w:rFonts w:ascii="Arial" w:eastAsia="Calibri" w:hAnsi="Arial" w:cs="Arial"/>
          <w:lang w:eastAsia="ar-SA"/>
        </w:rPr>
        <w:t xml:space="preserve">; however, the ATA considers that </w:t>
      </w:r>
      <w:r w:rsidR="00B17A4B">
        <w:rPr>
          <w:rFonts w:ascii="Arial" w:eastAsia="Calibri" w:hAnsi="Arial" w:cs="Arial"/>
          <w:lang w:eastAsia="ar-SA"/>
        </w:rPr>
        <w:t xml:space="preserve">a </w:t>
      </w:r>
      <w:r>
        <w:rPr>
          <w:rFonts w:ascii="Arial" w:eastAsia="Calibri" w:hAnsi="Arial" w:cs="Arial"/>
          <w:lang w:eastAsia="ar-SA"/>
        </w:rPr>
        <w:t>systematic</w:t>
      </w:r>
      <w:r w:rsidR="00B17A4B">
        <w:rPr>
          <w:rFonts w:ascii="Arial" w:eastAsia="Calibri" w:hAnsi="Arial" w:cs="Arial"/>
          <w:lang w:eastAsia="ar-SA"/>
        </w:rPr>
        <w:t>, standards-based</w:t>
      </w:r>
      <w:r>
        <w:rPr>
          <w:rFonts w:ascii="Arial" w:eastAsia="Calibri" w:hAnsi="Arial" w:cs="Arial"/>
          <w:lang w:eastAsia="ar-SA"/>
        </w:rPr>
        <w:t xml:space="preserve"> approach to </w:t>
      </w:r>
      <w:r w:rsidR="00B17A4B">
        <w:rPr>
          <w:rFonts w:ascii="Arial" w:eastAsia="Calibri" w:hAnsi="Arial" w:cs="Arial"/>
          <w:lang w:eastAsia="ar-SA"/>
        </w:rPr>
        <w:t xml:space="preserve">assessing and treating </w:t>
      </w:r>
      <w:r>
        <w:rPr>
          <w:rFonts w:ascii="Arial" w:eastAsia="Calibri" w:hAnsi="Arial" w:cs="Arial"/>
          <w:lang w:eastAsia="ar-SA"/>
        </w:rPr>
        <w:t xml:space="preserve">risk </w:t>
      </w:r>
      <w:r w:rsidR="00F21887">
        <w:rPr>
          <w:rFonts w:ascii="Arial" w:eastAsia="Calibri" w:hAnsi="Arial" w:cs="Arial"/>
          <w:lang w:eastAsia="ar-SA"/>
        </w:rPr>
        <w:t xml:space="preserve">is </w:t>
      </w:r>
      <w:r>
        <w:rPr>
          <w:rFonts w:ascii="Arial" w:eastAsia="Calibri" w:hAnsi="Arial" w:cs="Arial"/>
          <w:lang w:eastAsia="ar-SA"/>
        </w:rPr>
        <w:t>a powerful tool that can support government decision-makers as they make safety decisions.</w:t>
      </w:r>
    </w:p>
    <w:p w:rsidR="007F2042" w:rsidRDefault="007F2042" w:rsidP="00261D80">
      <w:pPr>
        <w:suppressAutoHyphens/>
        <w:spacing w:after="0" w:line="240" w:lineRule="auto"/>
        <w:outlineLvl w:val="0"/>
        <w:rPr>
          <w:rFonts w:ascii="Arial" w:eastAsia="Calibri" w:hAnsi="Arial" w:cs="Arial"/>
          <w:lang w:eastAsia="ar-SA"/>
        </w:rPr>
      </w:pPr>
    </w:p>
    <w:p w:rsidR="00920C92" w:rsidRDefault="00F003E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Table 4</w:t>
      </w:r>
      <w:r w:rsidR="000A2269">
        <w:rPr>
          <w:rFonts w:ascii="Arial" w:eastAsia="Calibri" w:hAnsi="Arial" w:cs="Arial"/>
          <w:lang w:eastAsia="ar-SA"/>
        </w:rPr>
        <w:t xml:space="preserve"> applies</w:t>
      </w:r>
      <w:r w:rsidR="00920C92">
        <w:rPr>
          <w:rFonts w:ascii="Arial" w:eastAsia="Calibri" w:hAnsi="Arial" w:cs="Arial"/>
          <w:lang w:eastAsia="ar-SA"/>
        </w:rPr>
        <w:t xml:space="preserve"> </w:t>
      </w:r>
      <w:r w:rsidR="00967721">
        <w:rPr>
          <w:rFonts w:ascii="Arial" w:eastAsia="Calibri" w:hAnsi="Arial" w:cs="Arial"/>
          <w:lang w:eastAsia="ar-SA"/>
        </w:rPr>
        <w:t>a typical work health and safety/</w:t>
      </w:r>
      <w:r w:rsidR="000A2269">
        <w:rPr>
          <w:rFonts w:ascii="Arial" w:eastAsia="Calibri" w:hAnsi="Arial" w:cs="Arial"/>
          <w:lang w:eastAsia="ar-SA"/>
        </w:rPr>
        <w:t xml:space="preserve">safety risk management </w:t>
      </w:r>
      <w:r w:rsidR="00967721">
        <w:rPr>
          <w:rFonts w:ascii="Arial" w:eastAsia="Calibri" w:hAnsi="Arial" w:cs="Arial"/>
          <w:lang w:eastAsia="ar-SA"/>
        </w:rPr>
        <w:t xml:space="preserve">framework </w:t>
      </w:r>
      <w:r w:rsidR="00920C92">
        <w:rPr>
          <w:rFonts w:ascii="Arial" w:eastAsia="Calibri" w:hAnsi="Arial" w:cs="Arial"/>
          <w:lang w:eastAsia="ar-SA"/>
        </w:rPr>
        <w:t xml:space="preserve">to </w:t>
      </w:r>
      <w:r w:rsidR="00201071">
        <w:rPr>
          <w:rFonts w:ascii="Arial" w:eastAsia="Calibri" w:hAnsi="Arial" w:cs="Arial"/>
          <w:lang w:eastAsia="ar-SA"/>
        </w:rPr>
        <w:t xml:space="preserve">the hazard of a </w:t>
      </w:r>
      <w:r w:rsidR="000A2269">
        <w:rPr>
          <w:rFonts w:ascii="Arial" w:eastAsia="Calibri" w:hAnsi="Arial" w:cs="Arial"/>
          <w:lang w:eastAsia="ar-SA"/>
        </w:rPr>
        <w:t xml:space="preserve">rollover or loss of control </w:t>
      </w:r>
      <w:r w:rsidR="00201071">
        <w:rPr>
          <w:rFonts w:ascii="Arial" w:eastAsia="Calibri" w:hAnsi="Arial" w:cs="Arial"/>
          <w:lang w:eastAsia="ar-SA"/>
        </w:rPr>
        <w:t>crash involv</w:t>
      </w:r>
      <w:r w:rsidR="007F2042">
        <w:rPr>
          <w:rFonts w:ascii="Arial" w:eastAsia="Calibri" w:hAnsi="Arial" w:cs="Arial"/>
          <w:lang w:eastAsia="ar-SA"/>
        </w:rPr>
        <w:t xml:space="preserve">ing a </w:t>
      </w:r>
      <w:r w:rsidR="00967721">
        <w:rPr>
          <w:rFonts w:ascii="Arial" w:eastAsia="Calibri" w:hAnsi="Arial" w:cs="Arial"/>
          <w:lang w:eastAsia="ar-SA"/>
        </w:rPr>
        <w:t>rigid truck or a semitrailer with a GVM of &lt;12t.</w:t>
      </w:r>
      <w:r w:rsidR="007F2042">
        <w:rPr>
          <w:rFonts w:ascii="Arial" w:eastAsia="Calibri" w:hAnsi="Arial" w:cs="Arial"/>
          <w:lang w:eastAsia="ar-SA"/>
        </w:rPr>
        <w:t xml:space="preserve"> </w:t>
      </w:r>
    </w:p>
    <w:p w:rsidR="00920C92" w:rsidRDefault="00920C92" w:rsidP="00261D80">
      <w:pPr>
        <w:suppressAutoHyphens/>
        <w:spacing w:after="0" w:line="240" w:lineRule="auto"/>
        <w:outlineLvl w:val="0"/>
        <w:rPr>
          <w:rFonts w:ascii="Arial" w:eastAsia="Calibri" w:hAnsi="Arial" w:cs="Arial"/>
          <w:lang w:eastAsia="ar-SA"/>
        </w:rPr>
      </w:pPr>
    </w:p>
    <w:p w:rsidR="00920C92" w:rsidRDefault="00920C92" w:rsidP="007F2042">
      <w:pPr>
        <w:keepNext/>
        <w:suppressAutoHyphens/>
        <w:spacing w:after="0" w:line="240" w:lineRule="auto"/>
        <w:outlineLvl w:val="0"/>
        <w:rPr>
          <w:rFonts w:ascii="Arial" w:eastAsia="Calibri" w:hAnsi="Arial" w:cs="Arial"/>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01071" w:rsidRPr="00201071" w:rsidTr="00F4154E">
        <w:tc>
          <w:tcPr>
            <w:tcW w:w="9016" w:type="dxa"/>
            <w:gridSpan w:val="2"/>
            <w:tcBorders>
              <w:bottom w:val="single" w:sz="4" w:space="0" w:color="auto"/>
            </w:tcBorders>
            <w:tcMar>
              <w:bottom w:w="113" w:type="dxa"/>
            </w:tcMar>
          </w:tcPr>
          <w:p w:rsidR="00201071" w:rsidRPr="00201071" w:rsidRDefault="00F003E4" w:rsidP="007F2042">
            <w:pPr>
              <w:keepNext/>
              <w:suppressAutoHyphens/>
              <w:outlineLvl w:val="0"/>
              <w:rPr>
                <w:rFonts w:ascii="Arial" w:eastAsia="Calibri" w:hAnsi="Arial" w:cs="Arial"/>
                <w:b/>
                <w:sz w:val="20"/>
                <w:szCs w:val="20"/>
                <w:lang w:eastAsia="ar-SA"/>
              </w:rPr>
            </w:pPr>
            <w:r>
              <w:rPr>
                <w:rFonts w:ascii="Arial" w:eastAsia="Calibri" w:hAnsi="Arial" w:cs="Arial"/>
                <w:b/>
                <w:sz w:val="20"/>
                <w:szCs w:val="20"/>
                <w:lang w:eastAsia="ar-SA"/>
              </w:rPr>
              <w:t>Table 4</w:t>
            </w:r>
            <w:r w:rsidR="00201071">
              <w:rPr>
                <w:rFonts w:ascii="Arial" w:eastAsia="Calibri" w:hAnsi="Arial" w:cs="Arial"/>
                <w:b/>
                <w:sz w:val="20"/>
                <w:szCs w:val="20"/>
                <w:lang w:eastAsia="ar-SA"/>
              </w:rPr>
              <w:t>: Risk assessment of the safety gap between options 6a and 6c</w:t>
            </w:r>
          </w:p>
        </w:tc>
      </w:tr>
      <w:tr w:rsidR="00920C92" w:rsidRPr="00201071" w:rsidTr="00F4154E">
        <w:tc>
          <w:tcPr>
            <w:tcW w:w="4508" w:type="dxa"/>
            <w:tcBorders>
              <w:top w:val="single" w:sz="4" w:space="0" w:color="auto"/>
            </w:tcBorders>
          </w:tcPr>
          <w:p w:rsidR="00920C92" w:rsidRDefault="00201071" w:rsidP="007F2042">
            <w:pPr>
              <w:keepNext/>
              <w:suppressAutoHyphens/>
              <w:outlineLvl w:val="0"/>
              <w:rPr>
                <w:rFonts w:ascii="Arial" w:eastAsia="Calibri" w:hAnsi="Arial" w:cs="Arial"/>
                <w:sz w:val="20"/>
                <w:szCs w:val="20"/>
                <w:lang w:eastAsia="ar-SA"/>
              </w:rPr>
            </w:pPr>
            <w:r w:rsidRPr="00201071">
              <w:rPr>
                <w:rFonts w:ascii="Arial" w:eastAsia="Calibri" w:hAnsi="Arial" w:cs="Arial"/>
                <w:sz w:val="20"/>
                <w:szCs w:val="20"/>
                <w:lang w:eastAsia="ar-SA"/>
              </w:rPr>
              <w:t>The likelihood of the relevant hazard or risk occurring</w:t>
            </w:r>
          </w:p>
          <w:p w:rsidR="00201071" w:rsidRPr="00201071" w:rsidRDefault="00201071" w:rsidP="007F2042">
            <w:pPr>
              <w:keepNext/>
              <w:suppressAutoHyphens/>
              <w:outlineLvl w:val="0"/>
              <w:rPr>
                <w:rFonts w:ascii="Arial" w:eastAsia="Calibri" w:hAnsi="Arial" w:cs="Arial"/>
                <w:sz w:val="20"/>
                <w:szCs w:val="20"/>
                <w:lang w:eastAsia="ar-SA"/>
              </w:rPr>
            </w:pPr>
          </w:p>
        </w:tc>
        <w:tc>
          <w:tcPr>
            <w:tcW w:w="4508" w:type="dxa"/>
            <w:tcBorders>
              <w:top w:val="single" w:sz="4" w:space="0" w:color="auto"/>
            </w:tcBorders>
          </w:tcPr>
          <w:p w:rsidR="00920C92" w:rsidRDefault="005A511A"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T</w:t>
            </w:r>
            <w:r w:rsidR="00090EA3">
              <w:rPr>
                <w:rFonts w:ascii="Arial" w:eastAsia="Calibri" w:hAnsi="Arial" w:cs="Arial"/>
                <w:sz w:val="20"/>
                <w:szCs w:val="20"/>
                <w:lang w:eastAsia="ar-SA"/>
              </w:rPr>
              <w:t xml:space="preserve">he difference between options 6a and 6c would be </w:t>
            </w:r>
            <w:r w:rsidR="009C2F86">
              <w:rPr>
                <w:rFonts w:ascii="Arial" w:eastAsia="Calibri" w:hAnsi="Arial" w:cs="Arial"/>
                <w:sz w:val="20"/>
                <w:szCs w:val="20"/>
                <w:lang w:eastAsia="ar-SA"/>
              </w:rPr>
              <w:t>one serious injury</w:t>
            </w:r>
            <w:r w:rsidR="00967721">
              <w:rPr>
                <w:rFonts w:ascii="Arial" w:eastAsia="Calibri" w:hAnsi="Arial" w:cs="Arial"/>
                <w:sz w:val="20"/>
                <w:szCs w:val="20"/>
                <w:lang w:eastAsia="ar-SA"/>
              </w:rPr>
              <w:t xml:space="preserve"> </w:t>
            </w:r>
            <w:r w:rsidR="00090EA3">
              <w:rPr>
                <w:rFonts w:ascii="Arial" w:eastAsia="Calibri" w:hAnsi="Arial" w:cs="Arial"/>
                <w:sz w:val="20"/>
                <w:szCs w:val="20"/>
                <w:lang w:eastAsia="ar-SA"/>
              </w:rPr>
              <w:t xml:space="preserve">each </w:t>
            </w:r>
            <w:r w:rsidR="00967721">
              <w:rPr>
                <w:rFonts w:ascii="Arial" w:eastAsia="Calibri" w:hAnsi="Arial" w:cs="Arial"/>
                <w:sz w:val="20"/>
                <w:szCs w:val="20"/>
                <w:lang w:eastAsia="ar-SA"/>
              </w:rPr>
              <w:t>quarter</w:t>
            </w:r>
            <w:r w:rsidR="00F4154E">
              <w:rPr>
                <w:rFonts w:ascii="Arial" w:eastAsia="Calibri" w:hAnsi="Arial" w:cs="Arial"/>
                <w:sz w:val="20"/>
                <w:szCs w:val="20"/>
                <w:lang w:eastAsia="ar-SA"/>
              </w:rPr>
              <w:t xml:space="preserve"> </w:t>
            </w:r>
            <w:r w:rsidR="009C2F86">
              <w:rPr>
                <w:rFonts w:ascii="Arial" w:eastAsia="Calibri" w:hAnsi="Arial" w:cs="Arial"/>
                <w:sz w:val="20"/>
                <w:szCs w:val="20"/>
                <w:lang w:eastAsia="ar-SA"/>
              </w:rPr>
              <w:t>by</w:t>
            </w:r>
            <w:r w:rsidR="005D6BF1">
              <w:rPr>
                <w:rFonts w:ascii="Arial" w:eastAsia="Calibri" w:hAnsi="Arial" w:cs="Arial"/>
                <w:sz w:val="20"/>
                <w:szCs w:val="20"/>
                <w:lang w:eastAsia="ar-SA"/>
              </w:rPr>
              <w:t xml:space="preserve"> year 4</w:t>
            </w:r>
            <w:r w:rsidR="00B602E7">
              <w:rPr>
                <w:rFonts w:ascii="Arial" w:eastAsia="Calibri" w:hAnsi="Arial" w:cs="Arial"/>
                <w:sz w:val="20"/>
                <w:szCs w:val="20"/>
                <w:lang w:eastAsia="ar-SA"/>
              </w:rPr>
              <w:t xml:space="preserve"> and </w:t>
            </w:r>
            <w:r w:rsidR="009C2F86">
              <w:rPr>
                <w:rFonts w:ascii="Arial" w:eastAsia="Calibri" w:hAnsi="Arial" w:cs="Arial"/>
                <w:sz w:val="20"/>
                <w:szCs w:val="20"/>
                <w:lang w:eastAsia="ar-SA"/>
              </w:rPr>
              <w:t xml:space="preserve">a </w:t>
            </w:r>
            <w:r w:rsidR="00B602E7">
              <w:rPr>
                <w:rFonts w:ascii="Arial" w:eastAsia="Calibri" w:hAnsi="Arial" w:cs="Arial"/>
                <w:sz w:val="20"/>
                <w:szCs w:val="20"/>
                <w:lang w:eastAsia="ar-SA"/>
              </w:rPr>
              <w:t>fatality every</w:t>
            </w:r>
            <w:r w:rsidR="00F4154E">
              <w:rPr>
                <w:rFonts w:ascii="Arial" w:eastAsia="Calibri" w:hAnsi="Arial" w:cs="Arial"/>
                <w:sz w:val="20"/>
                <w:szCs w:val="20"/>
                <w:lang w:eastAsia="ar-SA"/>
              </w:rPr>
              <w:t xml:space="preserve"> </w:t>
            </w:r>
            <w:r w:rsidR="00090EA3">
              <w:rPr>
                <w:rFonts w:ascii="Arial" w:eastAsia="Calibri" w:hAnsi="Arial" w:cs="Arial"/>
                <w:sz w:val="20"/>
                <w:szCs w:val="20"/>
                <w:lang w:eastAsia="ar-SA"/>
              </w:rPr>
              <w:t xml:space="preserve">year </w:t>
            </w:r>
            <w:r w:rsidR="009C2F86">
              <w:rPr>
                <w:rFonts w:ascii="Arial" w:eastAsia="Calibri" w:hAnsi="Arial" w:cs="Arial"/>
                <w:sz w:val="20"/>
                <w:szCs w:val="20"/>
                <w:lang w:eastAsia="ar-SA"/>
              </w:rPr>
              <w:t>by year 10</w:t>
            </w:r>
          </w:p>
          <w:p w:rsidR="00F4154E" w:rsidRPr="00201071" w:rsidRDefault="00F4154E" w:rsidP="007F2042">
            <w:pPr>
              <w:keepNext/>
              <w:suppressAutoHyphens/>
              <w:outlineLvl w:val="0"/>
              <w:rPr>
                <w:rFonts w:ascii="Arial" w:eastAsia="Calibri" w:hAnsi="Arial" w:cs="Arial"/>
                <w:sz w:val="20"/>
                <w:szCs w:val="20"/>
                <w:lang w:eastAsia="ar-SA"/>
              </w:rPr>
            </w:pPr>
          </w:p>
        </w:tc>
      </w:tr>
      <w:tr w:rsidR="00920C92" w:rsidRPr="00201071" w:rsidTr="00201071">
        <w:tc>
          <w:tcPr>
            <w:tcW w:w="4508" w:type="dxa"/>
          </w:tcPr>
          <w:p w:rsidR="00920C92" w:rsidRDefault="00201071" w:rsidP="007F2042">
            <w:pPr>
              <w:keepNext/>
              <w:suppressAutoHyphens/>
              <w:outlineLvl w:val="0"/>
              <w:rPr>
                <w:rFonts w:ascii="Arial" w:eastAsia="Calibri" w:hAnsi="Arial" w:cs="Arial"/>
                <w:sz w:val="20"/>
                <w:szCs w:val="20"/>
                <w:lang w:eastAsia="ar-SA"/>
              </w:rPr>
            </w:pPr>
            <w:r w:rsidRPr="00201071">
              <w:rPr>
                <w:rFonts w:ascii="Arial" w:eastAsia="Calibri" w:hAnsi="Arial" w:cs="Arial"/>
                <w:sz w:val="20"/>
                <w:szCs w:val="20"/>
                <w:lang w:eastAsia="ar-SA"/>
              </w:rPr>
              <w:t>The degree of harm that might result</w:t>
            </w:r>
          </w:p>
          <w:p w:rsidR="00201071" w:rsidRPr="00201071" w:rsidRDefault="00201071" w:rsidP="007F2042">
            <w:pPr>
              <w:keepNext/>
              <w:suppressAutoHyphens/>
              <w:outlineLvl w:val="0"/>
              <w:rPr>
                <w:rFonts w:ascii="Arial" w:eastAsia="Calibri" w:hAnsi="Arial" w:cs="Arial"/>
                <w:sz w:val="20"/>
                <w:szCs w:val="20"/>
                <w:lang w:eastAsia="ar-SA"/>
              </w:rPr>
            </w:pPr>
          </w:p>
        </w:tc>
        <w:tc>
          <w:tcPr>
            <w:tcW w:w="4508" w:type="dxa"/>
          </w:tcPr>
          <w:p w:rsidR="00920C92" w:rsidRDefault="00967721"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 xml:space="preserve">Fatalities </w:t>
            </w:r>
            <w:r w:rsidR="00F4154E">
              <w:rPr>
                <w:rFonts w:ascii="Arial" w:eastAsia="Calibri" w:hAnsi="Arial" w:cs="Arial"/>
                <w:sz w:val="20"/>
                <w:szCs w:val="20"/>
                <w:lang w:eastAsia="ar-SA"/>
              </w:rPr>
              <w:t>and</w:t>
            </w:r>
            <w:r>
              <w:rPr>
                <w:rFonts w:ascii="Arial" w:eastAsia="Calibri" w:hAnsi="Arial" w:cs="Arial"/>
                <w:sz w:val="20"/>
                <w:szCs w:val="20"/>
                <w:lang w:eastAsia="ar-SA"/>
              </w:rPr>
              <w:t xml:space="preserve"> serious injuries</w:t>
            </w:r>
          </w:p>
          <w:p w:rsidR="00967721" w:rsidRPr="00201071" w:rsidRDefault="00967721" w:rsidP="007F2042">
            <w:pPr>
              <w:keepNext/>
              <w:suppressAutoHyphens/>
              <w:outlineLvl w:val="0"/>
              <w:rPr>
                <w:rFonts w:ascii="Arial" w:eastAsia="Calibri" w:hAnsi="Arial" w:cs="Arial"/>
                <w:sz w:val="20"/>
                <w:szCs w:val="20"/>
                <w:lang w:eastAsia="ar-SA"/>
              </w:rPr>
            </w:pPr>
          </w:p>
        </w:tc>
      </w:tr>
      <w:tr w:rsidR="00920C92" w:rsidRPr="00201071" w:rsidTr="00201071">
        <w:tc>
          <w:tcPr>
            <w:tcW w:w="4508" w:type="dxa"/>
          </w:tcPr>
          <w:p w:rsidR="00920C92" w:rsidRDefault="00967721"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 xml:space="preserve">Risk rating </w:t>
            </w:r>
          </w:p>
          <w:p w:rsidR="00201071" w:rsidRPr="00201071" w:rsidRDefault="00201071" w:rsidP="007F2042">
            <w:pPr>
              <w:keepNext/>
              <w:suppressAutoHyphens/>
              <w:outlineLvl w:val="0"/>
              <w:rPr>
                <w:rFonts w:ascii="Arial" w:eastAsia="Calibri" w:hAnsi="Arial" w:cs="Arial"/>
                <w:sz w:val="20"/>
                <w:szCs w:val="20"/>
                <w:lang w:eastAsia="ar-SA"/>
              </w:rPr>
            </w:pPr>
          </w:p>
        </w:tc>
        <w:tc>
          <w:tcPr>
            <w:tcW w:w="4508" w:type="dxa"/>
          </w:tcPr>
          <w:p w:rsidR="00920C92" w:rsidRDefault="00967721"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High</w:t>
            </w:r>
            <w:r w:rsidR="00AC6A3D">
              <w:rPr>
                <w:rFonts w:ascii="Arial" w:eastAsia="Calibri" w:hAnsi="Arial" w:cs="Arial"/>
                <w:sz w:val="20"/>
                <w:szCs w:val="20"/>
                <w:lang w:eastAsia="ar-SA"/>
              </w:rPr>
              <w:t xml:space="preserve"> or extreme</w:t>
            </w:r>
            <w:r w:rsidR="00B602E7">
              <w:rPr>
                <w:rFonts w:ascii="Arial" w:eastAsia="Calibri" w:hAnsi="Arial" w:cs="Arial"/>
                <w:sz w:val="20"/>
                <w:szCs w:val="20"/>
                <w:lang w:eastAsia="ar-SA"/>
              </w:rPr>
              <w:t>, de</w:t>
            </w:r>
            <w:r w:rsidR="00562C7E">
              <w:rPr>
                <w:rFonts w:ascii="Arial" w:eastAsia="Calibri" w:hAnsi="Arial" w:cs="Arial"/>
                <w:sz w:val="20"/>
                <w:szCs w:val="20"/>
                <w:lang w:eastAsia="ar-SA"/>
              </w:rPr>
              <w:t>pending on the risk matrix used</w:t>
            </w:r>
          </w:p>
          <w:p w:rsidR="00B602E7" w:rsidRPr="00201071" w:rsidRDefault="00B602E7" w:rsidP="007F2042">
            <w:pPr>
              <w:keepNext/>
              <w:suppressAutoHyphens/>
              <w:outlineLvl w:val="0"/>
              <w:rPr>
                <w:rFonts w:ascii="Arial" w:eastAsia="Calibri" w:hAnsi="Arial" w:cs="Arial"/>
                <w:sz w:val="20"/>
                <w:szCs w:val="20"/>
                <w:lang w:eastAsia="ar-SA"/>
              </w:rPr>
            </w:pPr>
          </w:p>
        </w:tc>
      </w:tr>
      <w:tr w:rsidR="00920C92" w:rsidRPr="00201071" w:rsidTr="00F4154E">
        <w:tc>
          <w:tcPr>
            <w:tcW w:w="4508" w:type="dxa"/>
          </w:tcPr>
          <w:p w:rsidR="00201071" w:rsidRPr="00201071" w:rsidRDefault="00967721"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Potential risk treatments</w:t>
            </w:r>
          </w:p>
          <w:p w:rsidR="00920C92" w:rsidRPr="00201071" w:rsidRDefault="00920C92" w:rsidP="007F2042">
            <w:pPr>
              <w:keepNext/>
              <w:suppressAutoHyphens/>
              <w:outlineLvl w:val="0"/>
              <w:rPr>
                <w:rFonts w:ascii="Arial" w:eastAsia="Calibri" w:hAnsi="Arial" w:cs="Arial"/>
                <w:sz w:val="20"/>
                <w:szCs w:val="20"/>
                <w:lang w:eastAsia="ar-SA"/>
              </w:rPr>
            </w:pPr>
          </w:p>
        </w:tc>
        <w:tc>
          <w:tcPr>
            <w:tcW w:w="4508" w:type="dxa"/>
          </w:tcPr>
          <w:p w:rsidR="00967721" w:rsidRDefault="005A511A" w:rsidP="007F2042">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P</w:t>
            </w:r>
            <w:r w:rsidR="00D749FD">
              <w:rPr>
                <w:rFonts w:ascii="Arial" w:eastAsia="Calibri" w:hAnsi="Arial" w:cs="Arial"/>
                <w:sz w:val="20"/>
                <w:szCs w:val="20"/>
                <w:lang w:eastAsia="ar-SA"/>
              </w:rPr>
              <w:t>otential risk treatments</w:t>
            </w:r>
            <w:r w:rsidR="009C450F">
              <w:rPr>
                <w:rFonts w:ascii="Arial" w:eastAsia="Calibri" w:hAnsi="Arial" w:cs="Arial"/>
                <w:sz w:val="20"/>
                <w:szCs w:val="20"/>
                <w:lang w:eastAsia="ar-SA"/>
              </w:rPr>
              <w:t xml:space="preserve"> c</w:t>
            </w:r>
            <w:r w:rsidR="00967721">
              <w:rPr>
                <w:rFonts w:ascii="Arial" w:eastAsia="Calibri" w:hAnsi="Arial" w:cs="Arial"/>
                <w:sz w:val="20"/>
                <w:szCs w:val="20"/>
                <w:lang w:eastAsia="ar-SA"/>
              </w:rPr>
              <w:t>ould include:</w:t>
            </w:r>
          </w:p>
          <w:p w:rsidR="00920C92" w:rsidRPr="00967721" w:rsidRDefault="00967721" w:rsidP="00967721">
            <w:pPr>
              <w:pStyle w:val="ListParagraph"/>
              <w:keepNext/>
              <w:numPr>
                <w:ilvl w:val="0"/>
                <w:numId w:val="22"/>
              </w:numPr>
              <w:suppressAutoHyphens/>
              <w:outlineLvl w:val="0"/>
              <w:rPr>
                <w:rFonts w:ascii="Arial" w:eastAsia="Calibri" w:hAnsi="Arial" w:cs="Arial"/>
                <w:sz w:val="20"/>
                <w:szCs w:val="20"/>
                <w:lang w:eastAsia="ar-SA"/>
              </w:rPr>
            </w:pPr>
            <w:r w:rsidRPr="00967721">
              <w:rPr>
                <w:rFonts w:ascii="Arial" w:eastAsia="Calibri" w:hAnsi="Arial" w:cs="Arial"/>
                <w:sz w:val="20"/>
                <w:szCs w:val="20"/>
                <w:lang w:eastAsia="ar-SA"/>
              </w:rPr>
              <w:t>mandatory ESC for new vehicles in these categories</w:t>
            </w:r>
            <w:r w:rsidR="00154789">
              <w:rPr>
                <w:rFonts w:ascii="Arial" w:eastAsia="Calibri" w:hAnsi="Arial" w:cs="Arial"/>
                <w:sz w:val="20"/>
                <w:szCs w:val="20"/>
                <w:lang w:eastAsia="ar-SA"/>
              </w:rPr>
              <w:t xml:space="preserve"> (ie: option 6a)</w:t>
            </w:r>
          </w:p>
          <w:p w:rsidR="00967721" w:rsidRDefault="00967721" w:rsidP="00562C7E">
            <w:pPr>
              <w:pStyle w:val="ListParagraph"/>
              <w:keepNext/>
              <w:numPr>
                <w:ilvl w:val="0"/>
                <w:numId w:val="22"/>
              </w:numPr>
              <w:suppressAutoHyphens/>
              <w:outlineLvl w:val="0"/>
              <w:rPr>
                <w:rFonts w:ascii="Arial" w:eastAsia="Calibri" w:hAnsi="Arial" w:cs="Arial"/>
                <w:sz w:val="20"/>
                <w:szCs w:val="20"/>
                <w:lang w:eastAsia="ar-SA"/>
              </w:rPr>
            </w:pPr>
            <w:r w:rsidRPr="00967721">
              <w:rPr>
                <w:rFonts w:ascii="Arial" w:eastAsia="Calibri" w:hAnsi="Arial" w:cs="Arial"/>
                <w:sz w:val="20"/>
                <w:szCs w:val="20"/>
                <w:lang w:eastAsia="ar-SA"/>
              </w:rPr>
              <w:t>providing businesses with information to encourage the purchase of vehicles equipped with ESC</w:t>
            </w:r>
            <w:r w:rsidR="00562C7E">
              <w:rPr>
                <w:rFonts w:ascii="Arial" w:eastAsia="Calibri" w:hAnsi="Arial" w:cs="Arial"/>
                <w:sz w:val="20"/>
                <w:szCs w:val="20"/>
                <w:lang w:eastAsia="ar-SA"/>
              </w:rPr>
              <w:t xml:space="preserve"> (ie: RIS option 2)</w:t>
            </w:r>
          </w:p>
          <w:p w:rsidR="00562C7E" w:rsidRPr="00562C7E" w:rsidRDefault="00562C7E" w:rsidP="00562C7E">
            <w:pPr>
              <w:pStyle w:val="ListParagraph"/>
              <w:keepNext/>
              <w:suppressAutoHyphens/>
              <w:ind w:left="360"/>
              <w:outlineLvl w:val="0"/>
              <w:rPr>
                <w:rFonts w:ascii="Arial" w:eastAsia="Calibri" w:hAnsi="Arial" w:cs="Arial"/>
                <w:sz w:val="20"/>
                <w:szCs w:val="20"/>
                <w:lang w:eastAsia="ar-SA"/>
              </w:rPr>
            </w:pPr>
          </w:p>
        </w:tc>
      </w:tr>
      <w:tr w:rsidR="00920C92" w:rsidRPr="00201071" w:rsidTr="00F4154E">
        <w:tc>
          <w:tcPr>
            <w:tcW w:w="4508" w:type="dxa"/>
            <w:tcBorders>
              <w:bottom w:val="single" w:sz="4" w:space="0" w:color="auto"/>
            </w:tcBorders>
          </w:tcPr>
          <w:p w:rsidR="00920C92" w:rsidRPr="00201071" w:rsidRDefault="00F4154E" w:rsidP="00F4154E">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Preferred treatment</w:t>
            </w:r>
          </w:p>
        </w:tc>
        <w:tc>
          <w:tcPr>
            <w:tcW w:w="4508" w:type="dxa"/>
            <w:tcBorders>
              <w:bottom w:val="single" w:sz="4" w:space="0" w:color="auto"/>
            </w:tcBorders>
          </w:tcPr>
          <w:p w:rsidR="00920C92" w:rsidRDefault="00D749FD" w:rsidP="00F4154E">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Mandatory ESC for rigid trucks and semitrailers &lt;12t. E</w:t>
            </w:r>
            <w:r w:rsidR="00F4154E">
              <w:rPr>
                <w:rFonts w:ascii="Arial" w:eastAsia="Calibri" w:hAnsi="Arial" w:cs="Arial"/>
                <w:sz w:val="20"/>
                <w:szCs w:val="20"/>
                <w:lang w:eastAsia="ar-SA"/>
              </w:rPr>
              <w:t xml:space="preserve">ngineering controls are </w:t>
            </w:r>
            <w:r>
              <w:rPr>
                <w:rFonts w:ascii="Arial" w:eastAsia="Calibri" w:hAnsi="Arial" w:cs="Arial"/>
                <w:sz w:val="20"/>
                <w:szCs w:val="20"/>
                <w:lang w:eastAsia="ar-SA"/>
              </w:rPr>
              <w:t>more effective</w:t>
            </w:r>
            <w:r w:rsidR="00F4154E">
              <w:rPr>
                <w:rFonts w:ascii="Arial" w:eastAsia="Calibri" w:hAnsi="Arial" w:cs="Arial"/>
                <w:sz w:val="20"/>
                <w:szCs w:val="20"/>
                <w:lang w:eastAsia="ar-SA"/>
              </w:rPr>
              <w:t xml:space="preserve"> </w:t>
            </w:r>
            <w:r>
              <w:rPr>
                <w:rFonts w:ascii="Arial" w:eastAsia="Calibri" w:hAnsi="Arial" w:cs="Arial"/>
                <w:sz w:val="20"/>
                <w:szCs w:val="20"/>
                <w:lang w:eastAsia="ar-SA"/>
              </w:rPr>
              <w:t xml:space="preserve">than </w:t>
            </w:r>
            <w:r w:rsidR="00F4154E">
              <w:rPr>
                <w:rFonts w:ascii="Arial" w:eastAsia="Calibri" w:hAnsi="Arial" w:cs="Arial"/>
                <w:sz w:val="20"/>
                <w:szCs w:val="20"/>
                <w:lang w:eastAsia="ar-SA"/>
              </w:rPr>
              <w:t>administrative controls or awareness/training and the cost would not be grossly disproportionate to the risk.</w:t>
            </w:r>
          </w:p>
          <w:p w:rsidR="00F4154E" w:rsidRDefault="00F4154E" w:rsidP="00F4154E">
            <w:pPr>
              <w:keepNext/>
              <w:suppressAutoHyphens/>
              <w:outlineLvl w:val="0"/>
              <w:rPr>
                <w:rFonts w:ascii="Arial" w:eastAsia="Calibri" w:hAnsi="Arial" w:cs="Arial"/>
                <w:sz w:val="20"/>
                <w:szCs w:val="20"/>
                <w:lang w:eastAsia="ar-SA"/>
              </w:rPr>
            </w:pPr>
          </w:p>
          <w:p w:rsidR="00F4154E" w:rsidRDefault="00F4154E" w:rsidP="00F4154E">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If the government was n</w:t>
            </w:r>
            <w:r w:rsidR="00D749FD">
              <w:rPr>
                <w:rFonts w:ascii="Arial" w:eastAsia="Calibri" w:hAnsi="Arial" w:cs="Arial"/>
                <w:sz w:val="20"/>
                <w:szCs w:val="20"/>
                <w:lang w:eastAsia="ar-SA"/>
              </w:rPr>
              <w:t xml:space="preserve">ot prepared to adopt option 6a, a risk management approach would suggest </w:t>
            </w:r>
            <w:r>
              <w:rPr>
                <w:rFonts w:ascii="Arial" w:eastAsia="Calibri" w:hAnsi="Arial" w:cs="Arial"/>
                <w:sz w:val="20"/>
                <w:szCs w:val="20"/>
                <w:lang w:eastAsia="ar-SA"/>
              </w:rPr>
              <w:t xml:space="preserve">it should apply other </w:t>
            </w:r>
            <w:r w:rsidR="00154789">
              <w:rPr>
                <w:rFonts w:ascii="Arial" w:eastAsia="Calibri" w:hAnsi="Arial" w:cs="Arial"/>
                <w:sz w:val="20"/>
                <w:szCs w:val="20"/>
                <w:lang w:eastAsia="ar-SA"/>
              </w:rPr>
              <w:t xml:space="preserve">treatments rather than leave </w:t>
            </w:r>
            <w:r w:rsidR="00D749FD">
              <w:rPr>
                <w:rFonts w:ascii="Arial" w:eastAsia="Calibri" w:hAnsi="Arial" w:cs="Arial"/>
                <w:sz w:val="20"/>
                <w:szCs w:val="20"/>
                <w:lang w:eastAsia="ar-SA"/>
              </w:rPr>
              <w:t xml:space="preserve">the risk </w:t>
            </w:r>
            <w:r w:rsidR="00154789">
              <w:rPr>
                <w:rFonts w:ascii="Arial" w:eastAsia="Calibri" w:hAnsi="Arial" w:cs="Arial"/>
                <w:sz w:val="20"/>
                <w:szCs w:val="20"/>
                <w:lang w:eastAsia="ar-SA"/>
              </w:rPr>
              <w:t>uncontrolled</w:t>
            </w:r>
          </w:p>
          <w:p w:rsidR="00F4154E" w:rsidRPr="00201071" w:rsidRDefault="00F4154E" w:rsidP="00F4154E">
            <w:pPr>
              <w:keepNext/>
              <w:suppressAutoHyphens/>
              <w:outlineLvl w:val="0"/>
              <w:rPr>
                <w:rFonts w:ascii="Arial" w:eastAsia="Calibri" w:hAnsi="Arial" w:cs="Arial"/>
                <w:sz w:val="20"/>
                <w:szCs w:val="20"/>
                <w:lang w:eastAsia="ar-SA"/>
              </w:rPr>
            </w:pPr>
          </w:p>
        </w:tc>
      </w:tr>
    </w:tbl>
    <w:p w:rsidR="00920C92" w:rsidRDefault="00920C92" w:rsidP="007F2042">
      <w:pPr>
        <w:keepNext/>
        <w:suppressAutoHyphens/>
        <w:spacing w:after="0" w:line="240" w:lineRule="auto"/>
        <w:outlineLvl w:val="0"/>
        <w:rPr>
          <w:rFonts w:ascii="Arial" w:eastAsia="Calibri" w:hAnsi="Arial" w:cs="Arial"/>
          <w:lang w:eastAsia="ar-SA"/>
        </w:rPr>
      </w:pPr>
    </w:p>
    <w:p w:rsidR="001C2EBD" w:rsidRDefault="001C2EBD" w:rsidP="00261D80">
      <w:pPr>
        <w:suppressAutoHyphens/>
        <w:spacing w:after="0" w:line="240" w:lineRule="auto"/>
        <w:outlineLvl w:val="0"/>
        <w:rPr>
          <w:rFonts w:ascii="Arial" w:eastAsia="Calibri" w:hAnsi="Arial" w:cs="Arial"/>
          <w:lang w:eastAsia="ar-SA"/>
        </w:rPr>
      </w:pPr>
    </w:p>
    <w:p w:rsidR="001C2EBD" w:rsidRPr="001C2EBD" w:rsidRDefault="001C2EBD" w:rsidP="009C450F">
      <w:pPr>
        <w:keepNext/>
        <w:suppressAutoHyphens/>
        <w:spacing w:after="0" w:line="240" w:lineRule="auto"/>
        <w:outlineLvl w:val="0"/>
        <w:rPr>
          <w:rFonts w:ascii="Arial" w:eastAsia="Calibri" w:hAnsi="Arial" w:cs="Arial"/>
          <w:i/>
          <w:lang w:eastAsia="ar-SA"/>
        </w:rPr>
      </w:pPr>
      <w:r w:rsidRPr="001C2EBD">
        <w:rPr>
          <w:rFonts w:ascii="Arial" w:eastAsia="Calibri" w:hAnsi="Arial" w:cs="Arial"/>
          <w:i/>
          <w:lang w:eastAsia="ar-SA"/>
        </w:rPr>
        <w:t>UK Treasury approach</w:t>
      </w:r>
    </w:p>
    <w:p w:rsidR="00BC7A36" w:rsidRDefault="00BC7A36" w:rsidP="009C450F">
      <w:pPr>
        <w:keepNext/>
        <w:suppressAutoHyphens/>
        <w:spacing w:after="0" w:line="240" w:lineRule="auto"/>
        <w:outlineLvl w:val="0"/>
        <w:rPr>
          <w:rFonts w:ascii="Arial" w:eastAsia="Calibri" w:hAnsi="Arial" w:cs="Arial"/>
          <w:lang w:eastAsia="ar-SA"/>
        </w:rPr>
      </w:pPr>
    </w:p>
    <w:p w:rsidR="005A511A" w:rsidRDefault="005A511A" w:rsidP="009C450F">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In 2005, t</w:t>
      </w:r>
      <w:r w:rsidR="001C2EBD">
        <w:rPr>
          <w:rFonts w:ascii="Arial" w:eastAsia="Calibri" w:hAnsi="Arial" w:cs="Arial"/>
          <w:lang w:eastAsia="ar-SA"/>
        </w:rPr>
        <w:t>he UK Treasury</w:t>
      </w:r>
      <w:r>
        <w:rPr>
          <w:rFonts w:ascii="Arial" w:eastAsia="Calibri" w:hAnsi="Arial" w:cs="Arial"/>
          <w:lang w:eastAsia="ar-SA"/>
        </w:rPr>
        <w:t xml:space="preserve"> issued guidance to UK Government policy makers about how to assess proposals that affect public safety. The guidance supplemented the Treasury Green Book, the UK equivalent of the </w:t>
      </w:r>
      <w:r w:rsidRPr="005A511A">
        <w:rPr>
          <w:rFonts w:ascii="Arial" w:eastAsia="Calibri" w:hAnsi="Arial" w:cs="Arial"/>
          <w:i/>
          <w:lang w:eastAsia="ar-SA"/>
        </w:rPr>
        <w:t>Australian Government Guide to Regulation</w:t>
      </w:r>
      <w:r>
        <w:rPr>
          <w:rFonts w:ascii="Arial" w:eastAsia="Calibri" w:hAnsi="Arial" w:cs="Arial"/>
          <w:lang w:eastAsia="ar-SA"/>
        </w:rPr>
        <w:t>.</w:t>
      </w:r>
    </w:p>
    <w:p w:rsidR="005A511A" w:rsidRDefault="005A511A" w:rsidP="00261D80">
      <w:pPr>
        <w:suppressAutoHyphens/>
        <w:spacing w:after="0" w:line="240" w:lineRule="auto"/>
        <w:outlineLvl w:val="0"/>
        <w:rPr>
          <w:rFonts w:ascii="Arial" w:eastAsia="Calibri" w:hAnsi="Arial" w:cs="Arial"/>
          <w:lang w:eastAsia="ar-SA"/>
        </w:rPr>
      </w:pPr>
    </w:p>
    <w:p w:rsidR="001C2EBD" w:rsidRDefault="005A511A"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UK Government policy makers are advised </w:t>
      </w:r>
      <w:r w:rsidR="007F2042">
        <w:rPr>
          <w:rFonts w:ascii="Arial" w:eastAsia="Calibri" w:hAnsi="Arial" w:cs="Arial"/>
          <w:lang w:eastAsia="ar-SA"/>
        </w:rPr>
        <w:t>to avoid, prevent or reduce high risks</w:t>
      </w:r>
      <w:r w:rsidR="001C2EBD">
        <w:rPr>
          <w:rFonts w:ascii="Arial" w:eastAsia="Calibri" w:hAnsi="Arial" w:cs="Arial"/>
          <w:lang w:eastAsia="ar-SA"/>
        </w:rPr>
        <w:t xml:space="preserve"> virtually</w:t>
      </w:r>
      <w:r>
        <w:rPr>
          <w:rFonts w:ascii="Arial" w:eastAsia="Calibri" w:hAnsi="Arial" w:cs="Arial"/>
          <w:lang w:eastAsia="ar-SA"/>
        </w:rPr>
        <w:t xml:space="preserve"> whatever the cost implications. V</w:t>
      </w:r>
      <w:r w:rsidR="001C2EBD">
        <w:rPr>
          <w:rFonts w:ascii="Arial" w:eastAsia="Calibri" w:hAnsi="Arial" w:cs="Arial"/>
          <w:lang w:eastAsia="ar-SA"/>
        </w:rPr>
        <w:t>ery low risks should be mitigated further if the costs are justified</w:t>
      </w:r>
      <w:r w:rsidR="00996EF2">
        <w:rPr>
          <w:rFonts w:ascii="Arial" w:eastAsia="Calibri" w:hAnsi="Arial" w:cs="Arial"/>
          <w:lang w:eastAsia="ar-SA"/>
        </w:rPr>
        <w:t>. I</w:t>
      </w:r>
      <w:r w:rsidR="001C2EBD">
        <w:rPr>
          <w:rFonts w:ascii="Arial" w:eastAsia="Calibri" w:hAnsi="Arial" w:cs="Arial"/>
          <w:lang w:eastAsia="ar-SA"/>
        </w:rPr>
        <w:t>n the intermediate range, risks should be reduced as low as reasonably practicable.</w:t>
      </w:r>
      <w:r w:rsidR="001C2EBD">
        <w:rPr>
          <w:rStyle w:val="FootnoteReference"/>
          <w:rFonts w:ascii="Arial" w:eastAsia="Calibri" w:hAnsi="Arial" w:cs="Arial"/>
          <w:lang w:eastAsia="ar-SA"/>
        </w:rPr>
        <w:footnoteReference w:id="18"/>
      </w:r>
    </w:p>
    <w:p w:rsidR="001C2EBD" w:rsidRDefault="001C2EBD" w:rsidP="00261D80">
      <w:pPr>
        <w:suppressAutoHyphens/>
        <w:spacing w:after="0" w:line="240" w:lineRule="auto"/>
        <w:outlineLvl w:val="0"/>
        <w:rPr>
          <w:rFonts w:ascii="Arial" w:eastAsia="Calibri" w:hAnsi="Arial" w:cs="Arial"/>
          <w:lang w:eastAsia="ar-SA"/>
        </w:rPr>
      </w:pPr>
    </w:p>
    <w:p w:rsidR="001C2EBD" w:rsidRDefault="00F003E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Table 5</w:t>
      </w:r>
      <w:r w:rsidR="001C2EBD">
        <w:rPr>
          <w:rFonts w:ascii="Arial" w:eastAsia="Calibri" w:hAnsi="Arial" w:cs="Arial"/>
          <w:lang w:eastAsia="ar-SA"/>
        </w:rPr>
        <w:t xml:space="preserve"> summarises the UK Treasury’s practical interpretation of this framework, based on work done by the UK Health and Safety Executive.</w:t>
      </w:r>
      <w:r w:rsidR="00BC239A">
        <w:rPr>
          <w:rStyle w:val="FootnoteReference"/>
          <w:rFonts w:ascii="Arial" w:eastAsia="Calibri" w:hAnsi="Arial" w:cs="Arial"/>
          <w:lang w:eastAsia="ar-SA"/>
        </w:rPr>
        <w:footnoteReference w:id="19"/>
      </w:r>
      <w:r w:rsidR="00A278A8" w:rsidRPr="00A278A8">
        <w:rPr>
          <w:rFonts w:ascii="Arial" w:eastAsia="Calibri" w:hAnsi="Arial" w:cs="Arial"/>
          <w:vertAlign w:val="superscript"/>
          <w:lang w:eastAsia="ar-SA"/>
        </w:rPr>
        <w:t>,</w:t>
      </w:r>
      <w:r w:rsidR="00BC239A">
        <w:rPr>
          <w:rStyle w:val="FootnoteReference"/>
          <w:rFonts w:ascii="Arial" w:eastAsia="Calibri" w:hAnsi="Arial" w:cs="Arial"/>
          <w:lang w:eastAsia="ar-SA"/>
        </w:rPr>
        <w:footnoteReference w:id="20"/>
      </w:r>
    </w:p>
    <w:p w:rsidR="001C2EBD" w:rsidRDefault="001C2EBD" w:rsidP="00261D80">
      <w:pPr>
        <w:suppressAutoHyphens/>
        <w:spacing w:after="0" w:line="240" w:lineRule="auto"/>
        <w:outlineLvl w:val="0"/>
        <w:rPr>
          <w:rFonts w:ascii="Arial" w:eastAsia="Calibri" w:hAnsi="Arial" w:cs="Arial"/>
          <w:lang w:eastAsia="ar-SA"/>
        </w:rPr>
      </w:pPr>
    </w:p>
    <w:p w:rsidR="00BC239A" w:rsidRPr="00BC239A" w:rsidRDefault="00BC239A" w:rsidP="00205A78">
      <w:pPr>
        <w:keepNext/>
        <w:suppressAutoHyphens/>
        <w:spacing w:after="0" w:line="240" w:lineRule="auto"/>
        <w:outlineLvl w:val="0"/>
        <w:rPr>
          <w:rFonts w:ascii="Arial" w:eastAsia="Calibri" w:hAnsi="Arial" w:cs="Arial"/>
          <w:b/>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BC239A" w:rsidRPr="00BC239A" w:rsidTr="00AF6A61">
        <w:tc>
          <w:tcPr>
            <w:tcW w:w="9016" w:type="dxa"/>
            <w:gridSpan w:val="4"/>
            <w:tcMar>
              <w:bottom w:w="113" w:type="dxa"/>
            </w:tcMar>
          </w:tcPr>
          <w:p w:rsidR="00BC239A" w:rsidRPr="00BC239A" w:rsidRDefault="00F003E4" w:rsidP="00205A78">
            <w:pPr>
              <w:keepNext/>
              <w:suppressAutoHyphens/>
              <w:outlineLvl w:val="0"/>
              <w:rPr>
                <w:rFonts w:ascii="Arial" w:eastAsia="Calibri" w:hAnsi="Arial" w:cs="Arial"/>
                <w:b/>
                <w:sz w:val="20"/>
                <w:szCs w:val="20"/>
                <w:lang w:eastAsia="ar-SA"/>
              </w:rPr>
            </w:pPr>
            <w:r>
              <w:rPr>
                <w:rFonts w:ascii="Arial" w:eastAsia="Calibri" w:hAnsi="Arial" w:cs="Arial"/>
                <w:b/>
                <w:sz w:val="20"/>
                <w:szCs w:val="20"/>
                <w:lang w:eastAsia="ar-SA"/>
              </w:rPr>
              <w:t>Table 5</w:t>
            </w:r>
            <w:r w:rsidR="00BC239A" w:rsidRPr="00BC239A">
              <w:rPr>
                <w:rFonts w:ascii="Arial" w:eastAsia="Calibri" w:hAnsi="Arial" w:cs="Arial"/>
                <w:b/>
                <w:sz w:val="20"/>
                <w:szCs w:val="20"/>
                <w:lang w:eastAsia="ar-SA"/>
              </w:rPr>
              <w:t>: HM Tre</w:t>
            </w:r>
            <w:r w:rsidR="00AF6A61">
              <w:rPr>
                <w:rFonts w:ascii="Arial" w:eastAsia="Calibri" w:hAnsi="Arial" w:cs="Arial"/>
                <w:b/>
                <w:sz w:val="20"/>
                <w:szCs w:val="20"/>
                <w:lang w:eastAsia="ar-SA"/>
              </w:rPr>
              <w:t>asury risk tolerance categories</w:t>
            </w:r>
          </w:p>
        </w:tc>
      </w:tr>
      <w:tr w:rsidR="001C2EBD" w:rsidTr="00AC6A3D">
        <w:tc>
          <w:tcPr>
            <w:tcW w:w="2254" w:type="dxa"/>
            <w:tcBorders>
              <w:top w:val="single" w:sz="4" w:space="0" w:color="auto"/>
              <w:bottom w:val="single" w:sz="4" w:space="0" w:color="auto"/>
            </w:tcBorders>
          </w:tcPr>
          <w:p w:rsidR="001C2EBD" w:rsidRPr="00BC239A" w:rsidRDefault="001C2EBD" w:rsidP="00205A78">
            <w:pPr>
              <w:keepNext/>
              <w:suppressAutoHyphens/>
              <w:jc w:val="center"/>
              <w:outlineLvl w:val="0"/>
              <w:rPr>
                <w:rFonts w:ascii="Arial" w:eastAsia="Calibri" w:hAnsi="Arial" w:cs="Arial"/>
                <w:b/>
                <w:sz w:val="20"/>
                <w:szCs w:val="20"/>
                <w:lang w:eastAsia="ar-SA"/>
              </w:rPr>
            </w:pPr>
            <w:r w:rsidRPr="00BC239A">
              <w:rPr>
                <w:rFonts w:ascii="Arial" w:eastAsia="Calibri" w:hAnsi="Arial" w:cs="Arial"/>
                <w:b/>
                <w:sz w:val="20"/>
                <w:szCs w:val="20"/>
                <w:lang w:eastAsia="ar-SA"/>
              </w:rPr>
              <w:t>Risk category</w:t>
            </w:r>
          </w:p>
        </w:tc>
        <w:tc>
          <w:tcPr>
            <w:tcW w:w="2254" w:type="dxa"/>
            <w:tcBorders>
              <w:top w:val="single" w:sz="4" w:space="0" w:color="auto"/>
              <w:bottom w:val="single" w:sz="4" w:space="0" w:color="auto"/>
            </w:tcBorders>
          </w:tcPr>
          <w:p w:rsidR="001C2EBD" w:rsidRPr="00BC239A" w:rsidRDefault="001C2EBD" w:rsidP="00205A78">
            <w:pPr>
              <w:keepNext/>
              <w:suppressAutoHyphens/>
              <w:jc w:val="center"/>
              <w:outlineLvl w:val="0"/>
              <w:rPr>
                <w:rFonts w:ascii="Arial" w:eastAsia="Calibri" w:hAnsi="Arial" w:cs="Arial"/>
                <w:b/>
                <w:sz w:val="20"/>
                <w:szCs w:val="20"/>
                <w:lang w:eastAsia="ar-SA"/>
              </w:rPr>
            </w:pPr>
            <w:r w:rsidRPr="00BC239A">
              <w:rPr>
                <w:rFonts w:ascii="Arial" w:eastAsia="Calibri" w:hAnsi="Arial" w:cs="Arial"/>
                <w:b/>
                <w:sz w:val="20"/>
                <w:szCs w:val="20"/>
                <w:lang w:eastAsia="ar-SA"/>
              </w:rPr>
              <w:t>Action required</w:t>
            </w:r>
          </w:p>
        </w:tc>
        <w:tc>
          <w:tcPr>
            <w:tcW w:w="2254" w:type="dxa"/>
            <w:tcBorders>
              <w:top w:val="single" w:sz="4" w:space="0" w:color="auto"/>
              <w:bottom w:val="single" w:sz="4" w:space="0" w:color="auto"/>
            </w:tcBorders>
          </w:tcPr>
          <w:p w:rsidR="001C2EBD" w:rsidRPr="00BC239A" w:rsidRDefault="001C2EBD" w:rsidP="00205A78">
            <w:pPr>
              <w:keepNext/>
              <w:suppressAutoHyphens/>
              <w:jc w:val="center"/>
              <w:outlineLvl w:val="0"/>
              <w:rPr>
                <w:rFonts w:ascii="Arial" w:eastAsia="Calibri" w:hAnsi="Arial" w:cs="Arial"/>
                <w:b/>
                <w:sz w:val="20"/>
                <w:szCs w:val="20"/>
                <w:lang w:eastAsia="ar-SA"/>
              </w:rPr>
            </w:pPr>
            <w:r w:rsidRPr="00BC239A">
              <w:rPr>
                <w:rFonts w:ascii="Arial" w:eastAsia="Calibri" w:hAnsi="Arial" w:cs="Arial"/>
                <w:b/>
                <w:sz w:val="20"/>
                <w:szCs w:val="20"/>
                <w:lang w:eastAsia="ar-SA"/>
              </w:rPr>
              <w:t>Risk of death</w:t>
            </w:r>
          </w:p>
          <w:p w:rsidR="00BC239A" w:rsidRPr="00BC239A" w:rsidRDefault="00BC239A" w:rsidP="00205A78">
            <w:pPr>
              <w:keepNext/>
              <w:suppressAutoHyphens/>
              <w:jc w:val="center"/>
              <w:outlineLvl w:val="0"/>
              <w:rPr>
                <w:rFonts w:ascii="Arial" w:eastAsia="Calibri" w:hAnsi="Arial" w:cs="Arial"/>
                <w:b/>
                <w:sz w:val="20"/>
                <w:szCs w:val="20"/>
                <w:lang w:eastAsia="ar-SA"/>
              </w:rPr>
            </w:pPr>
          </w:p>
        </w:tc>
        <w:tc>
          <w:tcPr>
            <w:tcW w:w="2254" w:type="dxa"/>
            <w:tcBorders>
              <w:top w:val="single" w:sz="4" w:space="0" w:color="auto"/>
              <w:bottom w:val="single" w:sz="4" w:space="0" w:color="auto"/>
            </w:tcBorders>
          </w:tcPr>
          <w:p w:rsidR="001C2EBD" w:rsidRPr="001C2EBD" w:rsidRDefault="001C2EBD" w:rsidP="00205A78">
            <w:pPr>
              <w:keepNext/>
              <w:suppressAutoHyphens/>
              <w:outlineLvl w:val="0"/>
              <w:rPr>
                <w:rFonts w:ascii="Arial" w:eastAsia="Calibri" w:hAnsi="Arial" w:cs="Arial"/>
                <w:sz w:val="20"/>
                <w:szCs w:val="20"/>
                <w:lang w:eastAsia="ar-SA"/>
              </w:rPr>
            </w:pPr>
          </w:p>
        </w:tc>
      </w:tr>
      <w:tr w:rsidR="001C2EBD" w:rsidTr="00AC6A3D">
        <w:tc>
          <w:tcPr>
            <w:tcW w:w="2254" w:type="dxa"/>
            <w:tcBorders>
              <w:top w:val="single" w:sz="4" w:space="0" w:color="auto"/>
            </w:tcBorders>
          </w:tcPr>
          <w:p w:rsidR="001C2EBD" w:rsidRPr="001C2EBD" w:rsidRDefault="001C2EBD" w:rsidP="00205A78">
            <w:pPr>
              <w:keepNext/>
              <w:suppressAutoHyphens/>
              <w:outlineLvl w:val="0"/>
              <w:rPr>
                <w:rFonts w:ascii="Arial" w:eastAsia="Calibri" w:hAnsi="Arial" w:cs="Arial"/>
                <w:sz w:val="20"/>
                <w:szCs w:val="20"/>
                <w:lang w:eastAsia="ar-SA"/>
              </w:rPr>
            </w:pPr>
            <w:r w:rsidRPr="001C2EBD">
              <w:rPr>
                <w:rFonts w:ascii="Arial" w:eastAsia="Calibri" w:hAnsi="Arial" w:cs="Arial"/>
                <w:sz w:val="20"/>
                <w:szCs w:val="20"/>
                <w:lang w:eastAsia="ar-SA"/>
              </w:rPr>
              <w:t>Intolerable</w:t>
            </w:r>
          </w:p>
        </w:tc>
        <w:tc>
          <w:tcPr>
            <w:tcW w:w="2254" w:type="dxa"/>
            <w:tcBorders>
              <w:top w:val="single" w:sz="4" w:space="0" w:color="auto"/>
            </w:tcBorders>
          </w:tcPr>
          <w:p w:rsidR="001C2EBD" w:rsidRDefault="001C2EBD" w:rsidP="00205A78">
            <w:pPr>
              <w:keepNext/>
              <w:suppressAutoHyphens/>
              <w:outlineLvl w:val="0"/>
              <w:rPr>
                <w:rFonts w:ascii="Arial" w:eastAsia="Calibri" w:hAnsi="Arial" w:cs="Arial"/>
                <w:sz w:val="20"/>
                <w:szCs w:val="20"/>
                <w:lang w:eastAsia="ar-SA"/>
              </w:rPr>
            </w:pPr>
            <w:r w:rsidRPr="001C2EBD">
              <w:rPr>
                <w:rFonts w:ascii="Arial" w:eastAsia="Calibri" w:hAnsi="Arial" w:cs="Arial"/>
                <w:sz w:val="20"/>
                <w:szCs w:val="20"/>
                <w:lang w:eastAsia="ar-SA"/>
              </w:rPr>
              <w:t>Extremely relu</w:t>
            </w:r>
            <w:r>
              <w:rPr>
                <w:rFonts w:ascii="Arial" w:eastAsia="Calibri" w:hAnsi="Arial" w:cs="Arial"/>
                <w:sz w:val="20"/>
                <w:szCs w:val="20"/>
                <w:lang w:eastAsia="ar-SA"/>
              </w:rPr>
              <w:t>ctance to accept any argument for not doing more</w:t>
            </w:r>
          </w:p>
          <w:p w:rsidR="001C2EBD" w:rsidRPr="001C2EBD" w:rsidRDefault="001C2EBD" w:rsidP="00205A78">
            <w:pPr>
              <w:keepNext/>
              <w:suppressAutoHyphens/>
              <w:outlineLvl w:val="0"/>
              <w:rPr>
                <w:rFonts w:ascii="Arial" w:eastAsia="Calibri" w:hAnsi="Arial" w:cs="Arial"/>
                <w:sz w:val="20"/>
                <w:szCs w:val="20"/>
                <w:lang w:eastAsia="ar-SA"/>
              </w:rPr>
            </w:pPr>
          </w:p>
        </w:tc>
        <w:tc>
          <w:tcPr>
            <w:tcW w:w="2254" w:type="dxa"/>
            <w:tcBorders>
              <w:top w:val="single" w:sz="4" w:space="0" w:color="auto"/>
            </w:tcBorders>
          </w:tcPr>
          <w:p w:rsidR="001C2EBD" w:rsidRDefault="001C2EBD"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Workers: 1 in 1000 per year</w:t>
            </w:r>
          </w:p>
          <w:p w:rsidR="001C2EBD" w:rsidRPr="001C2EBD" w:rsidRDefault="001C2EBD"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General public: 1 in 10,000 per year</w:t>
            </w:r>
          </w:p>
        </w:tc>
        <w:tc>
          <w:tcPr>
            <w:tcW w:w="2254" w:type="dxa"/>
            <w:tcBorders>
              <w:top w:val="single" w:sz="4" w:space="0" w:color="auto"/>
            </w:tcBorders>
          </w:tcPr>
          <w:p w:rsidR="001C2EBD" w:rsidRPr="001C2EBD" w:rsidRDefault="00871EBD" w:rsidP="00205A78">
            <w:pPr>
              <w:keepNext/>
              <w:suppressAutoHyphens/>
              <w:outlineLvl w:val="0"/>
              <w:rPr>
                <w:rFonts w:ascii="Arial" w:eastAsia="Calibri" w:hAnsi="Arial" w:cs="Arial"/>
                <w:sz w:val="20"/>
                <w:szCs w:val="20"/>
                <w:lang w:eastAsia="ar-SA"/>
              </w:rPr>
            </w:pPr>
            <w:r>
              <w:rPr>
                <w:rFonts w:ascii="Arial" w:eastAsia="Calibri" w:hAnsi="Arial" w:cs="Arial"/>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297645</wp:posOffset>
                      </wp:positionH>
                      <wp:positionV relativeFrom="paragraph">
                        <wp:posOffset>656429</wp:posOffset>
                      </wp:positionV>
                      <wp:extent cx="1105469" cy="5800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05469" cy="580030"/>
                              </a:xfrm>
                              <a:prstGeom prst="rect">
                                <a:avLst/>
                              </a:prstGeom>
                              <a:solidFill>
                                <a:schemeClr val="bg1">
                                  <a:lumMod val="6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595" w:rsidRPr="00BC239A" w:rsidRDefault="008D1595">
                                  <w:pPr>
                                    <w:rPr>
                                      <w:rFonts w:ascii="Arial" w:hAnsi="Arial" w:cs="Arial"/>
                                      <w:b/>
                                      <w:sz w:val="20"/>
                                      <w:szCs w:val="20"/>
                                    </w:rPr>
                                  </w:pPr>
                                  <w:r>
                                    <w:rPr>
                                      <w:rFonts w:ascii="Arial" w:hAnsi="Arial" w:cs="Arial"/>
                                      <w:b/>
                                      <w:sz w:val="20"/>
                                      <w:szCs w:val="20"/>
                                    </w:rPr>
                                    <w:t>Rigid truck rollover/loss of control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5pt;margin-top:51.7pt;width:87.0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" fillcolor="#a5a5a5 [2092]" stroked="f" strokeweight=".5pt">
                      <v:textbox>
                        <w:txbxContent>
                          <w:p w:rsidR="008D1595" w:rsidRPr="00BC239A" w:rsidRDefault="008D1595">
                            <w:pPr>
                              <w:rPr>
                                <w:rFonts w:ascii="Arial" w:hAnsi="Arial" w:cs="Arial"/>
                                <w:b/>
                                <w:sz w:val="20"/>
                                <w:szCs w:val="20"/>
                              </w:rPr>
                            </w:pPr>
                            <w:r>
                              <w:rPr>
                                <w:rFonts w:ascii="Arial" w:hAnsi="Arial" w:cs="Arial"/>
                                <w:b/>
                                <w:sz w:val="20"/>
                                <w:szCs w:val="20"/>
                              </w:rPr>
                              <w:t>Rigid truck rollover/loss of control risk</w:t>
                            </w:r>
                          </w:p>
                        </w:txbxContent>
                      </v:textbox>
                    </v:shape>
                  </w:pict>
                </mc:Fallback>
              </mc:AlternateContent>
            </w:r>
            <w:r w:rsidR="00BC239A">
              <w:rPr>
                <w:rFonts w:ascii="Arial" w:eastAsia="Calibri" w:hAnsi="Arial" w:cs="Arial"/>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206375</wp:posOffset>
                      </wp:positionV>
                      <wp:extent cx="1493520" cy="1493520"/>
                      <wp:effectExtent l="19050" t="19050" r="11430" b="30480"/>
                      <wp:wrapNone/>
                      <wp:docPr id="1" name="Left Arrow 1"/>
                      <wp:cNvGraphicFramePr/>
                      <a:graphic xmlns:a="http://schemas.openxmlformats.org/drawingml/2006/main">
                        <a:graphicData uri="http://schemas.microsoft.com/office/word/2010/wordprocessingShape">
                          <wps:wsp>
                            <wps:cNvSpPr/>
                            <wps:spPr>
                              <a:xfrm>
                                <a:off x="0" y="0"/>
                                <a:ext cx="1493520" cy="1493520"/>
                              </a:xfrm>
                              <a:prstGeom prst="lef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4CF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1pt;margin-top:16.25pt;width:117.6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" adj="10800" fillcolor="#a5a5a5 [2092]" strokecolor="#a5a5a5 [2092]" strokeweight="1pt"/>
                  </w:pict>
                </mc:Fallback>
              </mc:AlternateContent>
            </w:r>
          </w:p>
        </w:tc>
      </w:tr>
      <w:tr w:rsidR="001C2EBD" w:rsidTr="00AC6A3D">
        <w:tc>
          <w:tcPr>
            <w:tcW w:w="2254" w:type="dxa"/>
          </w:tcPr>
          <w:p w:rsidR="001C2EBD" w:rsidRPr="001C2EBD" w:rsidRDefault="001C2EBD"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 xml:space="preserve">Tolerable </w:t>
            </w:r>
            <w:r w:rsidRPr="00BC239A">
              <w:rPr>
                <w:rFonts w:ascii="Arial" w:eastAsia="Calibri" w:hAnsi="Arial" w:cs="Arial"/>
                <w:sz w:val="20"/>
                <w:szCs w:val="20"/>
                <w:lang w:eastAsia="ar-SA"/>
              </w:rPr>
              <w:t>if as low as reasonably practicable</w:t>
            </w:r>
          </w:p>
        </w:tc>
        <w:tc>
          <w:tcPr>
            <w:tcW w:w="2254" w:type="dxa"/>
          </w:tcPr>
          <w:p w:rsidR="001C2EBD" w:rsidRDefault="001C2EBD"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Case specific ALARP demonstration required</w:t>
            </w:r>
          </w:p>
          <w:p w:rsidR="00BC239A" w:rsidRPr="001C2EBD" w:rsidRDefault="00BC239A" w:rsidP="00205A78">
            <w:pPr>
              <w:keepNext/>
              <w:suppressAutoHyphens/>
              <w:outlineLvl w:val="0"/>
              <w:rPr>
                <w:rFonts w:ascii="Arial" w:eastAsia="Calibri" w:hAnsi="Arial" w:cs="Arial"/>
                <w:sz w:val="20"/>
                <w:szCs w:val="20"/>
                <w:lang w:eastAsia="ar-SA"/>
              </w:rPr>
            </w:pPr>
          </w:p>
        </w:tc>
        <w:tc>
          <w:tcPr>
            <w:tcW w:w="2254" w:type="dxa"/>
          </w:tcPr>
          <w:p w:rsidR="001C2EBD" w:rsidRPr="001C2EBD" w:rsidRDefault="00BC239A"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Risk level between ‘intolerable’ and ‘broadly acceptable’</w:t>
            </w:r>
          </w:p>
        </w:tc>
        <w:tc>
          <w:tcPr>
            <w:tcW w:w="2254" w:type="dxa"/>
          </w:tcPr>
          <w:p w:rsidR="001C2EBD" w:rsidRPr="001C2EBD" w:rsidRDefault="001C2EBD" w:rsidP="00205A78">
            <w:pPr>
              <w:keepNext/>
              <w:suppressAutoHyphens/>
              <w:outlineLvl w:val="0"/>
              <w:rPr>
                <w:rFonts w:ascii="Arial" w:eastAsia="Calibri" w:hAnsi="Arial" w:cs="Arial"/>
                <w:sz w:val="20"/>
                <w:szCs w:val="20"/>
                <w:lang w:eastAsia="ar-SA"/>
              </w:rPr>
            </w:pPr>
          </w:p>
        </w:tc>
      </w:tr>
      <w:tr w:rsidR="001C2EBD" w:rsidTr="00AC6A3D">
        <w:tc>
          <w:tcPr>
            <w:tcW w:w="2254" w:type="dxa"/>
            <w:tcBorders>
              <w:bottom w:val="single" w:sz="4" w:space="0" w:color="auto"/>
            </w:tcBorders>
          </w:tcPr>
          <w:p w:rsidR="001C2EBD" w:rsidRPr="001C2EBD" w:rsidRDefault="001C2EBD"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Broadly acceptable</w:t>
            </w:r>
          </w:p>
        </w:tc>
        <w:tc>
          <w:tcPr>
            <w:tcW w:w="2254" w:type="dxa"/>
            <w:tcBorders>
              <w:bottom w:val="single" w:sz="4" w:space="0" w:color="auto"/>
            </w:tcBorders>
          </w:tcPr>
          <w:p w:rsidR="001C2EBD" w:rsidRDefault="00BC239A"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No case specific demonstration required</w:t>
            </w:r>
          </w:p>
          <w:p w:rsidR="00BC239A" w:rsidRPr="001C2EBD" w:rsidRDefault="00BC239A" w:rsidP="00205A78">
            <w:pPr>
              <w:keepNext/>
              <w:suppressAutoHyphens/>
              <w:outlineLvl w:val="0"/>
              <w:rPr>
                <w:rFonts w:ascii="Arial" w:eastAsia="Calibri" w:hAnsi="Arial" w:cs="Arial"/>
                <w:sz w:val="20"/>
                <w:szCs w:val="20"/>
                <w:lang w:eastAsia="ar-SA"/>
              </w:rPr>
            </w:pPr>
          </w:p>
        </w:tc>
        <w:tc>
          <w:tcPr>
            <w:tcW w:w="2254" w:type="dxa"/>
            <w:tcBorders>
              <w:bottom w:val="single" w:sz="4" w:space="0" w:color="auto"/>
            </w:tcBorders>
          </w:tcPr>
          <w:p w:rsidR="00BC239A" w:rsidRPr="001C2EBD" w:rsidRDefault="00BC239A" w:rsidP="00205A78">
            <w:pPr>
              <w:keepNext/>
              <w:suppressAutoHyphens/>
              <w:outlineLvl w:val="0"/>
              <w:rPr>
                <w:rFonts w:ascii="Arial" w:eastAsia="Calibri" w:hAnsi="Arial" w:cs="Arial"/>
                <w:sz w:val="20"/>
                <w:szCs w:val="20"/>
                <w:lang w:eastAsia="ar-SA"/>
              </w:rPr>
            </w:pPr>
            <w:r>
              <w:rPr>
                <w:rFonts w:ascii="Arial" w:eastAsia="Calibri" w:hAnsi="Arial" w:cs="Arial"/>
                <w:sz w:val="20"/>
                <w:szCs w:val="20"/>
                <w:lang w:eastAsia="ar-SA"/>
              </w:rPr>
              <w:t>Workers and general public: 1 in 1,000,000 per year</w:t>
            </w:r>
          </w:p>
        </w:tc>
        <w:tc>
          <w:tcPr>
            <w:tcW w:w="2254" w:type="dxa"/>
            <w:tcBorders>
              <w:bottom w:val="single" w:sz="4" w:space="0" w:color="auto"/>
            </w:tcBorders>
          </w:tcPr>
          <w:p w:rsidR="001C2EBD" w:rsidRPr="001C2EBD" w:rsidRDefault="001C2EBD" w:rsidP="00205A78">
            <w:pPr>
              <w:keepNext/>
              <w:suppressAutoHyphens/>
              <w:outlineLvl w:val="0"/>
              <w:rPr>
                <w:rFonts w:ascii="Arial" w:eastAsia="Calibri" w:hAnsi="Arial" w:cs="Arial"/>
                <w:sz w:val="20"/>
                <w:szCs w:val="20"/>
                <w:lang w:eastAsia="ar-SA"/>
              </w:rPr>
            </w:pPr>
          </w:p>
        </w:tc>
      </w:tr>
      <w:tr w:rsidR="00BC239A" w:rsidTr="00322BEF">
        <w:tc>
          <w:tcPr>
            <w:tcW w:w="9016" w:type="dxa"/>
            <w:gridSpan w:val="4"/>
          </w:tcPr>
          <w:p w:rsidR="00BC239A" w:rsidRPr="00BC239A" w:rsidRDefault="00BC239A" w:rsidP="00AF6A61">
            <w:pPr>
              <w:keepNext/>
              <w:suppressAutoHyphens/>
              <w:outlineLvl w:val="0"/>
              <w:rPr>
                <w:rFonts w:ascii="Arial" w:eastAsia="Calibri" w:hAnsi="Arial" w:cs="Arial"/>
                <w:sz w:val="18"/>
                <w:szCs w:val="18"/>
                <w:lang w:eastAsia="ar-SA"/>
              </w:rPr>
            </w:pPr>
            <w:r w:rsidRPr="00BC239A">
              <w:rPr>
                <w:rFonts w:ascii="Arial" w:eastAsia="Calibri" w:hAnsi="Arial" w:cs="Arial"/>
                <w:sz w:val="18"/>
                <w:szCs w:val="18"/>
                <w:lang w:eastAsia="ar-SA"/>
              </w:rPr>
              <w:t>Sources:</w:t>
            </w:r>
            <w:r>
              <w:rPr>
                <w:rFonts w:ascii="Arial" w:eastAsia="Calibri" w:hAnsi="Arial" w:cs="Arial"/>
                <w:sz w:val="18"/>
                <w:szCs w:val="18"/>
                <w:lang w:eastAsia="ar-SA"/>
              </w:rPr>
              <w:t xml:space="preserve"> HM Treasury, HSE</w:t>
            </w:r>
            <w:r w:rsidR="00AF6A61">
              <w:rPr>
                <w:rFonts w:ascii="Arial" w:eastAsia="Calibri" w:hAnsi="Arial" w:cs="Arial"/>
                <w:sz w:val="18"/>
                <w:szCs w:val="18"/>
                <w:lang w:eastAsia="ar-SA"/>
              </w:rPr>
              <w:t>.</w:t>
            </w:r>
            <w:r>
              <w:rPr>
                <w:rFonts w:ascii="Arial" w:eastAsia="Calibri" w:hAnsi="Arial" w:cs="Arial"/>
                <w:sz w:val="18"/>
                <w:szCs w:val="18"/>
                <w:lang w:eastAsia="ar-SA"/>
              </w:rPr>
              <w:t xml:space="preserve"> </w:t>
            </w:r>
          </w:p>
        </w:tc>
      </w:tr>
    </w:tbl>
    <w:p w:rsidR="001C2EBD" w:rsidRDefault="001C2EBD" w:rsidP="00205A78">
      <w:pPr>
        <w:keepNext/>
        <w:suppressAutoHyphens/>
        <w:spacing w:after="0" w:line="240" w:lineRule="auto"/>
        <w:outlineLvl w:val="0"/>
        <w:rPr>
          <w:rFonts w:ascii="Arial" w:eastAsia="Calibri" w:hAnsi="Arial" w:cs="Arial"/>
          <w:lang w:eastAsia="ar-SA"/>
        </w:rPr>
      </w:pPr>
    </w:p>
    <w:p w:rsidR="001C2EBD" w:rsidRDefault="001C2EBD" w:rsidP="00261D80">
      <w:pPr>
        <w:suppressAutoHyphens/>
        <w:spacing w:after="0" w:line="240" w:lineRule="auto"/>
        <w:outlineLvl w:val="0"/>
        <w:rPr>
          <w:rFonts w:ascii="Arial" w:eastAsia="Calibri" w:hAnsi="Arial" w:cs="Arial"/>
          <w:lang w:eastAsia="ar-SA"/>
        </w:rPr>
      </w:pPr>
    </w:p>
    <w:p w:rsidR="00483005" w:rsidRDefault="00BC239A"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According to the RIS, the probability of a fatality in a category NB2 vehicle ranges between 1 in 1,000,000 and 2 in 1,000,000.</w:t>
      </w:r>
      <w:r w:rsidR="007F2042">
        <w:rPr>
          <w:rFonts w:ascii="Arial" w:eastAsia="Calibri" w:hAnsi="Arial" w:cs="Arial"/>
          <w:lang w:eastAsia="ar-SA"/>
        </w:rPr>
        <w:t xml:space="preserve"> The probability of a serious injury is up to 40 in 1,000,000.</w:t>
      </w:r>
      <w:r w:rsidR="007F2042">
        <w:rPr>
          <w:rStyle w:val="FootnoteReference"/>
          <w:rFonts w:ascii="Arial" w:eastAsia="Calibri" w:hAnsi="Arial" w:cs="Arial"/>
          <w:lang w:eastAsia="ar-SA"/>
        </w:rPr>
        <w:footnoteReference w:id="21"/>
      </w:r>
      <w:r w:rsidR="007F2042">
        <w:rPr>
          <w:rFonts w:ascii="Arial" w:eastAsia="Calibri" w:hAnsi="Arial" w:cs="Arial"/>
          <w:lang w:eastAsia="ar-SA"/>
        </w:rPr>
        <w:t xml:space="preserve"> </w:t>
      </w:r>
    </w:p>
    <w:p w:rsidR="00483005" w:rsidRDefault="00483005" w:rsidP="00261D80">
      <w:pPr>
        <w:suppressAutoHyphens/>
        <w:spacing w:after="0" w:line="240" w:lineRule="auto"/>
        <w:outlineLvl w:val="0"/>
        <w:rPr>
          <w:rFonts w:ascii="Arial" w:eastAsia="Calibri" w:hAnsi="Arial" w:cs="Arial"/>
          <w:lang w:eastAsia="ar-SA"/>
        </w:rPr>
      </w:pPr>
    </w:p>
    <w:p w:rsidR="00BC239A" w:rsidRDefault="007F2042"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RIS notes, however, that the difference in crash risk between rigid trucks and semitrailers is more due to differences in </w:t>
      </w:r>
      <w:r w:rsidR="00491072">
        <w:rPr>
          <w:rFonts w:ascii="Arial" w:eastAsia="Calibri" w:hAnsi="Arial" w:cs="Arial"/>
          <w:lang w:eastAsia="ar-SA"/>
        </w:rPr>
        <w:t xml:space="preserve">the way these vehicles are used (for example, </w:t>
      </w:r>
      <w:r>
        <w:rPr>
          <w:rFonts w:ascii="Arial" w:eastAsia="Calibri" w:hAnsi="Arial" w:cs="Arial"/>
          <w:lang w:eastAsia="ar-SA"/>
        </w:rPr>
        <w:t>localised vs long distance transport) rather than their design characteristics.</w:t>
      </w:r>
      <w:r>
        <w:rPr>
          <w:rStyle w:val="FootnoteReference"/>
          <w:rFonts w:ascii="Arial" w:eastAsia="Calibri" w:hAnsi="Arial" w:cs="Arial"/>
          <w:lang w:eastAsia="ar-SA"/>
        </w:rPr>
        <w:footnoteReference w:id="22"/>
      </w:r>
    </w:p>
    <w:p w:rsidR="001C2EBD" w:rsidRDefault="001C2EBD" w:rsidP="00261D80">
      <w:pPr>
        <w:suppressAutoHyphens/>
        <w:spacing w:after="0" w:line="240" w:lineRule="auto"/>
        <w:outlineLvl w:val="0"/>
        <w:rPr>
          <w:rFonts w:ascii="Arial" w:eastAsia="Calibri" w:hAnsi="Arial" w:cs="Arial"/>
          <w:lang w:eastAsia="ar-SA"/>
        </w:rPr>
      </w:pPr>
    </w:p>
    <w:p w:rsidR="00491072" w:rsidRDefault="00491072"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There is also no doubt that some classes of rigid trucks are far more </w:t>
      </w:r>
      <w:r w:rsidR="00483005">
        <w:rPr>
          <w:rFonts w:ascii="Arial" w:eastAsia="Calibri" w:hAnsi="Arial" w:cs="Arial"/>
          <w:lang w:eastAsia="ar-SA"/>
        </w:rPr>
        <w:t xml:space="preserve">likely to </w:t>
      </w:r>
      <w:r>
        <w:rPr>
          <w:rFonts w:ascii="Arial" w:eastAsia="Calibri" w:hAnsi="Arial" w:cs="Arial"/>
          <w:lang w:eastAsia="ar-SA"/>
        </w:rPr>
        <w:t>roll</w:t>
      </w:r>
      <w:r w:rsidR="00483005">
        <w:rPr>
          <w:rFonts w:ascii="Arial" w:eastAsia="Calibri" w:hAnsi="Arial" w:cs="Arial"/>
          <w:lang w:eastAsia="ar-SA"/>
        </w:rPr>
        <w:t xml:space="preserve"> over</w:t>
      </w:r>
      <w:r>
        <w:rPr>
          <w:rFonts w:ascii="Arial" w:eastAsia="Calibri" w:hAnsi="Arial" w:cs="Arial"/>
          <w:lang w:eastAsia="ar-SA"/>
        </w:rPr>
        <w:t xml:space="preserve"> than these </w:t>
      </w:r>
      <w:r w:rsidR="00483005">
        <w:rPr>
          <w:rFonts w:ascii="Arial" w:eastAsia="Calibri" w:hAnsi="Arial" w:cs="Arial"/>
          <w:lang w:eastAsia="ar-SA"/>
        </w:rPr>
        <w:t xml:space="preserve">probabilities </w:t>
      </w:r>
      <w:r>
        <w:rPr>
          <w:rFonts w:ascii="Arial" w:eastAsia="Calibri" w:hAnsi="Arial" w:cs="Arial"/>
          <w:lang w:eastAsia="ar-SA"/>
        </w:rPr>
        <w:t>suggest. For example, the industry consid</w:t>
      </w:r>
      <w:r w:rsidR="00483005">
        <w:rPr>
          <w:rFonts w:ascii="Arial" w:eastAsia="Calibri" w:hAnsi="Arial" w:cs="Arial"/>
          <w:lang w:eastAsia="ar-SA"/>
        </w:rPr>
        <w:t xml:space="preserve">ers that cement agitators are </w:t>
      </w:r>
      <w:r w:rsidR="001B0542">
        <w:rPr>
          <w:rFonts w:ascii="Arial" w:eastAsia="Calibri" w:hAnsi="Arial" w:cs="Arial"/>
          <w:lang w:eastAsia="ar-SA"/>
        </w:rPr>
        <w:t xml:space="preserve">far more likely </w:t>
      </w:r>
      <w:r w:rsidR="00AC6A3D">
        <w:rPr>
          <w:rFonts w:ascii="Arial" w:eastAsia="Calibri" w:hAnsi="Arial" w:cs="Arial"/>
          <w:lang w:eastAsia="ar-SA"/>
        </w:rPr>
        <w:t>to rollover than semitrailers. And a</w:t>
      </w:r>
      <w:r w:rsidR="001B0542">
        <w:rPr>
          <w:rFonts w:ascii="Arial" w:eastAsia="Calibri" w:hAnsi="Arial" w:cs="Arial"/>
          <w:lang w:eastAsia="ar-SA"/>
        </w:rPr>
        <w:t>s one operator told the ATA:</w:t>
      </w:r>
    </w:p>
    <w:p w:rsidR="001B0542" w:rsidRDefault="001B0542" w:rsidP="00261D80">
      <w:pPr>
        <w:suppressAutoHyphens/>
        <w:spacing w:after="0" w:line="240" w:lineRule="auto"/>
        <w:outlineLvl w:val="0"/>
        <w:rPr>
          <w:rFonts w:ascii="Arial" w:eastAsia="Calibri" w:hAnsi="Arial" w:cs="Arial"/>
          <w:lang w:eastAsia="ar-SA"/>
        </w:rPr>
      </w:pPr>
    </w:p>
    <w:p w:rsidR="001B0542" w:rsidRDefault="001B0542" w:rsidP="00261D80">
      <w:pPr>
        <w:suppressAutoHyphens/>
        <w:spacing w:after="0" w:line="240" w:lineRule="auto"/>
        <w:outlineLvl w:val="0"/>
        <w:rPr>
          <w:rFonts w:ascii="Arial" w:eastAsia="Calibri" w:hAnsi="Arial" w:cs="Arial"/>
          <w:lang w:eastAsia="ar-SA"/>
        </w:rPr>
      </w:pPr>
    </w:p>
    <w:p w:rsidR="001B0542" w:rsidRPr="001B0542" w:rsidRDefault="001B0542" w:rsidP="001B0542">
      <w:pPr>
        <w:suppressAutoHyphens/>
        <w:spacing w:after="0" w:line="240" w:lineRule="auto"/>
        <w:ind w:left="1134" w:right="1134"/>
        <w:outlineLvl w:val="0"/>
        <w:rPr>
          <w:rFonts w:ascii="Arial" w:eastAsia="Calibri" w:hAnsi="Arial" w:cs="Arial"/>
          <w:sz w:val="20"/>
          <w:szCs w:val="20"/>
          <w:lang w:eastAsia="ar-SA"/>
        </w:rPr>
      </w:pPr>
      <w:r w:rsidRPr="001B0542">
        <w:rPr>
          <w:rFonts w:ascii="Arial" w:eastAsia="Calibri" w:hAnsi="Arial" w:cs="Arial"/>
          <w:sz w:val="20"/>
          <w:szCs w:val="20"/>
          <w:lang w:eastAsia="ar-SA"/>
        </w:rPr>
        <w:t>If we had to make a choice of fitting the system to just one vehicle type, it would definitely be our rigid trucks first.</w:t>
      </w:r>
    </w:p>
    <w:p w:rsidR="00491072" w:rsidRDefault="00491072" w:rsidP="00261D80">
      <w:pPr>
        <w:suppressAutoHyphens/>
        <w:spacing w:after="0" w:line="240" w:lineRule="auto"/>
        <w:outlineLvl w:val="0"/>
        <w:rPr>
          <w:rFonts w:ascii="Arial" w:eastAsia="Calibri" w:hAnsi="Arial" w:cs="Arial"/>
          <w:lang w:eastAsia="ar-SA"/>
        </w:rPr>
      </w:pPr>
    </w:p>
    <w:p w:rsidR="00AC6A3D" w:rsidRDefault="00AC6A3D" w:rsidP="00261D80">
      <w:pPr>
        <w:suppressAutoHyphens/>
        <w:spacing w:after="0" w:line="240" w:lineRule="auto"/>
        <w:outlineLvl w:val="0"/>
        <w:rPr>
          <w:rFonts w:ascii="Arial" w:eastAsia="Calibri" w:hAnsi="Arial" w:cs="Arial"/>
          <w:lang w:eastAsia="ar-SA"/>
        </w:rPr>
      </w:pPr>
    </w:p>
    <w:p w:rsidR="00BC239A" w:rsidRDefault="00483005"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In short, the </w:t>
      </w:r>
      <w:r w:rsidR="00491072">
        <w:rPr>
          <w:rFonts w:ascii="Arial" w:eastAsia="Calibri" w:hAnsi="Arial" w:cs="Arial"/>
          <w:lang w:eastAsia="ar-SA"/>
        </w:rPr>
        <w:t>UK Treasury</w:t>
      </w:r>
      <w:r>
        <w:rPr>
          <w:rFonts w:ascii="Arial" w:eastAsia="Calibri" w:hAnsi="Arial" w:cs="Arial"/>
          <w:lang w:eastAsia="ar-SA"/>
        </w:rPr>
        <w:t xml:space="preserve"> </w:t>
      </w:r>
      <w:r w:rsidR="00BA60C8">
        <w:rPr>
          <w:rFonts w:ascii="Arial" w:eastAsia="Calibri" w:hAnsi="Arial" w:cs="Arial"/>
          <w:lang w:eastAsia="ar-SA"/>
        </w:rPr>
        <w:t>framework would suggest that the</w:t>
      </w:r>
      <w:r>
        <w:rPr>
          <w:rFonts w:ascii="Arial" w:eastAsia="Calibri" w:hAnsi="Arial" w:cs="Arial"/>
          <w:lang w:eastAsia="ar-SA"/>
        </w:rPr>
        <w:t xml:space="preserve"> risk of a rollover/loss of control crash involving a rigid truck or </w:t>
      </w:r>
      <w:r w:rsidR="00AC6A3D">
        <w:rPr>
          <w:rFonts w:ascii="Arial" w:eastAsia="Calibri" w:hAnsi="Arial" w:cs="Arial"/>
          <w:lang w:eastAsia="ar-SA"/>
        </w:rPr>
        <w:t xml:space="preserve">&lt;12t </w:t>
      </w:r>
      <w:r>
        <w:rPr>
          <w:rFonts w:ascii="Arial" w:eastAsia="Calibri" w:hAnsi="Arial" w:cs="Arial"/>
          <w:lang w:eastAsia="ar-SA"/>
        </w:rPr>
        <w:t xml:space="preserve">semitrailer is sufficiently high </w:t>
      </w:r>
      <w:r w:rsidR="00BC239A">
        <w:rPr>
          <w:rFonts w:ascii="Arial" w:eastAsia="Calibri" w:hAnsi="Arial" w:cs="Arial"/>
          <w:lang w:eastAsia="ar-SA"/>
        </w:rPr>
        <w:t xml:space="preserve">to </w:t>
      </w:r>
      <w:r>
        <w:rPr>
          <w:rFonts w:ascii="Arial" w:eastAsia="Calibri" w:hAnsi="Arial" w:cs="Arial"/>
          <w:lang w:eastAsia="ar-SA"/>
        </w:rPr>
        <w:t>warrant control measures to reduce it so far as is reasonably practicable.</w:t>
      </w:r>
      <w:r w:rsidR="00BC239A">
        <w:rPr>
          <w:rFonts w:ascii="Arial" w:eastAsia="Calibri" w:hAnsi="Arial" w:cs="Arial"/>
          <w:lang w:eastAsia="ar-SA"/>
        </w:rPr>
        <w:t xml:space="preserve"> </w:t>
      </w:r>
      <w:r>
        <w:rPr>
          <w:rFonts w:ascii="Arial" w:eastAsia="Calibri" w:hAnsi="Arial" w:cs="Arial"/>
          <w:lang w:eastAsia="ar-SA"/>
        </w:rPr>
        <w:t>Option 6a would achieve this aim at a reasonable cost.</w:t>
      </w:r>
    </w:p>
    <w:p w:rsidR="00BC239A" w:rsidRDefault="00BC239A" w:rsidP="00261D80">
      <w:pPr>
        <w:suppressAutoHyphens/>
        <w:spacing w:after="0" w:line="240" w:lineRule="auto"/>
        <w:outlineLvl w:val="0"/>
        <w:rPr>
          <w:rFonts w:ascii="Arial" w:eastAsia="Calibri" w:hAnsi="Arial" w:cs="Arial"/>
          <w:lang w:eastAsia="ar-SA"/>
        </w:rPr>
      </w:pPr>
    </w:p>
    <w:p w:rsidR="00EE7D1B" w:rsidRDefault="00EE7D1B" w:rsidP="00261D80">
      <w:pPr>
        <w:suppressAutoHyphens/>
        <w:spacing w:after="0" w:line="240" w:lineRule="auto"/>
        <w:outlineLvl w:val="0"/>
        <w:rPr>
          <w:rFonts w:ascii="Arial" w:eastAsia="Calibri" w:hAnsi="Arial" w:cs="Arial"/>
          <w:lang w:eastAsia="ar-SA"/>
        </w:rPr>
      </w:pPr>
    </w:p>
    <w:p w:rsidR="00EE7D1B" w:rsidRPr="00EE7D1B" w:rsidRDefault="00EE7D1B" w:rsidP="00F003E4">
      <w:pPr>
        <w:keepNext/>
        <w:suppressAutoHyphens/>
        <w:spacing w:after="0" w:line="240" w:lineRule="auto"/>
        <w:outlineLvl w:val="0"/>
        <w:rPr>
          <w:rFonts w:ascii="Arial" w:eastAsia="Calibri" w:hAnsi="Arial" w:cs="Arial"/>
          <w:b/>
          <w:lang w:eastAsia="ar-SA"/>
        </w:rPr>
      </w:pPr>
      <w:r w:rsidRPr="00EE7D1B">
        <w:rPr>
          <w:rFonts w:ascii="Arial" w:eastAsia="Calibri" w:hAnsi="Arial" w:cs="Arial"/>
          <w:b/>
          <w:lang w:eastAsia="ar-SA"/>
        </w:rPr>
        <w:t xml:space="preserve">Option 6a would </w:t>
      </w:r>
      <w:r w:rsidR="009C450F">
        <w:rPr>
          <w:rFonts w:ascii="Arial" w:eastAsia="Calibri" w:hAnsi="Arial" w:cs="Arial"/>
          <w:b/>
          <w:lang w:eastAsia="ar-SA"/>
        </w:rPr>
        <w:t>deliver consistent braking for inexperienced drivers</w:t>
      </w:r>
    </w:p>
    <w:p w:rsidR="00BA0E63" w:rsidRDefault="00BA0E63" w:rsidP="00F003E4">
      <w:pPr>
        <w:keepNext/>
        <w:suppressAutoHyphens/>
        <w:spacing w:after="0" w:line="240" w:lineRule="auto"/>
        <w:outlineLvl w:val="0"/>
        <w:rPr>
          <w:rFonts w:ascii="Arial" w:eastAsia="Calibri" w:hAnsi="Arial" w:cs="Arial"/>
          <w:lang w:eastAsia="ar-SA"/>
        </w:rPr>
      </w:pPr>
    </w:p>
    <w:p w:rsidR="008502ED" w:rsidRDefault="009C450F"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ESC has been mandatory</w:t>
      </w:r>
      <w:r w:rsidR="00742D39">
        <w:rPr>
          <w:rFonts w:ascii="Arial" w:eastAsia="Calibri" w:hAnsi="Arial" w:cs="Arial"/>
          <w:lang w:eastAsia="ar-SA"/>
        </w:rPr>
        <w:t xml:space="preserve"> for new passenger cars since 2012.</w:t>
      </w:r>
      <w:r>
        <w:rPr>
          <w:rFonts w:ascii="Arial" w:eastAsia="Calibri" w:hAnsi="Arial" w:cs="Arial"/>
          <w:lang w:eastAsia="ar-SA"/>
        </w:rPr>
        <w:t xml:space="preserve"> </w:t>
      </w:r>
      <w:r w:rsidR="00927513">
        <w:rPr>
          <w:rFonts w:ascii="Arial" w:eastAsia="Calibri" w:hAnsi="Arial" w:cs="Arial"/>
          <w:lang w:eastAsia="ar-SA"/>
        </w:rPr>
        <w:t xml:space="preserve">As a result, recent school leavers who decide to seek jobs in the trucking industry may have </w:t>
      </w:r>
      <w:r w:rsidR="00742D39">
        <w:rPr>
          <w:rFonts w:ascii="Arial" w:eastAsia="Calibri" w:hAnsi="Arial" w:cs="Arial"/>
          <w:lang w:eastAsia="ar-SA"/>
        </w:rPr>
        <w:t>always driven vehicles with ESC.</w:t>
      </w:r>
    </w:p>
    <w:p w:rsidR="00FF42A0" w:rsidRDefault="00FF42A0" w:rsidP="00261D80">
      <w:pPr>
        <w:suppressAutoHyphens/>
        <w:spacing w:after="0" w:line="240" w:lineRule="auto"/>
        <w:outlineLvl w:val="0"/>
        <w:rPr>
          <w:rFonts w:ascii="Arial" w:eastAsia="Calibri" w:hAnsi="Arial" w:cs="Arial"/>
          <w:lang w:eastAsia="ar-SA"/>
        </w:rPr>
      </w:pPr>
    </w:p>
    <w:p w:rsidR="00927513" w:rsidRDefault="003C47FF"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In transitioning to their first industry jobs, these drivers would typically start out driving light or medium rigid trucks. Under option 6c, new rigid trucks like these would not need to be fitted with ESC.</w:t>
      </w:r>
      <w:r w:rsidR="00927513">
        <w:rPr>
          <w:rFonts w:ascii="Arial" w:eastAsia="Calibri" w:hAnsi="Arial" w:cs="Arial"/>
          <w:lang w:eastAsia="ar-SA"/>
        </w:rPr>
        <w:t xml:space="preserve"> </w:t>
      </w:r>
    </w:p>
    <w:p w:rsidR="00927513" w:rsidRDefault="00927513" w:rsidP="00261D80">
      <w:pPr>
        <w:suppressAutoHyphens/>
        <w:spacing w:after="0" w:line="240" w:lineRule="auto"/>
        <w:outlineLvl w:val="0"/>
        <w:rPr>
          <w:rFonts w:ascii="Arial" w:eastAsia="Calibri" w:hAnsi="Arial" w:cs="Arial"/>
          <w:lang w:eastAsia="ar-SA"/>
        </w:rPr>
      </w:pPr>
    </w:p>
    <w:p w:rsidR="00996EF2" w:rsidRDefault="003C47FF"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ATA members with extensive training expertise are concerned that inexperienced drivers transitioning from cars with ESC to trucks without ESC will have higher than anticipated crash rate</w:t>
      </w:r>
      <w:r w:rsidR="00996EF2">
        <w:rPr>
          <w:rFonts w:ascii="Arial" w:eastAsia="Calibri" w:hAnsi="Arial" w:cs="Arial"/>
          <w:lang w:eastAsia="ar-SA"/>
        </w:rPr>
        <w:t>s</w:t>
      </w:r>
      <w:r>
        <w:rPr>
          <w:rFonts w:ascii="Arial" w:eastAsia="Calibri" w:hAnsi="Arial" w:cs="Arial"/>
          <w:lang w:eastAsia="ar-SA"/>
        </w:rPr>
        <w:t xml:space="preserve">. </w:t>
      </w:r>
    </w:p>
    <w:p w:rsidR="00996EF2" w:rsidRDefault="00996EF2" w:rsidP="00261D80">
      <w:pPr>
        <w:suppressAutoHyphens/>
        <w:spacing w:after="0" w:line="240" w:lineRule="auto"/>
        <w:outlineLvl w:val="0"/>
        <w:rPr>
          <w:rFonts w:ascii="Arial" w:eastAsia="Calibri" w:hAnsi="Arial" w:cs="Arial"/>
          <w:lang w:eastAsia="ar-SA"/>
        </w:rPr>
      </w:pPr>
    </w:p>
    <w:p w:rsidR="00CA4FE3" w:rsidRPr="00CA4FE3" w:rsidRDefault="00CA4FE3" w:rsidP="00CA4FE3">
      <w:pPr>
        <w:spacing w:after="0"/>
        <w:rPr>
          <w:rFonts w:ascii="Arial" w:eastAsia="Calibri" w:hAnsi="Arial" w:cs="Arial"/>
          <w:lang w:eastAsia="ar-SA"/>
        </w:rPr>
      </w:pPr>
      <w:r w:rsidRPr="00CA4FE3">
        <w:rPr>
          <w:rFonts w:ascii="Arial" w:eastAsia="Calibri" w:hAnsi="Arial" w:cs="Arial"/>
          <w:lang w:eastAsia="ar-SA"/>
        </w:rPr>
        <w:t xml:space="preserve">Although there are many excellent driver trainers, including ATA member DECA Training, there is no empirical evidence that suggests current driver training programs are effective in reducing fatality or serious injury rates following a loss of control event. </w:t>
      </w:r>
    </w:p>
    <w:p w:rsidR="005160E3" w:rsidRDefault="005160E3" w:rsidP="00CA4FE3">
      <w:pPr>
        <w:suppressAutoHyphens/>
        <w:spacing w:after="0" w:line="240" w:lineRule="auto"/>
        <w:outlineLvl w:val="0"/>
        <w:rPr>
          <w:rFonts w:ascii="Arial" w:eastAsia="Calibri" w:hAnsi="Arial" w:cs="Arial"/>
          <w:lang w:eastAsia="ar-SA"/>
        </w:rPr>
      </w:pPr>
    </w:p>
    <w:p w:rsidR="00FF42A0" w:rsidRDefault="005160E3" w:rsidP="00CA4FE3">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Option 6a would address this issue by ensuring that a greater number of rigid trucks would have ESC </w:t>
      </w:r>
      <w:r w:rsidR="00E027BF">
        <w:rPr>
          <w:rFonts w:ascii="Arial" w:eastAsia="Calibri" w:hAnsi="Arial" w:cs="Arial"/>
          <w:lang w:eastAsia="ar-SA"/>
        </w:rPr>
        <w:t>over time</w:t>
      </w:r>
      <w:r>
        <w:rPr>
          <w:rFonts w:ascii="Arial" w:eastAsia="Calibri" w:hAnsi="Arial" w:cs="Arial"/>
          <w:lang w:eastAsia="ar-SA"/>
        </w:rPr>
        <w:t>.</w:t>
      </w:r>
    </w:p>
    <w:p w:rsidR="00EE7D1B" w:rsidRDefault="00EE7D1B" w:rsidP="00261D80">
      <w:pPr>
        <w:suppressAutoHyphens/>
        <w:spacing w:after="0" w:line="240" w:lineRule="auto"/>
        <w:outlineLvl w:val="0"/>
        <w:rPr>
          <w:rFonts w:ascii="Arial" w:eastAsia="Calibri" w:hAnsi="Arial" w:cs="Arial"/>
          <w:lang w:eastAsia="ar-SA"/>
        </w:rPr>
      </w:pPr>
    </w:p>
    <w:p w:rsidR="00BA0E63" w:rsidRDefault="00BA0E63" w:rsidP="00BA0E63">
      <w:pPr>
        <w:suppressAutoHyphens/>
        <w:spacing w:after="0" w:line="240" w:lineRule="auto"/>
        <w:outlineLvl w:val="0"/>
        <w:rPr>
          <w:rFonts w:ascii="Arial" w:eastAsia="Calibri" w:hAnsi="Arial" w:cs="Arial"/>
          <w:lang w:eastAsia="ar-SA"/>
        </w:rPr>
      </w:pPr>
    </w:p>
    <w:p w:rsidR="00BA0E63" w:rsidRPr="000A2269" w:rsidRDefault="00615FD1" w:rsidP="00BA0E63">
      <w:pPr>
        <w:suppressAutoHyphens/>
        <w:spacing w:after="0" w:line="240" w:lineRule="auto"/>
        <w:outlineLvl w:val="0"/>
        <w:rPr>
          <w:rFonts w:ascii="Arial" w:eastAsia="Calibri" w:hAnsi="Arial" w:cs="Arial"/>
          <w:b/>
          <w:lang w:eastAsia="ar-SA"/>
        </w:rPr>
      </w:pPr>
      <w:r>
        <w:rPr>
          <w:rFonts w:ascii="Arial" w:eastAsia="Calibri" w:hAnsi="Arial" w:cs="Arial"/>
          <w:b/>
          <w:lang w:eastAsia="ar-SA"/>
        </w:rPr>
        <w:t>Comparing the net economic benefits of option 6a and 6c</w:t>
      </w:r>
    </w:p>
    <w:p w:rsidR="000A2269" w:rsidRDefault="000A2269" w:rsidP="000A2269">
      <w:pPr>
        <w:suppressAutoHyphens/>
        <w:spacing w:after="0" w:line="240" w:lineRule="auto"/>
        <w:outlineLvl w:val="0"/>
        <w:rPr>
          <w:rFonts w:ascii="Arial" w:eastAsia="Calibri" w:hAnsi="Arial" w:cs="Arial"/>
          <w:lang w:eastAsia="ar-SA"/>
        </w:rPr>
      </w:pPr>
    </w:p>
    <w:p w:rsidR="00322BEF" w:rsidRDefault="00322BEF" w:rsidP="000A2269">
      <w:pPr>
        <w:suppressAutoHyphens/>
        <w:spacing w:after="0" w:line="240" w:lineRule="auto"/>
        <w:outlineLvl w:val="0"/>
        <w:rPr>
          <w:rFonts w:ascii="Arial" w:eastAsia="Calibri" w:hAnsi="Arial" w:cs="Arial"/>
          <w:lang w:eastAsia="ar-SA"/>
        </w:rPr>
      </w:pPr>
      <w:r>
        <w:rPr>
          <w:rFonts w:ascii="Arial" w:eastAsia="Calibri" w:hAnsi="Arial" w:cs="Arial"/>
          <w:lang w:eastAsia="ar-SA"/>
        </w:rPr>
        <w:t>It is true that o</w:t>
      </w:r>
      <w:r w:rsidRPr="00322BEF">
        <w:rPr>
          <w:rFonts w:ascii="Arial" w:eastAsia="Calibri" w:hAnsi="Arial" w:cs="Arial"/>
          <w:lang w:eastAsia="ar-SA"/>
        </w:rPr>
        <w:t xml:space="preserve">ption 6a would deliver a smaller </w:t>
      </w:r>
      <w:r>
        <w:rPr>
          <w:rFonts w:ascii="Arial" w:eastAsia="Calibri" w:hAnsi="Arial" w:cs="Arial"/>
          <w:lang w:eastAsia="ar-SA"/>
        </w:rPr>
        <w:t xml:space="preserve">forecast </w:t>
      </w:r>
      <w:r w:rsidRPr="00322BEF">
        <w:rPr>
          <w:rFonts w:ascii="Arial" w:eastAsia="Calibri" w:hAnsi="Arial" w:cs="Arial"/>
          <w:lang w:eastAsia="ar-SA"/>
        </w:rPr>
        <w:t xml:space="preserve">net economic benefit than option 6c. </w:t>
      </w:r>
    </w:p>
    <w:p w:rsidR="00322BEF" w:rsidRDefault="00322BEF" w:rsidP="000A2269">
      <w:pPr>
        <w:suppressAutoHyphens/>
        <w:spacing w:after="0" w:line="240" w:lineRule="auto"/>
        <w:outlineLvl w:val="0"/>
        <w:rPr>
          <w:rFonts w:ascii="Arial" w:eastAsia="Calibri" w:hAnsi="Arial" w:cs="Arial"/>
          <w:lang w:eastAsia="ar-SA"/>
        </w:rPr>
      </w:pPr>
    </w:p>
    <w:p w:rsidR="00FE388C" w:rsidRDefault="00FE388C" w:rsidP="00FE388C">
      <w:pPr>
        <w:suppressAutoHyphens/>
        <w:spacing w:after="0" w:line="240" w:lineRule="auto"/>
        <w:outlineLvl w:val="0"/>
        <w:rPr>
          <w:rFonts w:ascii="Arial" w:eastAsia="Calibri" w:hAnsi="Arial" w:cs="Arial"/>
          <w:lang w:eastAsia="ar-SA"/>
        </w:rPr>
      </w:pPr>
      <w:r>
        <w:rPr>
          <w:rFonts w:ascii="Arial" w:eastAsia="Calibri" w:hAnsi="Arial" w:cs="Arial"/>
          <w:lang w:eastAsia="ar-SA"/>
        </w:rPr>
        <w:t>T</w:t>
      </w:r>
      <w:r w:rsidR="00322BEF" w:rsidRPr="00322BEF">
        <w:rPr>
          <w:rFonts w:ascii="Arial" w:eastAsia="Calibri" w:hAnsi="Arial" w:cs="Arial"/>
          <w:lang w:eastAsia="ar-SA"/>
        </w:rPr>
        <w:t xml:space="preserve">he BCR for the option would </w:t>
      </w:r>
      <w:r w:rsidR="00322BEF">
        <w:rPr>
          <w:rFonts w:ascii="Arial" w:eastAsia="Calibri" w:hAnsi="Arial" w:cs="Arial"/>
          <w:lang w:eastAsia="ar-SA"/>
        </w:rPr>
        <w:t xml:space="preserve">still </w:t>
      </w:r>
      <w:r w:rsidR="00322BEF" w:rsidRPr="00322BEF">
        <w:rPr>
          <w:rFonts w:ascii="Arial" w:eastAsia="Calibri" w:hAnsi="Arial" w:cs="Arial"/>
          <w:lang w:eastAsia="ar-SA"/>
        </w:rPr>
        <w:t xml:space="preserve">be </w:t>
      </w:r>
      <w:r w:rsidR="00996EF2">
        <w:rPr>
          <w:rFonts w:ascii="Arial" w:eastAsia="Calibri" w:hAnsi="Arial" w:cs="Arial"/>
          <w:lang w:eastAsia="ar-SA"/>
        </w:rPr>
        <w:t xml:space="preserve">in line </w:t>
      </w:r>
      <w:r w:rsidR="00322BEF" w:rsidRPr="00322BEF">
        <w:rPr>
          <w:rFonts w:ascii="Arial" w:eastAsia="Calibri" w:hAnsi="Arial" w:cs="Arial"/>
          <w:lang w:eastAsia="ar-SA"/>
        </w:rPr>
        <w:t xml:space="preserve">with the BCRs for other </w:t>
      </w:r>
      <w:r>
        <w:rPr>
          <w:rFonts w:ascii="Arial" w:eastAsia="Calibri" w:hAnsi="Arial" w:cs="Arial"/>
          <w:lang w:eastAsia="ar-SA"/>
        </w:rPr>
        <w:t xml:space="preserve">approved </w:t>
      </w:r>
      <w:r w:rsidR="00322BEF" w:rsidRPr="00322BEF">
        <w:rPr>
          <w:rFonts w:ascii="Arial" w:eastAsia="Calibri" w:hAnsi="Arial" w:cs="Arial"/>
          <w:lang w:eastAsia="ar-SA"/>
        </w:rPr>
        <w:t xml:space="preserve">road safety </w:t>
      </w:r>
      <w:r>
        <w:rPr>
          <w:rFonts w:ascii="Arial" w:eastAsia="Calibri" w:hAnsi="Arial" w:cs="Arial"/>
          <w:lang w:eastAsia="ar-SA"/>
        </w:rPr>
        <w:t>measures</w:t>
      </w:r>
      <w:r w:rsidR="00322BEF" w:rsidRPr="00322BEF">
        <w:rPr>
          <w:rFonts w:ascii="Arial" w:eastAsia="Calibri" w:hAnsi="Arial" w:cs="Arial"/>
          <w:lang w:eastAsia="ar-SA"/>
        </w:rPr>
        <w:t xml:space="preserve">. </w:t>
      </w:r>
    </w:p>
    <w:p w:rsidR="00322BEF" w:rsidRDefault="00322BEF" w:rsidP="000A2269">
      <w:pPr>
        <w:suppressAutoHyphens/>
        <w:spacing w:after="0" w:line="240" w:lineRule="auto"/>
        <w:outlineLvl w:val="0"/>
        <w:rPr>
          <w:rFonts w:ascii="Arial" w:eastAsia="Calibri" w:hAnsi="Arial" w:cs="Arial"/>
          <w:lang w:eastAsia="ar-SA"/>
        </w:rPr>
      </w:pPr>
    </w:p>
    <w:p w:rsidR="00322BEF" w:rsidRDefault="00322BEF" w:rsidP="000A2269">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As the table </w:t>
      </w:r>
      <w:r w:rsidR="00AC6A3D">
        <w:rPr>
          <w:rFonts w:ascii="Arial" w:eastAsia="Calibri" w:hAnsi="Arial" w:cs="Arial"/>
          <w:lang w:eastAsia="ar-SA"/>
        </w:rPr>
        <w:t>6</w:t>
      </w:r>
      <w:r w:rsidR="00FE388C">
        <w:rPr>
          <w:rFonts w:ascii="Arial" w:eastAsia="Calibri" w:hAnsi="Arial" w:cs="Arial"/>
          <w:lang w:eastAsia="ar-SA"/>
        </w:rPr>
        <w:t xml:space="preserve"> </w:t>
      </w:r>
      <w:r>
        <w:rPr>
          <w:rFonts w:ascii="Arial" w:eastAsia="Calibri" w:hAnsi="Arial" w:cs="Arial"/>
          <w:lang w:eastAsia="ar-SA"/>
        </w:rPr>
        <w:t xml:space="preserve">shows, option 6a would </w:t>
      </w:r>
      <w:r w:rsidR="00AC6A3D">
        <w:rPr>
          <w:rFonts w:ascii="Arial" w:eastAsia="Calibri" w:hAnsi="Arial" w:cs="Arial"/>
          <w:lang w:eastAsia="ar-SA"/>
        </w:rPr>
        <w:t>return a BCR of 1.99, or 2.24 if willingness to pay values for avoiding serious injuries are used.</w:t>
      </w:r>
      <w:r>
        <w:rPr>
          <w:rFonts w:ascii="Arial" w:eastAsia="Calibri" w:hAnsi="Arial" w:cs="Arial"/>
          <w:lang w:eastAsia="ar-SA"/>
        </w:rPr>
        <w:t xml:space="preserve"> </w:t>
      </w:r>
      <w:r w:rsidR="00AC6A3D">
        <w:rPr>
          <w:rFonts w:ascii="Arial" w:eastAsia="Calibri" w:hAnsi="Arial" w:cs="Arial"/>
          <w:lang w:eastAsia="ar-SA"/>
        </w:rPr>
        <w:t>The table should be used cautiously, because the values used in the benefit-cost analyses have changed over time. Nonetheless, the table highlights that the BCR for option 6a falls well within the acceptable range.</w:t>
      </w:r>
    </w:p>
    <w:p w:rsidR="00322BEF" w:rsidRDefault="00322BEF" w:rsidP="000A2269">
      <w:pPr>
        <w:suppressAutoHyphens/>
        <w:spacing w:after="0" w:line="240" w:lineRule="auto"/>
        <w:outlineLvl w:val="0"/>
        <w:rPr>
          <w:rFonts w:ascii="Arial" w:eastAsia="Calibri" w:hAnsi="Arial" w:cs="Arial"/>
          <w:lang w:eastAsia="ar-SA"/>
        </w:rPr>
      </w:pPr>
    </w:p>
    <w:p w:rsidR="00322BEF" w:rsidRDefault="00322BEF" w:rsidP="000A2269">
      <w:pPr>
        <w:suppressAutoHyphens/>
        <w:spacing w:after="0" w:line="240" w:lineRule="auto"/>
        <w:outlineLvl w:val="0"/>
        <w:rPr>
          <w:rFonts w:ascii="Arial" w:eastAsia="Calibri" w:hAnsi="Arial" w:cs="Arial"/>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701"/>
        <w:gridCol w:w="1508"/>
      </w:tblGrid>
      <w:tr w:rsidR="00322BEF" w:rsidRPr="00322BEF" w:rsidTr="00322BEF">
        <w:tc>
          <w:tcPr>
            <w:tcW w:w="9016" w:type="dxa"/>
            <w:gridSpan w:val="3"/>
            <w:tcBorders>
              <w:bottom w:val="single" w:sz="4" w:space="0" w:color="auto"/>
            </w:tcBorders>
            <w:tcMar>
              <w:bottom w:w="113" w:type="dxa"/>
            </w:tcMar>
          </w:tcPr>
          <w:p w:rsidR="00322BEF" w:rsidRPr="00322BEF" w:rsidRDefault="00F003E4" w:rsidP="00AF6A61">
            <w:pPr>
              <w:suppressAutoHyphens/>
              <w:outlineLvl w:val="0"/>
              <w:rPr>
                <w:rFonts w:ascii="Arial" w:eastAsia="Calibri" w:hAnsi="Arial" w:cs="Arial"/>
                <w:b/>
                <w:sz w:val="20"/>
                <w:szCs w:val="20"/>
                <w:lang w:eastAsia="ar-SA"/>
              </w:rPr>
            </w:pPr>
            <w:r>
              <w:rPr>
                <w:rFonts w:ascii="Arial" w:eastAsia="Calibri" w:hAnsi="Arial" w:cs="Arial"/>
                <w:b/>
                <w:sz w:val="20"/>
                <w:szCs w:val="20"/>
                <w:lang w:eastAsia="ar-SA"/>
              </w:rPr>
              <w:t>Table 6</w:t>
            </w:r>
            <w:r w:rsidR="00322BEF" w:rsidRPr="00322BEF">
              <w:rPr>
                <w:rFonts w:ascii="Arial" w:eastAsia="Calibri" w:hAnsi="Arial" w:cs="Arial"/>
                <w:b/>
                <w:sz w:val="20"/>
                <w:szCs w:val="20"/>
                <w:lang w:eastAsia="ar-SA"/>
              </w:rPr>
              <w:t>: BCRs of road safety measures</w:t>
            </w:r>
          </w:p>
        </w:tc>
      </w:tr>
      <w:tr w:rsidR="00322BEF" w:rsidRPr="00322BEF" w:rsidTr="00024C44">
        <w:tc>
          <w:tcPr>
            <w:tcW w:w="5807" w:type="dxa"/>
            <w:tcBorders>
              <w:top w:val="single" w:sz="4" w:space="0" w:color="auto"/>
              <w:bottom w:val="single" w:sz="4" w:space="0" w:color="auto"/>
            </w:tcBorders>
          </w:tcPr>
          <w:p w:rsidR="00322BEF" w:rsidRPr="00322BEF" w:rsidRDefault="00322BEF" w:rsidP="00322BEF">
            <w:pPr>
              <w:suppressAutoHyphens/>
              <w:jc w:val="center"/>
              <w:outlineLvl w:val="0"/>
              <w:rPr>
                <w:rFonts w:ascii="Arial" w:eastAsia="Calibri" w:hAnsi="Arial" w:cs="Arial"/>
                <w:b/>
                <w:sz w:val="20"/>
                <w:szCs w:val="20"/>
                <w:lang w:eastAsia="ar-SA"/>
              </w:rPr>
            </w:pPr>
            <w:r>
              <w:rPr>
                <w:rFonts w:ascii="Arial" w:eastAsia="Calibri" w:hAnsi="Arial" w:cs="Arial"/>
                <w:b/>
                <w:sz w:val="20"/>
                <w:szCs w:val="20"/>
                <w:lang w:eastAsia="ar-SA"/>
              </w:rPr>
              <w:t>M</w:t>
            </w:r>
            <w:r w:rsidRPr="00322BEF">
              <w:rPr>
                <w:rFonts w:ascii="Arial" w:eastAsia="Calibri" w:hAnsi="Arial" w:cs="Arial"/>
                <w:b/>
                <w:sz w:val="20"/>
                <w:szCs w:val="20"/>
                <w:lang w:eastAsia="ar-SA"/>
              </w:rPr>
              <w:t>easure</w:t>
            </w:r>
          </w:p>
        </w:tc>
        <w:tc>
          <w:tcPr>
            <w:tcW w:w="1701" w:type="dxa"/>
            <w:tcBorders>
              <w:top w:val="single" w:sz="4" w:space="0" w:color="auto"/>
              <w:bottom w:val="single" w:sz="4" w:space="0" w:color="auto"/>
            </w:tcBorders>
          </w:tcPr>
          <w:p w:rsidR="00322BEF" w:rsidRPr="00322BEF" w:rsidRDefault="00322BEF" w:rsidP="00024C44">
            <w:pPr>
              <w:suppressAutoHyphens/>
              <w:jc w:val="right"/>
              <w:outlineLvl w:val="0"/>
              <w:rPr>
                <w:rFonts w:ascii="Arial" w:eastAsia="Calibri" w:hAnsi="Arial" w:cs="Arial"/>
                <w:b/>
                <w:sz w:val="20"/>
                <w:szCs w:val="20"/>
                <w:lang w:eastAsia="ar-SA"/>
              </w:rPr>
            </w:pPr>
            <w:r w:rsidRPr="00322BEF">
              <w:rPr>
                <w:rFonts w:ascii="Arial" w:eastAsia="Calibri" w:hAnsi="Arial" w:cs="Arial"/>
                <w:b/>
                <w:sz w:val="20"/>
                <w:szCs w:val="20"/>
                <w:lang w:eastAsia="ar-SA"/>
              </w:rPr>
              <w:t>Year</w:t>
            </w:r>
          </w:p>
        </w:tc>
        <w:tc>
          <w:tcPr>
            <w:tcW w:w="1508" w:type="dxa"/>
            <w:tcBorders>
              <w:top w:val="single" w:sz="4" w:space="0" w:color="auto"/>
              <w:bottom w:val="single" w:sz="4" w:space="0" w:color="auto"/>
            </w:tcBorders>
          </w:tcPr>
          <w:p w:rsidR="00322BEF" w:rsidRPr="00322BEF" w:rsidRDefault="00322BEF" w:rsidP="00024C44">
            <w:pPr>
              <w:suppressAutoHyphens/>
              <w:jc w:val="right"/>
              <w:outlineLvl w:val="0"/>
              <w:rPr>
                <w:rFonts w:ascii="Arial" w:eastAsia="Calibri" w:hAnsi="Arial" w:cs="Arial"/>
                <w:b/>
                <w:sz w:val="20"/>
                <w:szCs w:val="20"/>
                <w:lang w:eastAsia="ar-SA"/>
              </w:rPr>
            </w:pPr>
            <w:r w:rsidRPr="00322BEF">
              <w:rPr>
                <w:rFonts w:ascii="Arial" w:eastAsia="Calibri" w:hAnsi="Arial" w:cs="Arial"/>
                <w:b/>
                <w:sz w:val="20"/>
                <w:szCs w:val="20"/>
                <w:lang w:eastAsia="ar-SA"/>
              </w:rPr>
              <w:t>BCR</w:t>
            </w:r>
          </w:p>
        </w:tc>
      </w:tr>
      <w:tr w:rsidR="00024C44" w:rsidRPr="00322BEF" w:rsidTr="00322BEF">
        <w:tc>
          <w:tcPr>
            <w:tcW w:w="5807" w:type="dxa"/>
          </w:tcPr>
          <w:p w:rsidR="00024C44" w:rsidRPr="00322BEF" w:rsidRDefault="00024C44" w:rsidP="000A2269">
            <w:pPr>
              <w:suppressAutoHyphens/>
              <w:outlineLvl w:val="0"/>
              <w:rPr>
                <w:rFonts w:ascii="Arial" w:eastAsia="Calibri" w:hAnsi="Arial" w:cs="Arial"/>
                <w:sz w:val="20"/>
                <w:szCs w:val="20"/>
                <w:lang w:eastAsia="ar-SA"/>
              </w:rPr>
            </w:pPr>
            <w:r>
              <w:rPr>
                <w:rFonts w:ascii="Arial" w:eastAsia="Calibri" w:hAnsi="Arial" w:cs="Arial"/>
                <w:sz w:val="20"/>
                <w:szCs w:val="20"/>
                <w:lang w:eastAsia="ar-SA"/>
              </w:rPr>
              <w:t>Advanced motor cycle braking systems</w:t>
            </w:r>
          </w:p>
        </w:tc>
        <w:tc>
          <w:tcPr>
            <w:tcW w:w="1701"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2017</w:t>
            </w:r>
          </w:p>
        </w:tc>
        <w:tc>
          <w:tcPr>
            <w:tcW w:w="1508"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37.2</w:t>
            </w:r>
          </w:p>
        </w:tc>
      </w:tr>
      <w:tr w:rsidR="00024C44" w:rsidRPr="00322BEF" w:rsidTr="00322BEF">
        <w:tc>
          <w:tcPr>
            <w:tcW w:w="5807" w:type="dxa"/>
          </w:tcPr>
          <w:p w:rsidR="00024C44" w:rsidRPr="00322BEF" w:rsidRDefault="00024C44" w:rsidP="000A2269">
            <w:pPr>
              <w:suppressAutoHyphens/>
              <w:outlineLvl w:val="0"/>
              <w:rPr>
                <w:rFonts w:ascii="Arial" w:eastAsia="Calibri" w:hAnsi="Arial" w:cs="Arial"/>
                <w:sz w:val="20"/>
                <w:szCs w:val="20"/>
                <w:lang w:eastAsia="ar-SA"/>
              </w:rPr>
            </w:pPr>
            <w:r>
              <w:rPr>
                <w:rFonts w:ascii="Arial" w:eastAsia="Calibri" w:hAnsi="Arial" w:cs="Arial"/>
                <w:sz w:val="20"/>
                <w:szCs w:val="20"/>
                <w:lang w:eastAsia="ar-SA"/>
              </w:rPr>
              <w:t>Pole side impact protection</w:t>
            </w:r>
          </w:p>
        </w:tc>
        <w:tc>
          <w:tcPr>
            <w:tcW w:w="1701"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2015</w:t>
            </w:r>
          </w:p>
        </w:tc>
        <w:tc>
          <w:tcPr>
            <w:tcW w:w="1508"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4.7</w:t>
            </w:r>
          </w:p>
        </w:tc>
      </w:tr>
      <w:tr w:rsidR="00024C44" w:rsidRPr="00322BEF" w:rsidTr="00322BEF">
        <w:tc>
          <w:tcPr>
            <w:tcW w:w="5807" w:type="dxa"/>
          </w:tcPr>
          <w:p w:rsidR="00024C44" w:rsidRDefault="00024C44" w:rsidP="000A2269">
            <w:pPr>
              <w:suppressAutoHyphens/>
              <w:outlineLvl w:val="0"/>
              <w:rPr>
                <w:rFonts w:ascii="Arial" w:eastAsia="Calibri" w:hAnsi="Arial" w:cs="Arial"/>
                <w:sz w:val="20"/>
                <w:szCs w:val="20"/>
                <w:lang w:eastAsia="ar-SA"/>
              </w:rPr>
            </w:pPr>
            <w:r>
              <w:rPr>
                <w:rFonts w:ascii="Arial" w:eastAsia="Calibri" w:hAnsi="Arial" w:cs="Arial"/>
                <w:sz w:val="20"/>
                <w:szCs w:val="20"/>
                <w:lang w:eastAsia="ar-SA"/>
              </w:rPr>
              <w:t>Brake assist systems for passenger vehicles and LCVs</w:t>
            </w:r>
          </w:p>
        </w:tc>
        <w:tc>
          <w:tcPr>
            <w:tcW w:w="1701" w:type="dxa"/>
          </w:tcPr>
          <w:p w:rsidR="00024C44"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2013</w:t>
            </w:r>
          </w:p>
        </w:tc>
        <w:tc>
          <w:tcPr>
            <w:tcW w:w="1508" w:type="dxa"/>
          </w:tcPr>
          <w:p w:rsidR="00024C44"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3.3</w:t>
            </w:r>
          </w:p>
        </w:tc>
      </w:tr>
      <w:tr w:rsidR="00024C44" w:rsidRPr="00322BEF" w:rsidTr="00322BEF">
        <w:tc>
          <w:tcPr>
            <w:tcW w:w="5807" w:type="dxa"/>
          </w:tcPr>
          <w:p w:rsidR="00024C44" w:rsidRPr="00322BEF" w:rsidRDefault="00024C44" w:rsidP="000A2269">
            <w:pPr>
              <w:suppressAutoHyphens/>
              <w:outlineLvl w:val="0"/>
              <w:rPr>
                <w:rFonts w:ascii="Arial" w:eastAsia="Calibri" w:hAnsi="Arial" w:cs="Arial"/>
                <w:sz w:val="20"/>
                <w:szCs w:val="20"/>
                <w:lang w:eastAsia="ar-SA"/>
              </w:rPr>
            </w:pPr>
            <w:r>
              <w:rPr>
                <w:rFonts w:ascii="Arial" w:eastAsia="Calibri" w:hAnsi="Arial" w:cs="Arial"/>
                <w:sz w:val="20"/>
                <w:szCs w:val="20"/>
                <w:lang w:eastAsia="ar-SA"/>
              </w:rPr>
              <w:t>ESC for light commercial vehicles</w:t>
            </w:r>
          </w:p>
        </w:tc>
        <w:tc>
          <w:tcPr>
            <w:tcW w:w="1701"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2013</w:t>
            </w:r>
          </w:p>
        </w:tc>
        <w:tc>
          <w:tcPr>
            <w:tcW w:w="1508" w:type="dxa"/>
          </w:tcPr>
          <w:p w:rsidR="00024C44" w:rsidRPr="00322BEF" w:rsidRDefault="00024C44" w:rsidP="00024C44">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2.5</w:t>
            </w:r>
          </w:p>
        </w:tc>
      </w:tr>
      <w:tr w:rsidR="006036B0" w:rsidRPr="00322BEF" w:rsidTr="00024C44">
        <w:tc>
          <w:tcPr>
            <w:tcW w:w="5807" w:type="dxa"/>
            <w:shd w:val="clear" w:color="auto" w:fill="BFBFBF" w:themeFill="background1" w:themeFillShade="BF"/>
          </w:tcPr>
          <w:p w:rsidR="006036B0" w:rsidRPr="00024C44" w:rsidRDefault="006036B0" w:rsidP="006036B0">
            <w:pPr>
              <w:suppressAutoHyphens/>
              <w:outlineLvl w:val="0"/>
              <w:rPr>
                <w:rFonts w:ascii="Arial" w:eastAsia="Calibri" w:hAnsi="Arial" w:cs="Arial"/>
                <w:sz w:val="20"/>
                <w:szCs w:val="20"/>
                <w:lang w:eastAsia="ar-SA"/>
              </w:rPr>
            </w:pPr>
            <w:r w:rsidRPr="00024C44">
              <w:rPr>
                <w:rFonts w:ascii="Arial" w:eastAsia="Calibri" w:hAnsi="Arial" w:cs="Arial"/>
                <w:sz w:val="20"/>
                <w:szCs w:val="20"/>
                <w:lang w:eastAsia="ar-SA"/>
              </w:rPr>
              <w:t>Heavy vehicle ESC (option 6a</w:t>
            </w:r>
            <w:r>
              <w:rPr>
                <w:rFonts w:ascii="Arial" w:eastAsia="Calibri" w:hAnsi="Arial" w:cs="Arial"/>
                <w:sz w:val="20"/>
                <w:szCs w:val="20"/>
                <w:lang w:eastAsia="ar-SA"/>
              </w:rPr>
              <w:t xml:space="preserve"> with ATA recommendation 1</w:t>
            </w:r>
            <w:r w:rsidRPr="00024C44">
              <w:rPr>
                <w:rFonts w:ascii="Arial" w:eastAsia="Calibri" w:hAnsi="Arial" w:cs="Arial"/>
                <w:sz w:val="20"/>
                <w:szCs w:val="20"/>
                <w:lang w:eastAsia="ar-SA"/>
              </w:rPr>
              <w:t>)</w:t>
            </w:r>
          </w:p>
        </w:tc>
        <w:tc>
          <w:tcPr>
            <w:tcW w:w="1701" w:type="dxa"/>
            <w:shd w:val="clear" w:color="auto" w:fill="BFBFBF" w:themeFill="background1" w:themeFillShade="BF"/>
          </w:tcPr>
          <w:p w:rsidR="006036B0" w:rsidRPr="00024C44" w:rsidRDefault="006036B0" w:rsidP="006036B0">
            <w:pPr>
              <w:suppressAutoHyphens/>
              <w:jc w:val="right"/>
              <w:outlineLvl w:val="0"/>
              <w:rPr>
                <w:rFonts w:ascii="Arial" w:eastAsia="Calibri" w:hAnsi="Arial" w:cs="Arial"/>
                <w:sz w:val="20"/>
                <w:szCs w:val="20"/>
                <w:lang w:eastAsia="ar-SA"/>
              </w:rPr>
            </w:pPr>
            <w:r w:rsidRPr="00024C44">
              <w:rPr>
                <w:rFonts w:ascii="Arial" w:eastAsia="Calibri" w:hAnsi="Arial" w:cs="Arial"/>
                <w:sz w:val="20"/>
                <w:szCs w:val="20"/>
                <w:lang w:eastAsia="ar-SA"/>
              </w:rPr>
              <w:t>2</w:t>
            </w:r>
            <w:r>
              <w:rPr>
                <w:rFonts w:ascii="Arial" w:eastAsia="Calibri" w:hAnsi="Arial" w:cs="Arial"/>
                <w:sz w:val="20"/>
                <w:szCs w:val="20"/>
                <w:lang w:eastAsia="ar-SA"/>
              </w:rPr>
              <w:t>017</w:t>
            </w:r>
          </w:p>
        </w:tc>
        <w:tc>
          <w:tcPr>
            <w:tcW w:w="1508" w:type="dxa"/>
            <w:shd w:val="clear" w:color="auto" w:fill="BFBFBF" w:themeFill="background1" w:themeFillShade="BF"/>
          </w:tcPr>
          <w:p w:rsidR="006036B0" w:rsidRPr="00024C44"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2.24</w:t>
            </w:r>
          </w:p>
        </w:tc>
      </w:tr>
      <w:tr w:rsidR="006036B0" w:rsidRPr="00322BEF" w:rsidTr="00024C44">
        <w:tc>
          <w:tcPr>
            <w:tcW w:w="5807" w:type="dxa"/>
            <w:shd w:val="clear" w:color="auto" w:fill="BFBFBF" w:themeFill="background1" w:themeFillShade="BF"/>
          </w:tcPr>
          <w:p w:rsidR="006036B0" w:rsidRPr="00024C44" w:rsidRDefault="006036B0" w:rsidP="006036B0">
            <w:pPr>
              <w:suppressAutoHyphens/>
              <w:outlineLvl w:val="0"/>
              <w:rPr>
                <w:rFonts w:ascii="Arial" w:eastAsia="Calibri" w:hAnsi="Arial" w:cs="Arial"/>
                <w:sz w:val="20"/>
                <w:szCs w:val="20"/>
                <w:lang w:eastAsia="ar-SA"/>
              </w:rPr>
            </w:pPr>
            <w:r w:rsidRPr="00024C44">
              <w:rPr>
                <w:rFonts w:ascii="Arial" w:eastAsia="Calibri" w:hAnsi="Arial" w:cs="Arial"/>
                <w:sz w:val="20"/>
                <w:szCs w:val="20"/>
                <w:lang w:eastAsia="ar-SA"/>
              </w:rPr>
              <w:t>Heavy vehicle ESC (option 6a)</w:t>
            </w:r>
          </w:p>
        </w:tc>
        <w:tc>
          <w:tcPr>
            <w:tcW w:w="1701" w:type="dxa"/>
            <w:shd w:val="clear" w:color="auto" w:fill="BFBFBF" w:themeFill="background1" w:themeFillShade="BF"/>
          </w:tcPr>
          <w:p w:rsidR="006036B0" w:rsidRPr="00024C44"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2017</w:t>
            </w:r>
          </w:p>
        </w:tc>
        <w:tc>
          <w:tcPr>
            <w:tcW w:w="1508" w:type="dxa"/>
            <w:shd w:val="clear" w:color="auto" w:fill="BFBFBF" w:themeFill="background1" w:themeFillShade="BF"/>
          </w:tcPr>
          <w:p w:rsidR="006036B0" w:rsidRPr="00024C44" w:rsidRDefault="006036B0" w:rsidP="006036B0">
            <w:pPr>
              <w:suppressAutoHyphens/>
              <w:jc w:val="right"/>
              <w:outlineLvl w:val="0"/>
              <w:rPr>
                <w:rFonts w:ascii="Arial" w:eastAsia="Calibri" w:hAnsi="Arial" w:cs="Arial"/>
                <w:sz w:val="20"/>
                <w:szCs w:val="20"/>
                <w:lang w:eastAsia="ar-SA"/>
              </w:rPr>
            </w:pPr>
            <w:r w:rsidRPr="00024C44">
              <w:rPr>
                <w:rFonts w:ascii="Arial" w:eastAsia="Calibri" w:hAnsi="Arial" w:cs="Arial"/>
                <w:sz w:val="20"/>
                <w:szCs w:val="20"/>
                <w:lang w:eastAsia="ar-SA"/>
              </w:rPr>
              <w:t>1.99</w:t>
            </w:r>
          </w:p>
        </w:tc>
      </w:tr>
      <w:tr w:rsidR="006036B0" w:rsidRPr="00322BEF" w:rsidTr="00024C44">
        <w:tc>
          <w:tcPr>
            <w:tcW w:w="5807" w:type="dxa"/>
          </w:tcPr>
          <w:p w:rsidR="006036B0" w:rsidRDefault="006036B0" w:rsidP="006036B0">
            <w:pPr>
              <w:suppressAutoHyphens/>
              <w:outlineLvl w:val="0"/>
              <w:rPr>
                <w:rFonts w:ascii="Arial" w:eastAsia="Calibri" w:hAnsi="Arial" w:cs="Arial"/>
                <w:sz w:val="20"/>
                <w:szCs w:val="20"/>
                <w:lang w:eastAsia="ar-SA"/>
              </w:rPr>
            </w:pPr>
            <w:r>
              <w:rPr>
                <w:rFonts w:ascii="Arial" w:eastAsia="Calibri" w:hAnsi="Arial" w:cs="Arial"/>
                <w:sz w:val="20"/>
                <w:szCs w:val="20"/>
                <w:lang w:eastAsia="ar-SA"/>
              </w:rPr>
              <w:t>ESC for passenger cars</w:t>
            </w:r>
          </w:p>
        </w:tc>
        <w:tc>
          <w:tcPr>
            <w:tcW w:w="1701" w:type="dxa"/>
          </w:tcPr>
          <w:p w:rsidR="006036B0"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2009</w:t>
            </w:r>
          </w:p>
        </w:tc>
        <w:tc>
          <w:tcPr>
            <w:tcW w:w="1508" w:type="dxa"/>
          </w:tcPr>
          <w:p w:rsidR="006036B0"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1.6</w:t>
            </w:r>
          </w:p>
        </w:tc>
      </w:tr>
      <w:tr w:rsidR="006036B0" w:rsidRPr="00322BEF" w:rsidTr="00024C44">
        <w:tc>
          <w:tcPr>
            <w:tcW w:w="5807" w:type="dxa"/>
          </w:tcPr>
          <w:p w:rsidR="006036B0" w:rsidRPr="00322BEF" w:rsidRDefault="006036B0" w:rsidP="006036B0">
            <w:pPr>
              <w:suppressAutoHyphens/>
              <w:outlineLvl w:val="0"/>
              <w:rPr>
                <w:rFonts w:ascii="Arial" w:eastAsia="Calibri" w:hAnsi="Arial" w:cs="Arial"/>
                <w:sz w:val="20"/>
                <w:szCs w:val="20"/>
                <w:lang w:eastAsia="ar-SA"/>
              </w:rPr>
            </w:pPr>
            <w:r>
              <w:rPr>
                <w:rFonts w:ascii="Arial" w:eastAsia="Calibri" w:hAnsi="Arial" w:cs="Arial"/>
                <w:sz w:val="20"/>
                <w:szCs w:val="20"/>
                <w:lang w:eastAsia="ar-SA"/>
              </w:rPr>
              <w:t>Heavy vehicle ABS</w:t>
            </w:r>
          </w:p>
        </w:tc>
        <w:tc>
          <w:tcPr>
            <w:tcW w:w="1701" w:type="dxa"/>
          </w:tcPr>
          <w:p w:rsidR="006036B0" w:rsidRPr="00322BEF"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2013</w:t>
            </w:r>
          </w:p>
        </w:tc>
        <w:tc>
          <w:tcPr>
            <w:tcW w:w="1508" w:type="dxa"/>
          </w:tcPr>
          <w:p w:rsidR="006036B0" w:rsidRPr="00322BEF"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1.5</w:t>
            </w:r>
          </w:p>
        </w:tc>
      </w:tr>
      <w:tr w:rsidR="006036B0" w:rsidRPr="00322BEF" w:rsidTr="00117FBC">
        <w:tc>
          <w:tcPr>
            <w:tcW w:w="5807" w:type="dxa"/>
          </w:tcPr>
          <w:p w:rsidR="006036B0" w:rsidRDefault="006036B0" w:rsidP="006036B0">
            <w:pPr>
              <w:suppressAutoHyphens/>
              <w:outlineLvl w:val="0"/>
              <w:rPr>
                <w:rFonts w:ascii="Arial" w:eastAsia="Calibri" w:hAnsi="Arial" w:cs="Arial"/>
                <w:sz w:val="20"/>
                <w:szCs w:val="20"/>
                <w:lang w:eastAsia="ar-SA"/>
              </w:rPr>
            </w:pPr>
            <w:r>
              <w:rPr>
                <w:rFonts w:ascii="Arial" w:eastAsia="Calibri" w:hAnsi="Arial" w:cs="Arial"/>
                <w:sz w:val="20"/>
                <w:szCs w:val="20"/>
                <w:lang w:eastAsia="ar-SA"/>
              </w:rPr>
              <w:t>Seatbelt reminders | mandatory seatbelts for folding seats</w:t>
            </w:r>
          </w:p>
        </w:tc>
        <w:tc>
          <w:tcPr>
            <w:tcW w:w="1701" w:type="dxa"/>
          </w:tcPr>
          <w:p w:rsidR="006036B0"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2012</w:t>
            </w:r>
          </w:p>
        </w:tc>
        <w:tc>
          <w:tcPr>
            <w:tcW w:w="1508" w:type="dxa"/>
          </w:tcPr>
          <w:p w:rsidR="006036B0" w:rsidRDefault="006036B0" w:rsidP="006036B0">
            <w:pPr>
              <w:suppressAutoHyphens/>
              <w:jc w:val="right"/>
              <w:outlineLvl w:val="0"/>
              <w:rPr>
                <w:rFonts w:ascii="Arial" w:eastAsia="Calibri" w:hAnsi="Arial" w:cs="Arial"/>
                <w:sz w:val="20"/>
                <w:szCs w:val="20"/>
                <w:lang w:eastAsia="ar-SA"/>
              </w:rPr>
            </w:pPr>
            <w:r>
              <w:rPr>
                <w:rFonts w:ascii="Arial" w:eastAsia="Calibri" w:hAnsi="Arial" w:cs="Arial"/>
                <w:sz w:val="20"/>
                <w:szCs w:val="20"/>
                <w:lang w:eastAsia="ar-SA"/>
              </w:rPr>
              <w:t>1.25</w:t>
            </w:r>
          </w:p>
        </w:tc>
      </w:tr>
      <w:tr w:rsidR="006036B0" w:rsidRPr="00322BEF" w:rsidTr="00117FBC">
        <w:tc>
          <w:tcPr>
            <w:tcW w:w="5807" w:type="dxa"/>
            <w:tcBorders>
              <w:top w:val="single" w:sz="4" w:space="0" w:color="auto"/>
            </w:tcBorders>
          </w:tcPr>
          <w:p w:rsidR="006036B0" w:rsidRPr="00117FBC" w:rsidRDefault="006036B0" w:rsidP="006036B0">
            <w:pPr>
              <w:suppressAutoHyphens/>
              <w:outlineLvl w:val="0"/>
              <w:rPr>
                <w:rFonts w:ascii="Arial" w:eastAsia="Calibri" w:hAnsi="Arial" w:cs="Arial"/>
                <w:sz w:val="18"/>
                <w:szCs w:val="18"/>
                <w:lang w:eastAsia="ar-SA"/>
              </w:rPr>
            </w:pPr>
            <w:r>
              <w:rPr>
                <w:rFonts w:ascii="Arial" w:eastAsia="Calibri" w:hAnsi="Arial" w:cs="Arial"/>
                <w:sz w:val="18"/>
                <w:szCs w:val="18"/>
                <w:lang w:eastAsia="ar-SA"/>
              </w:rPr>
              <w:t>Source: Regulatory impact statements</w:t>
            </w:r>
          </w:p>
        </w:tc>
        <w:tc>
          <w:tcPr>
            <w:tcW w:w="1701" w:type="dxa"/>
            <w:tcBorders>
              <w:top w:val="single" w:sz="4" w:space="0" w:color="auto"/>
            </w:tcBorders>
          </w:tcPr>
          <w:p w:rsidR="006036B0" w:rsidRDefault="006036B0" w:rsidP="006036B0">
            <w:pPr>
              <w:suppressAutoHyphens/>
              <w:jc w:val="right"/>
              <w:outlineLvl w:val="0"/>
              <w:rPr>
                <w:rFonts w:ascii="Arial" w:eastAsia="Calibri" w:hAnsi="Arial" w:cs="Arial"/>
                <w:sz w:val="20"/>
                <w:szCs w:val="20"/>
                <w:lang w:eastAsia="ar-SA"/>
              </w:rPr>
            </w:pPr>
          </w:p>
        </w:tc>
        <w:tc>
          <w:tcPr>
            <w:tcW w:w="1508" w:type="dxa"/>
            <w:tcBorders>
              <w:top w:val="single" w:sz="4" w:space="0" w:color="auto"/>
            </w:tcBorders>
          </w:tcPr>
          <w:p w:rsidR="006036B0" w:rsidRDefault="006036B0" w:rsidP="006036B0">
            <w:pPr>
              <w:suppressAutoHyphens/>
              <w:jc w:val="right"/>
              <w:outlineLvl w:val="0"/>
              <w:rPr>
                <w:rFonts w:ascii="Arial" w:eastAsia="Calibri" w:hAnsi="Arial" w:cs="Arial"/>
                <w:sz w:val="20"/>
                <w:szCs w:val="20"/>
                <w:lang w:eastAsia="ar-SA"/>
              </w:rPr>
            </w:pPr>
          </w:p>
        </w:tc>
      </w:tr>
    </w:tbl>
    <w:p w:rsidR="00322BEF" w:rsidRDefault="00322BEF" w:rsidP="000A2269">
      <w:pPr>
        <w:suppressAutoHyphens/>
        <w:spacing w:after="0" w:line="240" w:lineRule="auto"/>
        <w:outlineLvl w:val="0"/>
        <w:rPr>
          <w:rFonts w:ascii="Arial" w:eastAsia="Calibri" w:hAnsi="Arial" w:cs="Arial"/>
          <w:lang w:eastAsia="ar-SA"/>
        </w:rPr>
      </w:pPr>
    </w:p>
    <w:p w:rsidR="00322BEF" w:rsidRDefault="00322BEF" w:rsidP="000A2269">
      <w:pPr>
        <w:suppressAutoHyphens/>
        <w:spacing w:after="0" w:line="240" w:lineRule="auto"/>
        <w:outlineLvl w:val="0"/>
        <w:rPr>
          <w:rFonts w:ascii="Arial" w:eastAsia="Calibri" w:hAnsi="Arial" w:cs="Arial"/>
          <w:lang w:eastAsia="ar-SA"/>
        </w:rPr>
      </w:pPr>
    </w:p>
    <w:p w:rsidR="00322BEF" w:rsidRDefault="00322BEF" w:rsidP="000A2269">
      <w:pPr>
        <w:suppressAutoHyphens/>
        <w:spacing w:after="0" w:line="240" w:lineRule="auto"/>
        <w:outlineLvl w:val="0"/>
        <w:rPr>
          <w:rFonts w:ascii="Arial" w:eastAsia="Calibri" w:hAnsi="Arial" w:cs="Arial"/>
          <w:lang w:eastAsia="ar-SA"/>
        </w:rPr>
      </w:pPr>
      <w:r w:rsidRPr="00322BEF">
        <w:rPr>
          <w:rFonts w:ascii="Arial" w:eastAsia="Calibri" w:hAnsi="Arial" w:cs="Arial"/>
          <w:lang w:eastAsia="ar-SA"/>
        </w:rPr>
        <w:t>In the ATA’s view, the imperative need to reduce the road toll means the Government should, in this case, prioritise safety and accept the lower, but still positive, economic benefit offered by option 6a.</w:t>
      </w:r>
    </w:p>
    <w:p w:rsidR="00BA0E63" w:rsidRDefault="00BA0E63" w:rsidP="00261D80">
      <w:pPr>
        <w:suppressAutoHyphens/>
        <w:spacing w:after="0" w:line="240" w:lineRule="auto"/>
        <w:outlineLvl w:val="0"/>
        <w:rPr>
          <w:rFonts w:ascii="Arial" w:eastAsia="Calibri" w:hAnsi="Arial" w:cs="Arial"/>
          <w:lang w:eastAsia="ar-SA"/>
        </w:rPr>
      </w:pPr>
    </w:p>
    <w:p w:rsidR="00615FD1" w:rsidRDefault="00615FD1" w:rsidP="00261D80">
      <w:pPr>
        <w:suppressAutoHyphens/>
        <w:spacing w:after="0" w:line="240" w:lineRule="auto"/>
        <w:outlineLvl w:val="0"/>
        <w:rPr>
          <w:rFonts w:ascii="Arial" w:eastAsia="Calibri" w:hAnsi="Arial" w:cs="Arial"/>
          <w:lang w:eastAsia="ar-SA"/>
        </w:rPr>
      </w:pPr>
    </w:p>
    <w:p w:rsidR="00A26C3C" w:rsidRPr="00A26C3C" w:rsidRDefault="00A26C3C" w:rsidP="00996EF2">
      <w:pPr>
        <w:keepNext/>
        <w:suppressAutoHyphens/>
        <w:spacing w:after="0" w:line="240" w:lineRule="auto"/>
        <w:outlineLvl w:val="0"/>
        <w:rPr>
          <w:rFonts w:ascii="Arial" w:eastAsia="Calibri" w:hAnsi="Arial" w:cs="Arial"/>
          <w:b/>
          <w:lang w:eastAsia="ar-SA"/>
        </w:rPr>
      </w:pPr>
      <w:r w:rsidRPr="00A26C3C">
        <w:rPr>
          <w:rFonts w:ascii="Arial" w:eastAsia="Calibri" w:hAnsi="Arial" w:cs="Arial"/>
          <w:b/>
          <w:lang w:eastAsia="ar-SA"/>
        </w:rPr>
        <w:t>Potential application date</w:t>
      </w:r>
      <w:r>
        <w:rPr>
          <w:rFonts w:ascii="Arial" w:eastAsia="Calibri" w:hAnsi="Arial" w:cs="Arial"/>
          <w:b/>
          <w:lang w:eastAsia="ar-SA"/>
        </w:rPr>
        <w:t xml:space="preserve"> for 4.5-12t rigid trucks</w:t>
      </w:r>
    </w:p>
    <w:p w:rsidR="00A26C3C" w:rsidRDefault="00A26C3C" w:rsidP="00996EF2">
      <w:pPr>
        <w:keepNext/>
        <w:suppressAutoHyphens/>
        <w:spacing w:after="0" w:line="240" w:lineRule="auto"/>
        <w:outlineLvl w:val="0"/>
        <w:rPr>
          <w:rFonts w:ascii="Arial" w:eastAsia="Calibri" w:hAnsi="Arial" w:cs="Arial"/>
          <w:lang w:eastAsia="ar-SA"/>
        </w:rPr>
      </w:pPr>
    </w:p>
    <w:p w:rsidR="00A26C3C" w:rsidRDefault="00A26C3C" w:rsidP="00996EF2">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ATA is aware that some manufacturers of rigid trucks in the 4.5-12t range may have difficulty introducing ESC without a considerable period of product development.</w:t>
      </w:r>
    </w:p>
    <w:p w:rsidR="00A26C3C" w:rsidRDefault="00A26C3C" w:rsidP="00996EF2">
      <w:pPr>
        <w:keepNext/>
        <w:suppressAutoHyphens/>
        <w:spacing w:after="0" w:line="240" w:lineRule="auto"/>
        <w:outlineLvl w:val="0"/>
        <w:rPr>
          <w:rFonts w:ascii="Arial" w:eastAsia="Calibri" w:hAnsi="Arial" w:cs="Arial"/>
          <w:lang w:eastAsia="ar-SA"/>
        </w:rPr>
      </w:pPr>
    </w:p>
    <w:p w:rsidR="00A26C3C" w:rsidRDefault="00A26C3C" w:rsidP="00996EF2">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ATA would not oppose an amendment to proposed ADR 35/06 to provide a reasonable (but still defined) extension to the application date for these trucks only.</w:t>
      </w:r>
    </w:p>
    <w:p w:rsidR="00A26C3C" w:rsidRDefault="00A26C3C" w:rsidP="00996EF2">
      <w:pPr>
        <w:keepNext/>
        <w:suppressAutoHyphens/>
        <w:spacing w:after="0" w:line="240" w:lineRule="auto"/>
        <w:outlineLvl w:val="0"/>
        <w:rPr>
          <w:rFonts w:ascii="Arial" w:eastAsia="Calibri" w:hAnsi="Arial" w:cs="Arial"/>
          <w:lang w:eastAsia="ar-SA"/>
        </w:rPr>
      </w:pPr>
    </w:p>
    <w:p w:rsidR="00A26C3C" w:rsidRDefault="00A26C3C" w:rsidP="00996EF2">
      <w:pPr>
        <w:keepNext/>
        <w:suppressAutoHyphens/>
        <w:spacing w:after="0" w:line="240" w:lineRule="auto"/>
        <w:outlineLvl w:val="0"/>
        <w:rPr>
          <w:rFonts w:ascii="Arial" w:eastAsia="Calibri" w:hAnsi="Arial" w:cs="Arial"/>
          <w:lang w:eastAsia="ar-SA"/>
        </w:rPr>
      </w:pPr>
    </w:p>
    <w:p w:rsidR="00D616CD" w:rsidRDefault="00927513" w:rsidP="00996EF2">
      <w:pPr>
        <w:keepNext/>
        <w:suppressAutoHyphens/>
        <w:spacing w:after="0" w:line="240" w:lineRule="auto"/>
        <w:outlineLvl w:val="0"/>
        <w:rPr>
          <w:rFonts w:ascii="Arial" w:eastAsia="Calibri" w:hAnsi="Arial" w:cs="Arial"/>
          <w:i/>
          <w:lang w:eastAsia="ar-SA"/>
        </w:rPr>
      </w:pPr>
      <w:r w:rsidRPr="00A26C3C">
        <w:rPr>
          <w:rFonts w:ascii="Arial" w:eastAsia="Calibri" w:hAnsi="Arial" w:cs="Arial"/>
          <w:i/>
          <w:lang w:eastAsia="ar-SA"/>
        </w:rPr>
        <w:t>Recommen</w:t>
      </w:r>
      <w:r w:rsidR="00F003E4">
        <w:rPr>
          <w:rFonts w:ascii="Arial" w:eastAsia="Calibri" w:hAnsi="Arial" w:cs="Arial"/>
          <w:i/>
          <w:lang w:eastAsia="ar-SA"/>
        </w:rPr>
        <w:t>dation 2</w:t>
      </w:r>
    </w:p>
    <w:p w:rsidR="00A26C3C" w:rsidRPr="00A26C3C" w:rsidRDefault="00A26C3C" w:rsidP="00996EF2">
      <w:pPr>
        <w:keepNext/>
        <w:suppressAutoHyphens/>
        <w:spacing w:after="0" w:line="240" w:lineRule="auto"/>
        <w:outlineLvl w:val="0"/>
        <w:rPr>
          <w:rFonts w:ascii="Arial" w:eastAsia="Calibri" w:hAnsi="Arial" w:cs="Arial"/>
          <w:i/>
          <w:lang w:eastAsia="ar-SA"/>
        </w:rPr>
      </w:pPr>
      <w:r>
        <w:rPr>
          <w:rFonts w:ascii="Arial" w:eastAsia="Calibri" w:hAnsi="Arial" w:cs="Arial"/>
          <w:i/>
          <w:lang w:eastAsia="ar-SA"/>
        </w:rPr>
        <w:t>[to the Australian Government]</w:t>
      </w:r>
    </w:p>
    <w:p w:rsidR="00927513" w:rsidRDefault="00927513" w:rsidP="00996EF2">
      <w:pPr>
        <w:keepNext/>
        <w:suppressAutoHyphens/>
        <w:spacing w:after="0" w:line="240" w:lineRule="auto"/>
        <w:outlineLvl w:val="0"/>
        <w:rPr>
          <w:rFonts w:ascii="Arial" w:eastAsia="Calibri" w:hAnsi="Arial" w:cs="Arial"/>
          <w:lang w:eastAsia="ar-SA"/>
        </w:rPr>
      </w:pPr>
    </w:p>
    <w:p w:rsidR="00FE388C" w:rsidRDefault="00FE388C" w:rsidP="00996EF2">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Australian Government should adopt RIS option 6a, because it is the option that would save the greatest number of lives and avoid the greatest number of accidents</w:t>
      </w:r>
      <w:r w:rsidR="00481316">
        <w:rPr>
          <w:rFonts w:ascii="Arial" w:eastAsia="Calibri" w:hAnsi="Arial" w:cs="Arial"/>
          <w:lang w:eastAsia="ar-SA"/>
        </w:rPr>
        <w:t>,</w:t>
      </w:r>
      <w:r>
        <w:rPr>
          <w:rFonts w:ascii="Arial" w:eastAsia="Calibri" w:hAnsi="Arial" w:cs="Arial"/>
          <w:lang w:eastAsia="ar-SA"/>
        </w:rPr>
        <w:t xml:space="preserve"> and would do so at a reasonable cost.</w:t>
      </w:r>
    </w:p>
    <w:p w:rsidR="00A26C3C" w:rsidRDefault="00A26C3C" w:rsidP="00996EF2">
      <w:pPr>
        <w:keepNext/>
        <w:suppressAutoHyphens/>
        <w:spacing w:after="0" w:line="240" w:lineRule="auto"/>
        <w:outlineLvl w:val="0"/>
        <w:rPr>
          <w:rFonts w:ascii="Arial" w:eastAsia="Calibri" w:hAnsi="Arial" w:cs="Arial"/>
          <w:lang w:eastAsia="ar-SA"/>
        </w:rPr>
      </w:pPr>
    </w:p>
    <w:p w:rsidR="00A26C3C" w:rsidRDefault="00A26C3C" w:rsidP="00A26C3C">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If necessary, proposed ADR 35/06 could be amended to provide a reasonable (but still defined) extension to the application date</w:t>
      </w:r>
      <w:r w:rsidR="00481316">
        <w:rPr>
          <w:rFonts w:ascii="Arial" w:eastAsia="Calibri" w:hAnsi="Arial" w:cs="Arial"/>
          <w:lang w:eastAsia="ar-SA"/>
        </w:rPr>
        <w:t>s</w:t>
      </w:r>
      <w:r>
        <w:rPr>
          <w:rFonts w:ascii="Arial" w:eastAsia="Calibri" w:hAnsi="Arial" w:cs="Arial"/>
          <w:lang w:eastAsia="ar-SA"/>
        </w:rPr>
        <w:t xml:space="preserve"> for 4.5-12t rigid trucks only.</w:t>
      </w:r>
    </w:p>
    <w:p w:rsidR="00A26C3C" w:rsidRDefault="00A26C3C" w:rsidP="00996EF2">
      <w:pPr>
        <w:keepNext/>
        <w:suppressAutoHyphens/>
        <w:spacing w:after="0" w:line="240" w:lineRule="auto"/>
        <w:outlineLvl w:val="0"/>
        <w:rPr>
          <w:rFonts w:ascii="Arial" w:eastAsia="Calibri" w:hAnsi="Arial" w:cs="Arial"/>
          <w:lang w:eastAsia="ar-SA"/>
        </w:rPr>
      </w:pPr>
    </w:p>
    <w:p w:rsidR="00FE388C" w:rsidRDefault="00FE388C" w:rsidP="00261D80">
      <w:pPr>
        <w:suppressAutoHyphens/>
        <w:spacing w:after="0" w:line="240" w:lineRule="auto"/>
        <w:outlineLvl w:val="0"/>
        <w:rPr>
          <w:rFonts w:ascii="Arial" w:eastAsia="Calibri" w:hAnsi="Arial" w:cs="Arial"/>
          <w:lang w:eastAsia="ar-SA"/>
        </w:rPr>
      </w:pPr>
    </w:p>
    <w:p w:rsidR="00FE388C" w:rsidRDefault="00F003E4" w:rsidP="00261D80">
      <w:pPr>
        <w:suppressAutoHyphens/>
        <w:spacing w:after="0" w:line="240" w:lineRule="auto"/>
        <w:outlineLvl w:val="0"/>
        <w:rPr>
          <w:rFonts w:ascii="Arial" w:eastAsia="Calibri" w:hAnsi="Arial" w:cs="Arial"/>
          <w:i/>
          <w:lang w:eastAsia="ar-SA"/>
        </w:rPr>
      </w:pPr>
      <w:r>
        <w:rPr>
          <w:rFonts w:ascii="Arial" w:eastAsia="Calibri" w:hAnsi="Arial" w:cs="Arial"/>
          <w:i/>
          <w:lang w:eastAsia="ar-SA"/>
        </w:rPr>
        <w:t>Recommendation 3</w:t>
      </w:r>
    </w:p>
    <w:p w:rsidR="00A26C3C" w:rsidRPr="00A26C3C" w:rsidRDefault="00A26C3C" w:rsidP="00261D80">
      <w:pPr>
        <w:suppressAutoHyphens/>
        <w:spacing w:after="0" w:line="240" w:lineRule="auto"/>
        <w:outlineLvl w:val="0"/>
        <w:rPr>
          <w:rFonts w:ascii="Arial" w:eastAsia="Calibri" w:hAnsi="Arial" w:cs="Arial"/>
          <w:i/>
          <w:lang w:eastAsia="ar-SA"/>
        </w:rPr>
      </w:pPr>
      <w:r>
        <w:rPr>
          <w:rFonts w:ascii="Arial" w:eastAsia="Calibri" w:hAnsi="Arial" w:cs="Arial"/>
          <w:i/>
          <w:lang w:eastAsia="ar-SA"/>
        </w:rPr>
        <w:t>[to the Australian Government]</w:t>
      </w:r>
    </w:p>
    <w:p w:rsidR="00FE388C" w:rsidRDefault="00FE388C" w:rsidP="00261D80">
      <w:pPr>
        <w:suppressAutoHyphens/>
        <w:spacing w:after="0" w:line="240" w:lineRule="auto"/>
        <w:outlineLvl w:val="0"/>
        <w:rPr>
          <w:rFonts w:ascii="Arial" w:eastAsia="Calibri" w:hAnsi="Arial" w:cs="Arial"/>
          <w:lang w:eastAsia="ar-SA"/>
        </w:rPr>
      </w:pPr>
    </w:p>
    <w:p w:rsidR="00FE388C" w:rsidRDefault="00F003E4"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If, despite ATA recommendation 2</w:t>
      </w:r>
      <w:r w:rsidR="00FE388C">
        <w:rPr>
          <w:rFonts w:ascii="Arial" w:eastAsia="Calibri" w:hAnsi="Arial" w:cs="Arial"/>
          <w:lang w:eastAsia="ar-SA"/>
        </w:rPr>
        <w:t>, the Government adopts option 6b or 6c, it should put in place controls to reduce the risk of loss of control/rollover crashes involving new trucks not covered by the mandate. This could, for example, include the awareness campaign envisaged in RIS option 2.</w:t>
      </w:r>
    </w:p>
    <w:p w:rsidR="00BA0E63" w:rsidRDefault="00BA0E63" w:rsidP="00261D80">
      <w:pPr>
        <w:suppressAutoHyphens/>
        <w:spacing w:after="0" w:line="240" w:lineRule="auto"/>
        <w:outlineLvl w:val="0"/>
        <w:rPr>
          <w:rFonts w:ascii="Arial" w:eastAsia="Calibri" w:hAnsi="Arial" w:cs="Arial"/>
          <w:lang w:eastAsia="ar-SA"/>
        </w:rPr>
      </w:pPr>
    </w:p>
    <w:p w:rsidR="00FE388C" w:rsidRPr="00261D80" w:rsidRDefault="00FE388C" w:rsidP="00261D80">
      <w:pPr>
        <w:suppressAutoHyphens/>
        <w:spacing w:after="0" w:line="240" w:lineRule="auto"/>
        <w:outlineLvl w:val="0"/>
        <w:rPr>
          <w:rFonts w:ascii="Arial" w:eastAsia="Calibri" w:hAnsi="Arial" w:cs="Arial"/>
          <w:lang w:eastAsia="ar-SA"/>
        </w:rPr>
      </w:pPr>
    </w:p>
    <w:p w:rsidR="00261D80" w:rsidRDefault="00261D80" w:rsidP="00C32B81">
      <w:pPr>
        <w:keepNext/>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Technical considerations</w:t>
      </w:r>
    </w:p>
    <w:p w:rsidR="00261D80" w:rsidRDefault="00261D80" w:rsidP="00C32B81">
      <w:pPr>
        <w:keepNext/>
        <w:suppressAutoHyphens/>
        <w:spacing w:after="0" w:line="240" w:lineRule="auto"/>
        <w:outlineLvl w:val="0"/>
        <w:rPr>
          <w:rFonts w:ascii="Arial" w:eastAsia="Calibri" w:hAnsi="Arial" w:cs="Arial"/>
          <w:lang w:eastAsia="ar-SA"/>
        </w:rPr>
      </w:pPr>
    </w:p>
    <w:p w:rsidR="00F336FF" w:rsidRDefault="00F336FF" w:rsidP="00C32B81">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RIS examines a number of issues relating to the technical specifics of the proposed ADR amendments, including:</w:t>
      </w:r>
    </w:p>
    <w:p w:rsidR="00F336FF" w:rsidRDefault="00F336FF" w:rsidP="00C32B81">
      <w:pPr>
        <w:keepNext/>
        <w:suppressAutoHyphens/>
        <w:spacing w:after="0" w:line="240" w:lineRule="auto"/>
        <w:contextualSpacing/>
        <w:outlineLvl w:val="0"/>
        <w:rPr>
          <w:rFonts w:ascii="Arial" w:eastAsia="Calibri" w:hAnsi="Arial" w:cs="Arial"/>
          <w:lang w:eastAsia="ar-SA"/>
        </w:rPr>
      </w:pPr>
    </w:p>
    <w:p w:rsidR="00F336FF" w:rsidRPr="00756ED5" w:rsidRDefault="00F336FF" w:rsidP="00C32B81">
      <w:pPr>
        <w:pStyle w:val="ListParagraph"/>
        <w:keepNext/>
        <w:numPr>
          <w:ilvl w:val="0"/>
          <w:numId w:val="21"/>
        </w:numPr>
        <w:suppressAutoHyphens/>
        <w:spacing w:after="0" w:line="240" w:lineRule="auto"/>
        <w:outlineLvl w:val="0"/>
        <w:rPr>
          <w:rFonts w:ascii="Arial" w:eastAsia="Calibri" w:hAnsi="Arial" w:cs="Arial"/>
          <w:lang w:eastAsia="ar-SA"/>
        </w:rPr>
      </w:pPr>
      <w:r w:rsidRPr="00756ED5">
        <w:rPr>
          <w:rFonts w:ascii="Arial" w:eastAsia="Calibri" w:hAnsi="Arial" w:cs="Arial"/>
          <w:lang w:eastAsia="ar-SA"/>
        </w:rPr>
        <w:t>exempting converter dollies and non-standard low-loaders</w:t>
      </w:r>
    </w:p>
    <w:p w:rsidR="00F336FF" w:rsidRPr="00756ED5" w:rsidRDefault="00F336FF" w:rsidP="00C32B81">
      <w:pPr>
        <w:pStyle w:val="ListParagraph"/>
        <w:keepNext/>
        <w:numPr>
          <w:ilvl w:val="0"/>
          <w:numId w:val="21"/>
        </w:numPr>
        <w:suppressAutoHyphens/>
        <w:spacing w:after="0" w:line="240" w:lineRule="auto"/>
        <w:outlineLvl w:val="0"/>
        <w:rPr>
          <w:rFonts w:ascii="Arial" w:eastAsia="Calibri" w:hAnsi="Arial" w:cs="Arial"/>
          <w:lang w:eastAsia="ar-SA"/>
        </w:rPr>
      </w:pPr>
      <w:r w:rsidRPr="00756ED5">
        <w:rPr>
          <w:rFonts w:ascii="Arial" w:eastAsia="Calibri" w:hAnsi="Arial" w:cs="Arial"/>
          <w:lang w:eastAsia="ar-SA"/>
        </w:rPr>
        <w:t>imposing the proposed RSC requirement on new trailers with steel spring suspension as well as those with airbag suspension</w:t>
      </w:r>
    </w:p>
    <w:p w:rsidR="00F336FF" w:rsidRPr="00756ED5" w:rsidRDefault="00F336FF" w:rsidP="00F336FF">
      <w:pPr>
        <w:pStyle w:val="ListParagraph"/>
        <w:numPr>
          <w:ilvl w:val="0"/>
          <w:numId w:val="21"/>
        </w:numPr>
        <w:suppressAutoHyphens/>
        <w:spacing w:after="0" w:line="240" w:lineRule="auto"/>
        <w:outlineLvl w:val="0"/>
        <w:rPr>
          <w:rFonts w:ascii="Arial" w:eastAsia="Calibri" w:hAnsi="Arial" w:cs="Arial"/>
          <w:lang w:eastAsia="ar-SA"/>
        </w:rPr>
      </w:pPr>
      <w:r w:rsidRPr="00756ED5">
        <w:rPr>
          <w:rFonts w:ascii="Arial" w:eastAsia="Calibri" w:hAnsi="Arial" w:cs="Arial"/>
          <w:lang w:eastAsia="ar-SA"/>
        </w:rPr>
        <w:t>requiring all new vehicles under ADR 35 and 38 to be fitted with automatic slack adjusters</w:t>
      </w:r>
    </w:p>
    <w:p w:rsidR="00F336FF" w:rsidRPr="00756ED5" w:rsidRDefault="00F336FF" w:rsidP="00F336FF">
      <w:pPr>
        <w:pStyle w:val="ListParagraph"/>
        <w:numPr>
          <w:ilvl w:val="0"/>
          <w:numId w:val="21"/>
        </w:numPr>
        <w:suppressAutoHyphens/>
        <w:spacing w:after="0" w:line="240" w:lineRule="auto"/>
        <w:outlineLvl w:val="0"/>
        <w:rPr>
          <w:rFonts w:ascii="Arial" w:eastAsia="Calibri" w:hAnsi="Arial" w:cs="Arial"/>
          <w:lang w:eastAsia="ar-SA"/>
        </w:rPr>
      </w:pPr>
      <w:r w:rsidRPr="00756ED5">
        <w:rPr>
          <w:rFonts w:ascii="Arial" w:eastAsia="Calibri" w:hAnsi="Arial" w:cs="Arial"/>
          <w:lang w:eastAsia="ar-SA"/>
        </w:rPr>
        <w:t>requiring trucks designed for road train use and trailers designed to pull other trailers to be fitted with 24 volt connectors and</w:t>
      </w:r>
    </w:p>
    <w:p w:rsidR="00F336FF" w:rsidRPr="00756ED5" w:rsidRDefault="00F336FF" w:rsidP="00F336FF">
      <w:pPr>
        <w:pStyle w:val="ListParagraph"/>
        <w:numPr>
          <w:ilvl w:val="0"/>
          <w:numId w:val="21"/>
        </w:numPr>
        <w:suppressAutoHyphens/>
        <w:spacing w:after="0" w:line="240" w:lineRule="auto"/>
        <w:outlineLvl w:val="0"/>
        <w:rPr>
          <w:rFonts w:ascii="Arial" w:eastAsia="Calibri" w:hAnsi="Arial" w:cs="Arial"/>
          <w:lang w:eastAsia="ar-SA"/>
        </w:rPr>
      </w:pPr>
      <w:r w:rsidRPr="00756ED5">
        <w:rPr>
          <w:rFonts w:ascii="Arial" w:eastAsia="Calibri" w:hAnsi="Arial" w:cs="Arial"/>
          <w:lang w:eastAsia="ar-SA"/>
        </w:rPr>
        <w:t xml:space="preserve">allowing the vehicle stability function to be turned off, with the system re-engaging at key-on or if the vehicle exceeds </w:t>
      </w:r>
      <w:r w:rsidR="00E72080" w:rsidRPr="00E72080">
        <w:rPr>
          <w:rFonts w:ascii="Arial" w:eastAsia="Calibri" w:hAnsi="Arial" w:cs="Arial"/>
          <w:lang w:eastAsia="ar-SA"/>
        </w:rPr>
        <w:t>4</w:t>
      </w:r>
      <w:r w:rsidR="00996EF2">
        <w:rPr>
          <w:rFonts w:ascii="Arial" w:eastAsia="Calibri" w:hAnsi="Arial" w:cs="Arial"/>
          <w:lang w:eastAsia="ar-SA"/>
        </w:rPr>
        <w:t>0 km/h.</w:t>
      </w:r>
      <w:r w:rsidRPr="00E72080">
        <w:rPr>
          <w:rStyle w:val="FootnoteReference"/>
          <w:rFonts w:ascii="Arial" w:eastAsia="Calibri" w:hAnsi="Arial" w:cs="Arial"/>
          <w:lang w:eastAsia="ar-SA"/>
        </w:rPr>
        <w:footnoteReference w:id="23"/>
      </w:r>
      <w:r w:rsidRPr="00A56F30">
        <w:rPr>
          <w:rFonts w:ascii="Arial" w:eastAsia="Calibri" w:hAnsi="Arial" w:cs="Arial"/>
          <w:vertAlign w:val="superscript"/>
          <w:lang w:eastAsia="ar-SA"/>
        </w:rPr>
        <w:t>,</w:t>
      </w:r>
      <w:r>
        <w:rPr>
          <w:rStyle w:val="FootnoteReference"/>
          <w:rFonts w:ascii="Arial" w:eastAsia="Calibri" w:hAnsi="Arial" w:cs="Arial"/>
          <w:lang w:eastAsia="ar-SA"/>
        </w:rPr>
        <w:footnoteReference w:id="24"/>
      </w:r>
    </w:p>
    <w:p w:rsidR="00F336FF" w:rsidRDefault="00F336FF" w:rsidP="00261D80">
      <w:pPr>
        <w:suppressAutoHyphens/>
        <w:spacing w:after="0" w:line="240" w:lineRule="auto"/>
        <w:outlineLvl w:val="0"/>
        <w:rPr>
          <w:rFonts w:ascii="Arial" w:eastAsia="Calibri" w:hAnsi="Arial" w:cs="Arial"/>
          <w:lang w:eastAsia="ar-SA"/>
        </w:rPr>
      </w:pPr>
    </w:p>
    <w:p w:rsidR="00CC5BEF" w:rsidRDefault="00CC5BEF" w:rsidP="00261D80">
      <w:pPr>
        <w:suppressAutoHyphens/>
        <w:spacing w:after="0" w:line="240" w:lineRule="auto"/>
        <w:outlineLvl w:val="0"/>
        <w:rPr>
          <w:rFonts w:ascii="Arial" w:eastAsia="Calibri" w:hAnsi="Arial" w:cs="Arial"/>
          <w:lang w:eastAsia="ar-SA"/>
        </w:rPr>
      </w:pPr>
    </w:p>
    <w:p w:rsidR="00CC5BEF" w:rsidRPr="00CC5BEF" w:rsidRDefault="00CC5BEF" w:rsidP="00A26C3C">
      <w:pPr>
        <w:keepNext/>
        <w:suppressAutoHyphens/>
        <w:spacing w:after="0" w:line="240" w:lineRule="auto"/>
        <w:outlineLvl w:val="0"/>
        <w:rPr>
          <w:rFonts w:ascii="Arial" w:eastAsia="Calibri" w:hAnsi="Arial" w:cs="Arial"/>
          <w:b/>
          <w:lang w:eastAsia="ar-SA"/>
        </w:rPr>
      </w:pPr>
      <w:r w:rsidRPr="00CC5BEF">
        <w:rPr>
          <w:rFonts w:ascii="Arial" w:eastAsia="Calibri" w:hAnsi="Arial" w:cs="Arial"/>
          <w:b/>
          <w:lang w:eastAsia="ar-SA"/>
        </w:rPr>
        <w:t>Converter dollies and non-standard low loaders</w:t>
      </w:r>
    </w:p>
    <w:p w:rsidR="00B744B9" w:rsidRDefault="00B744B9" w:rsidP="00A26C3C">
      <w:pPr>
        <w:keepNext/>
        <w:suppressAutoHyphens/>
        <w:spacing w:after="0" w:line="240" w:lineRule="auto"/>
        <w:outlineLvl w:val="0"/>
        <w:rPr>
          <w:rFonts w:ascii="Arial" w:eastAsia="Calibri" w:hAnsi="Arial" w:cs="Arial"/>
          <w:lang w:eastAsia="ar-SA"/>
        </w:rPr>
      </w:pPr>
    </w:p>
    <w:p w:rsidR="00C32B81" w:rsidRDefault="00C32B81" w:rsidP="00A26C3C">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RIS proposes that converter dollies, as well as trailers fitted with an axle group consisting of more than four tyres in a row or more than four axles in an axle group</w:t>
      </w:r>
      <w:r w:rsidR="00A14A49">
        <w:rPr>
          <w:rFonts w:ascii="Arial" w:eastAsia="Calibri" w:hAnsi="Arial" w:cs="Arial"/>
          <w:lang w:eastAsia="ar-SA"/>
        </w:rPr>
        <w:t xml:space="preserve"> (ie: non-standard low loaders)</w:t>
      </w:r>
      <w:r>
        <w:rPr>
          <w:rFonts w:ascii="Arial" w:eastAsia="Calibri" w:hAnsi="Arial" w:cs="Arial"/>
          <w:lang w:eastAsia="ar-SA"/>
        </w:rPr>
        <w:t>, be exempt from the RSC requirement.</w:t>
      </w:r>
      <w:r w:rsidR="00A14A49">
        <w:rPr>
          <w:rStyle w:val="FootnoteReference"/>
          <w:rFonts w:ascii="Arial" w:eastAsia="Calibri" w:hAnsi="Arial" w:cs="Arial"/>
          <w:lang w:eastAsia="ar-SA"/>
        </w:rPr>
        <w:footnoteReference w:id="25"/>
      </w:r>
    </w:p>
    <w:p w:rsidR="00C32B81" w:rsidRDefault="00C32B81" w:rsidP="00261D80">
      <w:pPr>
        <w:suppressAutoHyphens/>
        <w:spacing w:after="0" w:line="240" w:lineRule="auto"/>
        <w:outlineLvl w:val="0"/>
        <w:rPr>
          <w:rFonts w:ascii="Arial" w:eastAsia="Calibri" w:hAnsi="Arial" w:cs="Arial"/>
          <w:lang w:eastAsia="ar-SA"/>
        </w:rPr>
      </w:pPr>
    </w:p>
    <w:p w:rsidR="00A14A49" w:rsidRDefault="00A14A49"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and ALRTA jointly proposed the converter dolly exemption, </w:t>
      </w:r>
      <w:bookmarkStart w:id="0" w:name="_GoBack"/>
      <w:r w:rsidR="00163238">
        <w:rPr>
          <w:rFonts w:ascii="Arial" w:eastAsia="Calibri" w:hAnsi="Arial" w:cs="Arial"/>
          <w:lang w:eastAsia="ar-SA"/>
        </w:rPr>
        <w:t xml:space="preserve">because of issues with the technology in the rough conditions encountered by road trains in rural and remote areas. </w:t>
      </w:r>
    </w:p>
    <w:bookmarkEnd w:id="0"/>
    <w:p w:rsidR="00163238" w:rsidRDefault="00163238" w:rsidP="00261D80">
      <w:pPr>
        <w:suppressAutoHyphens/>
        <w:spacing w:after="0" w:line="240" w:lineRule="auto"/>
        <w:outlineLvl w:val="0"/>
        <w:rPr>
          <w:rFonts w:ascii="Arial" w:eastAsia="Calibri" w:hAnsi="Arial" w:cs="Arial"/>
          <w:lang w:eastAsia="ar-SA"/>
        </w:rPr>
      </w:pPr>
    </w:p>
    <w:p w:rsidR="00163238" w:rsidRDefault="00163238"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There is, however, a safety case for requiring </w:t>
      </w:r>
      <w:r w:rsidR="009725A1">
        <w:rPr>
          <w:rFonts w:ascii="Arial" w:eastAsia="Calibri" w:hAnsi="Arial" w:cs="Arial"/>
          <w:lang w:eastAsia="ar-SA"/>
        </w:rPr>
        <w:t>all of the units in PBS A-doubles to be fitted with ABS/RSC, including converter dollies.</w:t>
      </w:r>
      <w:r>
        <w:rPr>
          <w:rFonts w:ascii="Arial" w:eastAsia="Calibri" w:hAnsi="Arial" w:cs="Arial"/>
          <w:lang w:eastAsia="ar-SA"/>
        </w:rPr>
        <w:t xml:space="preserve"> The risk of a rollover or a loss of control crash faced by these A-doubles could be treated by amending the PBS rules </w:t>
      </w:r>
      <w:r w:rsidR="00F003E4">
        <w:rPr>
          <w:rFonts w:ascii="Arial" w:eastAsia="Calibri" w:hAnsi="Arial" w:cs="Arial"/>
          <w:lang w:eastAsia="ar-SA"/>
        </w:rPr>
        <w:t>for new designs and new vehicles built under existing designs</w:t>
      </w:r>
      <w:r>
        <w:rPr>
          <w:rFonts w:ascii="Arial" w:eastAsia="Calibri" w:hAnsi="Arial" w:cs="Arial"/>
          <w:lang w:eastAsia="ar-SA"/>
        </w:rPr>
        <w:t xml:space="preserve"> rather than altering the exemption</w:t>
      </w:r>
      <w:r w:rsidR="00443775">
        <w:rPr>
          <w:rFonts w:ascii="Arial" w:eastAsia="Calibri" w:hAnsi="Arial" w:cs="Arial"/>
          <w:lang w:eastAsia="ar-SA"/>
        </w:rPr>
        <w:t xml:space="preserve"> in draft ADR 38/05.</w:t>
      </w:r>
    </w:p>
    <w:p w:rsidR="00163238" w:rsidRDefault="00163238" w:rsidP="00261D80">
      <w:pPr>
        <w:suppressAutoHyphens/>
        <w:spacing w:after="0" w:line="240" w:lineRule="auto"/>
        <w:outlineLvl w:val="0"/>
        <w:rPr>
          <w:rFonts w:ascii="Arial" w:eastAsia="Calibri" w:hAnsi="Arial" w:cs="Arial"/>
          <w:lang w:eastAsia="ar-SA"/>
        </w:rPr>
      </w:pPr>
    </w:p>
    <w:p w:rsidR="00163238" w:rsidRDefault="00163238" w:rsidP="00261D80">
      <w:pPr>
        <w:suppressAutoHyphens/>
        <w:spacing w:after="0" w:line="240" w:lineRule="auto"/>
        <w:outlineLvl w:val="0"/>
        <w:rPr>
          <w:rFonts w:ascii="Arial" w:eastAsia="Calibri" w:hAnsi="Arial" w:cs="Arial"/>
          <w:lang w:eastAsia="ar-SA"/>
        </w:rPr>
      </w:pPr>
    </w:p>
    <w:p w:rsidR="00B744B9" w:rsidRPr="00B744B9" w:rsidRDefault="00B744B9" w:rsidP="00261D80">
      <w:pPr>
        <w:suppressAutoHyphens/>
        <w:spacing w:after="0" w:line="240" w:lineRule="auto"/>
        <w:outlineLvl w:val="0"/>
        <w:rPr>
          <w:rFonts w:ascii="Arial" w:eastAsia="Calibri" w:hAnsi="Arial" w:cs="Arial"/>
          <w:b/>
          <w:lang w:eastAsia="ar-SA"/>
        </w:rPr>
      </w:pPr>
      <w:r w:rsidRPr="00B744B9">
        <w:rPr>
          <w:rFonts w:ascii="Arial" w:eastAsia="Calibri" w:hAnsi="Arial" w:cs="Arial"/>
          <w:b/>
          <w:lang w:eastAsia="ar-SA"/>
        </w:rPr>
        <w:t>Trailers with steel spring suspensions</w:t>
      </w:r>
    </w:p>
    <w:p w:rsidR="00B744B9" w:rsidRDefault="00B744B9" w:rsidP="00261D80">
      <w:pPr>
        <w:suppressAutoHyphens/>
        <w:spacing w:after="0" w:line="240" w:lineRule="auto"/>
        <w:outlineLvl w:val="0"/>
        <w:rPr>
          <w:rFonts w:ascii="Arial" w:eastAsia="Calibri" w:hAnsi="Arial" w:cs="Arial"/>
          <w:lang w:eastAsia="ar-SA"/>
        </w:rPr>
      </w:pPr>
    </w:p>
    <w:p w:rsidR="00B744B9" w:rsidRDefault="00B744B9"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Under the proposals in the RIS, RSC would be required on new trailers with steel spring suspensions as well as air suspensions. The RIS argues that there may no longer be a technical barrier to fitting effective RSC systems on these trailers, and that steel spring suspension is more common in Australia than in Europe.</w:t>
      </w:r>
      <w:r>
        <w:rPr>
          <w:rStyle w:val="FootnoteReference"/>
          <w:rFonts w:ascii="Arial" w:eastAsia="Calibri" w:hAnsi="Arial" w:cs="Arial"/>
          <w:lang w:eastAsia="ar-SA"/>
        </w:rPr>
        <w:footnoteReference w:id="26"/>
      </w:r>
    </w:p>
    <w:p w:rsidR="00B744B9" w:rsidRDefault="00B744B9" w:rsidP="00261D80">
      <w:pPr>
        <w:suppressAutoHyphens/>
        <w:spacing w:after="0" w:line="240" w:lineRule="auto"/>
        <w:outlineLvl w:val="0"/>
        <w:rPr>
          <w:rFonts w:ascii="Arial" w:eastAsia="Calibri" w:hAnsi="Arial" w:cs="Arial"/>
          <w:lang w:eastAsia="ar-SA"/>
        </w:rPr>
      </w:pPr>
    </w:p>
    <w:p w:rsidR="00B744B9" w:rsidRDefault="00B744B9" w:rsidP="00261D80">
      <w:pPr>
        <w:suppressAutoHyphens/>
        <w:spacing w:after="0" w:line="240" w:lineRule="auto"/>
        <w:outlineLvl w:val="0"/>
        <w:rPr>
          <w:rFonts w:ascii="Arial" w:eastAsia="Calibri" w:hAnsi="Arial" w:cs="Arial"/>
          <w:lang w:eastAsia="ar-SA"/>
        </w:rPr>
      </w:pPr>
      <w:r w:rsidRPr="00B744B9">
        <w:rPr>
          <w:rFonts w:ascii="Arial" w:eastAsia="Calibri" w:hAnsi="Arial" w:cs="Arial"/>
          <w:lang w:eastAsia="ar-SA"/>
        </w:rPr>
        <w:t>The</w:t>
      </w:r>
      <w:r>
        <w:rPr>
          <w:rFonts w:ascii="Arial" w:eastAsia="Calibri" w:hAnsi="Arial" w:cs="Arial"/>
          <w:lang w:eastAsia="ar-SA"/>
        </w:rPr>
        <w:t xml:space="preserve"> ATA supports the RIS proposal. There are s</w:t>
      </w:r>
      <w:r w:rsidRPr="00B744B9">
        <w:rPr>
          <w:rFonts w:ascii="Arial" w:eastAsia="Calibri" w:hAnsi="Arial" w:cs="Arial"/>
          <w:lang w:eastAsia="ar-SA"/>
        </w:rPr>
        <w:t>te</w:t>
      </w:r>
      <w:r>
        <w:rPr>
          <w:rFonts w:ascii="Arial" w:eastAsia="Calibri" w:hAnsi="Arial" w:cs="Arial"/>
          <w:lang w:eastAsia="ar-SA"/>
        </w:rPr>
        <w:t xml:space="preserve">el spring trailers </w:t>
      </w:r>
      <w:r w:rsidR="00CC5BEF">
        <w:rPr>
          <w:rFonts w:ascii="Arial" w:eastAsia="Calibri" w:hAnsi="Arial" w:cs="Arial"/>
          <w:lang w:eastAsia="ar-SA"/>
        </w:rPr>
        <w:t>with stability c</w:t>
      </w:r>
      <w:r w:rsidR="00CC5BEF" w:rsidRPr="00B744B9">
        <w:rPr>
          <w:rFonts w:ascii="Arial" w:eastAsia="Calibri" w:hAnsi="Arial" w:cs="Arial"/>
          <w:lang w:eastAsia="ar-SA"/>
        </w:rPr>
        <w:t xml:space="preserve">ontrol </w:t>
      </w:r>
      <w:r w:rsidR="00CC5BEF">
        <w:rPr>
          <w:rFonts w:ascii="Arial" w:eastAsia="Calibri" w:hAnsi="Arial" w:cs="Arial"/>
          <w:lang w:eastAsia="ar-SA"/>
        </w:rPr>
        <w:t xml:space="preserve">systems </w:t>
      </w:r>
      <w:r>
        <w:rPr>
          <w:rFonts w:ascii="Arial" w:eastAsia="Calibri" w:hAnsi="Arial" w:cs="Arial"/>
          <w:lang w:eastAsia="ar-SA"/>
        </w:rPr>
        <w:t>operating successfully in Australia already.</w:t>
      </w:r>
      <w:r w:rsidRPr="00B744B9">
        <w:rPr>
          <w:rFonts w:ascii="Arial" w:eastAsia="Calibri" w:hAnsi="Arial" w:cs="Arial"/>
          <w:lang w:eastAsia="ar-SA"/>
        </w:rPr>
        <w:t xml:space="preserve"> </w:t>
      </w:r>
    </w:p>
    <w:p w:rsidR="00B744B9" w:rsidRDefault="00B744B9" w:rsidP="00261D80">
      <w:pPr>
        <w:suppressAutoHyphens/>
        <w:spacing w:after="0" w:line="240" w:lineRule="auto"/>
        <w:outlineLvl w:val="0"/>
        <w:rPr>
          <w:rFonts w:ascii="Arial" w:eastAsia="Calibri" w:hAnsi="Arial" w:cs="Arial"/>
          <w:lang w:eastAsia="ar-SA"/>
        </w:rPr>
      </w:pPr>
    </w:p>
    <w:p w:rsidR="00B744B9" w:rsidRDefault="00B744B9" w:rsidP="00261D80">
      <w:pPr>
        <w:suppressAutoHyphens/>
        <w:spacing w:after="0" w:line="240" w:lineRule="auto"/>
        <w:outlineLvl w:val="0"/>
        <w:rPr>
          <w:rFonts w:ascii="Arial" w:eastAsia="Calibri" w:hAnsi="Arial" w:cs="Arial"/>
          <w:lang w:eastAsia="ar-SA"/>
        </w:rPr>
      </w:pPr>
    </w:p>
    <w:p w:rsidR="00B744B9" w:rsidRPr="00B744B9" w:rsidRDefault="00B744B9" w:rsidP="00261D80">
      <w:pPr>
        <w:suppressAutoHyphens/>
        <w:spacing w:after="0" w:line="240" w:lineRule="auto"/>
        <w:outlineLvl w:val="0"/>
        <w:rPr>
          <w:rFonts w:ascii="Arial" w:eastAsia="Calibri" w:hAnsi="Arial" w:cs="Arial"/>
          <w:b/>
          <w:lang w:eastAsia="ar-SA"/>
        </w:rPr>
      </w:pPr>
      <w:r w:rsidRPr="00B744B9">
        <w:rPr>
          <w:rFonts w:ascii="Arial" w:eastAsia="Calibri" w:hAnsi="Arial" w:cs="Arial"/>
          <w:b/>
          <w:lang w:eastAsia="ar-SA"/>
        </w:rPr>
        <w:t>Automatic slack adjusters</w:t>
      </w:r>
    </w:p>
    <w:p w:rsidR="00B744B9" w:rsidRDefault="00B744B9" w:rsidP="00261D80">
      <w:pPr>
        <w:suppressAutoHyphens/>
        <w:spacing w:after="0" w:line="240" w:lineRule="auto"/>
        <w:outlineLvl w:val="0"/>
        <w:rPr>
          <w:rFonts w:ascii="Arial" w:eastAsia="Calibri" w:hAnsi="Arial" w:cs="Arial"/>
          <w:lang w:eastAsia="ar-SA"/>
        </w:rPr>
      </w:pPr>
    </w:p>
    <w:p w:rsidR="00B744B9" w:rsidRDefault="00B744B9" w:rsidP="00261D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RIS </w:t>
      </w:r>
      <w:r w:rsidR="008913D8">
        <w:rPr>
          <w:rFonts w:ascii="Arial" w:eastAsia="Calibri" w:hAnsi="Arial" w:cs="Arial"/>
          <w:lang w:eastAsia="ar-SA"/>
        </w:rPr>
        <w:t xml:space="preserve">proposes that automatic slack adjusters be required for </w:t>
      </w:r>
      <w:r w:rsidR="00AC3796">
        <w:rPr>
          <w:rFonts w:ascii="Arial" w:eastAsia="Calibri" w:hAnsi="Arial" w:cs="Arial"/>
          <w:lang w:eastAsia="ar-SA"/>
        </w:rPr>
        <w:t xml:space="preserve">all </w:t>
      </w:r>
      <w:r w:rsidR="008913D8">
        <w:rPr>
          <w:rFonts w:ascii="Arial" w:eastAsia="Calibri" w:hAnsi="Arial" w:cs="Arial"/>
          <w:lang w:eastAsia="ar-SA"/>
        </w:rPr>
        <w:t>vehicles under ADR 35/06</w:t>
      </w:r>
      <w:r w:rsidR="00AC3796">
        <w:rPr>
          <w:rFonts w:ascii="Arial" w:eastAsia="Calibri" w:hAnsi="Arial" w:cs="Arial"/>
          <w:lang w:eastAsia="ar-SA"/>
        </w:rPr>
        <w:t xml:space="preserve"> with drum brakes</w:t>
      </w:r>
      <w:r w:rsidR="008913D8">
        <w:rPr>
          <w:rFonts w:ascii="Arial" w:eastAsia="Calibri" w:hAnsi="Arial" w:cs="Arial"/>
          <w:lang w:eastAsia="ar-SA"/>
        </w:rPr>
        <w:t xml:space="preserve">, and all </w:t>
      </w:r>
      <w:r w:rsidR="00AC3796">
        <w:rPr>
          <w:rFonts w:ascii="Arial" w:eastAsia="Calibri" w:hAnsi="Arial" w:cs="Arial"/>
          <w:lang w:eastAsia="ar-SA"/>
        </w:rPr>
        <w:t>new trailers over 4.5t with drum brakes.</w:t>
      </w:r>
      <w:r w:rsidR="008913D8">
        <w:rPr>
          <w:rStyle w:val="FootnoteReference"/>
          <w:rFonts w:ascii="Arial" w:eastAsia="Calibri" w:hAnsi="Arial" w:cs="Arial"/>
          <w:lang w:eastAsia="ar-SA"/>
        </w:rPr>
        <w:footnoteReference w:id="27"/>
      </w:r>
      <w:r w:rsidR="00AC3796">
        <w:rPr>
          <w:rFonts w:ascii="Arial" w:eastAsia="Calibri" w:hAnsi="Arial" w:cs="Arial"/>
          <w:lang w:eastAsia="ar-SA"/>
        </w:rPr>
        <w:t xml:space="preserve"> At present, automatic slack adjusters are only required for trailers with drum brakes that are fitted with ABS.</w:t>
      </w:r>
      <w:r w:rsidR="00AC3796">
        <w:rPr>
          <w:rStyle w:val="FootnoteReference"/>
          <w:rFonts w:ascii="Arial" w:eastAsia="Calibri" w:hAnsi="Arial" w:cs="Arial"/>
          <w:lang w:eastAsia="ar-SA"/>
        </w:rPr>
        <w:footnoteReference w:id="28"/>
      </w:r>
    </w:p>
    <w:p w:rsidR="008913D8" w:rsidRDefault="008913D8" w:rsidP="00261D80">
      <w:pPr>
        <w:suppressAutoHyphens/>
        <w:spacing w:after="0" w:line="240" w:lineRule="auto"/>
        <w:outlineLvl w:val="0"/>
        <w:rPr>
          <w:rFonts w:ascii="Arial" w:eastAsia="Calibri" w:hAnsi="Arial" w:cs="Arial"/>
          <w:lang w:eastAsia="ar-SA"/>
        </w:rPr>
      </w:pPr>
    </w:p>
    <w:p w:rsidR="009877FE" w:rsidRPr="009877FE" w:rsidRDefault="008913D8" w:rsidP="009877FE">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supports the proposed requirement. </w:t>
      </w:r>
      <w:r w:rsidR="00AC3796">
        <w:rPr>
          <w:rFonts w:ascii="Arial" w:eastAsia="Calibri" w:hAnsi="Arial" w:cs="Arial"/>
          <w:lang w:eastAsia="ar-SA"/>
        </w:rPr>
        <w:t>Automatic slack a</w:t>
      </w:r>
      <w:r w:rsidR="009877FE" w:rsidRPr="009877FE">
        <w:rPr>
          <w:rFonts w:ascii="Arial" w:eastAsia="Calibri" w:hAnsi="Arial" w:cs="Arial"/>
          <w:lang w:eastAsia="ar-SA"/>
        </w:rPr>
        <w:t>djusters are mechanical device</w:t>
      </w:r>
      <w:r w:rsidR="009877FE">
        <w:rPr>
          <w:rFonts w:ascii="Arial" w:eastAsia="Calibri" w:hAnsi="Arial" w:cs="Arial"/>
          <w:lang w:eastAsia="ar-SA"/>
        </w:rPr>
        <w:t>s</w:t>
      </w:r>
      <w:r w:rsidR="009877FE" w:rsidRPr="009877FE">
        <w:rPr>
          <w:rFonts w:ascii="Arial" w:eastAsia="Calibri" w:hAnsi="Arial" w:cs="Arial"/>
          <w:lang w:eastAsia="ar-SA"/>
        </w:rPr>
        <w:t xml:space="preserve"> designed to maintain a pre-determined stroke or clearance between the brake drum and brake block u</w:t>
      </w:r>
      <w:r w:rsidR="00AC3796">
        <w:rPr>
          <w:rFonts w:ascii="Arial" w:eastAsia="Calibri" w:hAnsi="Arial" w:cs="Arial"/>
          <w:lang w:eastAsia="ar-SA"/>
        </w:rPr>
        <w:t xml:space="preserve">nder most operating situations. </w:t>
      </w:r>
      <w:r w:rsidR="009877FE" w:rsidRPr="009877FE">
        <w:rPr>
          <w:rFonts w:ascii="Arial" w:eastAsia="Calibri" w:hAnsi="Arial" w:cs="Arial"/>
          <w:lang w:eastAsia="ar-SA"/>
        </w:rPr>
        <w:t>This process of maintaining near optimum brakes adjustment by continuously adjusting th</w:t>
      </w:r>
      <w:r w:rsidR="00AC3796">
        <w:rPr>
          <w:rFonts w:ascii="Arial" w:eastAsia="Calibri" w:hAnsi="Arial" w:cs="Arial"/>
          <w:lang w:eastAsia="ar-SA"/>
        </w:rPr>
        <w:t>e brakes as their surfaces wear</w:t>
      </w:r>
      <w:r w:rsidR="009877FE" w:rsidRPr="009877FE">
        <w:rPr>
          <w:rFonts w:ascii="Arial" w:eastAsia="Calibri" w:hAnsi="Arial" w:cs="Arial"/>
          <w:lang w:eastAsia="ar-SA"/>
        </w:rPr>
        <w:t xml:space="preserve"> assists in ensuring </w:t>
      </w:r>
      <w:r w:rsidR="00AC3796">
        <w:rPr>
          <w:rFonts w:ascii="Arial" w:eastAsia="Calibri" w:hAnsi="Arial" w:cs="Arial"/>
          <w:lang w:eastAsia="ar-SA"/>
        </w:rPr>
        <w:t xml:space="preserve">the </w:t>
      </w:r>
      <w:r w:rsidR="009877FE" w:rsidRPr="009877FE">
        <w:rPr>
          <w:rFonts w:ascii="Arial" w:eastAsia="Calibri" w:hAnsi="Arial" w:cs="Arial"/>
          <w:lang w:eastAsia="ar-SA"/>
        </w:rPr>
        <w:t>friction b</w:t>
      </w:r>
      <w:r w:rsidR="00AC3796">
        <w:rPr>
          <w:rFonts w:ascii="Arial" w:eastAsia="Calibri" w:hAnsi="Arial" w:cs="Arial"/>
          <w:lang w:eastAsia="ar-SA"/>
        </w:rPr>
        <w:t>alance of the foundation brakes.</w:t>
      </w:r>
      <w:r w:rsidR="009877FE" w:rsidRPr="009877FE">
        <w:rPr>
          <w:rFonts w:ascii="Arial" w:eastAsia="Calibri" w:hAnsi="Arial" w:cs="Arial"/>
          <w:lang w:eastAsia="ar-SA"/>
        </w:rPr>
        <w:t xml:space="preserve"> </w:t>
      </w:r>
    </w:p>
    <w:p w:rsidR="009877FE" w:rsidRDefault="009877FE" w:rsidP="009877FE">
      <w:pPr>
        <w:suppressAutoHyphens/>
        <w:spacing w:after="0" w:line="240" w:lineRule="auto"/>
        <w:outlineLvl w:val="0"/>
        <w:rPr>
          <w:rFonts w:ascii="Arial" w:eastAsia="Calibri" w:hAnsi="Arial" w:cs="Arial"/>
          <w:lang w:eastAsia="ar-SA"/>
        </w:rPr>
      </w:pPr>
    </w:p>
    <w:p w:rsidR="009877FE" w:rsidRPr="009877FE" w:rsidRDefault="00AC3796" w:rsidP="009877FE">
      <w:pPr>
        <w:suppressAutoHyphens/>
        <w:spacing w:after="0" w:line="240" w:lineRule="auto"/>
        <w:outlineLvl w:val="0"/>
        <w:rPr>
          <w:rFonts w:ascii="Arial" w:eastAsia="Calibri" w:hAnsi="Arial" w:cs="Arial"/>
          <w:lang w:eastAsia="ar-SA"/>
        </w:rPr>
      </w:pPr>
      <w:r>
        <w:rPr>
          <w:rFonts w:ascii="Arial" w:eastAsia="Calibri" w:hAnsi="Arial" w:cs="Arial"/>
          <w:lang w:eastAsia="ar-SA"/>
        </w:rPr>
        <w:t>When smart</w:t>
      </w:r>
      <w:r w:rsidR="009877FE" w:rsidRPr="009877FE">
        <w:rPr>
          <w:rFonts w:ascii="Arial" w:eastAsia="Calibri" w:hAnsi="Arial" w:cs="Arial"/>
          <w:lang w:eastAsia="ar-SA"/>
        </w:rPr>
        <w:t xml:space="preserve"> brake systems technologies are enga</w:t>
      </w:r>
      <w:r>
        <w:rPr>
          <w:rFonts w:ascii="Arial" w:eastAsia="Calibri" w:hAnsi="Arial" w:cs="Arial"/>
          <w:lang w:eastAsia="ar-SA"/>
        </w:rPr>
        <w:t xml:space="preserve">ged, the functioning of the ABS and/or </w:t>
      </w:r>
      <w:r w:rsidR="009877FE" w:rsidRPr="009877FE">
        <w:rPr>
          <w:rFonts w:ascii="Arial" w:eastAsia="Calibri" w:hAnsi="Arial" w:cs="Arial"/>
          <w:lang w:eastAsia="ar-SA"/>
        </w:rPr>
        <w:t xml:space="preserve">RSC can result in significant cycling of brake applications that can </w:t>
      </w:r>
      <w:r>
        <w:rPr>
          <w:rFonts w:ascii="Arial" w:eastAsia="Calibri" w:hAnsi="Arial" w:cs="Arial"/>
          <w:lang w:eastAsia="ar-SA"/>
        </w:rPr>
        <w:t>place demands on the air supply. M</w:t>
      </w:r>
      <w:r w:rsidR="009877FE" w:rsidRPr="009877FE">
        <w:rPr>
          <w:rFonts w:ascii="Arial" w:eastAsia="Calibri" w:hAnsi="Arial" w:cs="Arial"/>
          <w:lang w:eastAsia="ar-SA"/>
        </w:rPr>
        <w:t xml:space="preserve">aintaining optimum brake adjustment minimises air consumption during the cycling of the </w:t>
      </w:r>
      <w:r>
        <w:rPr>
          <w:rFonts w:ascii="Arial" w:eastAsia="Calibri" w:hAnsi="Arial" w:cs="Arial"/>
          <w:lang w:eastAsia="ar-SA"/>
        </w:rPr>
        <w:t>smart brake system functions</w:t>
      </w:r>
      <w:r w:rsidR="009877FE" w:rsidRPr="009877FE">
        <w:rPr>
          <w:rFonts w:ascii="Arial" w:eastAsia="Calibri" w:hAnsi="Arial" w:cs="Arial"/>
          <w:lang w:eastAsia="ar-SA"/>
        </w:rPr>
        <w:t>.</w:t>
      </w:r>
    </w:p>
    <w:p w:rsidR="009877FE" w:rsidRDefault="009877FE" w:rsidP="009877FE">
      <w:pPr>
        <w:suppressAutoHyphens/>
        <w:spacing w:after="0" w:line="240" w:lineRule="auto"/>
        <w:outlineLvl w:val="0"/>
        <w:rPr>
          <w:rFonts w:ascii="Arial" w:eastAsia="Calibri" w:hAnsi="Arial" w:cs="Arial"/>
          <w:lang w:eastAsia="ar-SA"/>
        </w:rPr>
      </w:pPr>
    </w:p>
    <w:p w:rsidR="009877FE" w:rsidRDefault="009877FE" w:rsidP="009877FE">
      <w:pPr>
        <w:suppressAutoHyphens/>
        <w:spacing w:after="0" w:line="240" w:lineRule="auto"/>
        <w:outlineLvl w:val="0"/>
        <w:rPr>
          <w:rFonts w:ascii="Arial" w:eastAsia="Calibri" w:hAnsi="Arial" w:cs="Arial"/>
          <w:lang w:eastAsia="ar-SA"/>
        </w:rPr>
      </w:pPr>
      <w:r w:rsidRPr="009877FE">
        <w:rPr>
          <w:rFonts w:ascii="Arial" w:eastAsia="Calibri" w:hAnsi="Arial" w:cs="Arial"/>
          <w:lang w:eastAsia="ar-SA"/>
        </w:rPr>
        <w:t>The ATA supports the proposed requirement.</w:t>
      </w:r>
    </w:p>
    <w:p w:rsidR="008913D8" w:rsidRDefault="008913D8" w:rsidP="00261D80">
      <w:pPr>
        <w:suppressAutoHyphens/>
        <w:spacing w:after="0" w:line="240" w:lineRule="auto"/>
        <w:outlineLvl w:val="0"/>
        <w:rPr>
          <w:rFonts w:ascii="Arial" w:eastAsia="Calibri" w:hAnsi="Arial" w:cs="Arial"/>
          <w:lang w:eastAsia="ar-SA"/>
        </w:rPr>
      </w:pPr>
    </w:p>
    <w:p w:rsidR="009877FE" w:rsidRPr="00A536B4" w:rsidRDefault="009877FE" w:rsidP="00261D80">
      <w:pPr>
        <w:suppressAutoHyphens/>
        <w:spacing w:after="0" w:line="240" w:lineRule="auto"/>
        <w:outlineLvl w:val="0"/>
        <w:rPr>
          <w:rFonts w:ascii="Arial" w:eastAsia="Calibri" w:hAnsi="Arial" w:cs="Arial"/>
          <w:lang w:eastAsia="ar-SA"/>
        </w:rPr>
      </w:pPr>
    </w:p>
    <w:p w:rsidR="005276F5" w:rsidRDefault="00E7188E" w:rsidP="00F003E4">
      <w:pPr>
        <w:keepNext/>
        <w:suppressAutoHyphens/>
        <w:spacing w:after="0" w:line="240" w:lineRule="auto"/>
        <w:outlineLvl w:val="0"/>
        <w:rPr>
          <w:rFonts w:ascii="Arial" w:eastAsia="Calibri" w:hAnsi="Arial" w:cs="Arial"/>
          <w:b/>
          <w:lang w:eastAsia="ar-SA"/>
        </w:rPr>
      </w:pPr>
      <w:r>
        <w:rPr>
          <w:rFonts w:ascii="Arial" w:eastAsia="Calibri" w:hAnsi="Arial" w:cs="Arial"/>
          <w:b/>
          <w:lang w:eastAsia="ar-SA"/>
        </w:rPr>
        <w:t>24V connectors</w:t>
      </w:r>
    </w:p>
    <w:p w:rsidR="00A536B4" w:rsidRDefault="00A536B4" w:rsidP="00F003E4">
      <w:pPr>
        <w:keepNext/>
        <w:suppressAutoHyphens/>
        <w:spacing w:after="0" w:line="240" w:lineRule="auto"/>
        <w:outlineLvl w:val="0"/>
        <w:rPr>
          <w:rFonts w:ascii="Arial" w:eastAsia="Calibri" w:hAnsi="Arial" w:cs="Arial"/>
          <w:lang w:eastAsia="ar-SA"/>
        </w:rPr>
      </w:pPr>
    </w:p>
    <w:p w:rsidR="00B42971" w:rsidRDefault="00B42971" w:rsidP="00F003E4">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The ATA’s ESC/RSC Technical Advisory Procedure recommends that operators should use a 24V power supply where are more than two trailers in a combination.</w:t>
      </w:r>
      <w:r>
        <w:rPr>
          <w:rStyle w:val="FootnoteReference"/>
          <w:rFonts w:ascii="Arial" w:eastAsia="Calibri" w:hAnsi="Arial" w:cs="Arial"/>
          <w:lang w:eastAsia="ar-SA"/>
        </w:rPr>
        <w:footnoteReference w:id="29"/>
      </w:r>
    </w:p>
    <w:p w:rsidR="00B42971" w:rsidRDefault="00B42971" w:rsidP="00A536B4">
      <w:pPr>
        <w:suppressAutoHyphens/>
        <w:spacing w:after="0" w:line="240" w:lineRule="auto"/>
        <w:outlineLvl w:val="0"/>
        <w:rPr>
          <w:rFonts w:ascii="Arial" w:eastAsia="Calibri" w:hAnsi="Arial" w:cs="Arial"/>
          <w:lang w:eastAsia="ar-SA"/>
        </w:rPr>
      </w:pPr>
    </w:p>
    <w:p w:rsidR="008526D9" w:rsidRDefault="00B42971" w:rsidP="00A536B4">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RIS </w:t>
      </w:r>
      <w:r w:rsidR="00C253C4">
        <w:rPr>
          <w:rFonts w:ascii="Arial" w:eastAsia="Calibri" w:hAnsi="Arial" w:cs="Arial"/>
          <w:lang w:eastAsia="ar-SA"/>
        </w:rPr>
        <w:t xml:space="preserve">broadly </w:t>
      </w:r>
      <w:r>
        <w:rPr>
          <w:rFonts w:ascii="Arial" w:eastAsia="Calibri" w:hAnsi="Arial" w:cs="Arial"/>
          <w:lang w:eastAsia="ar-SA"/>
        </w:rPr>
        <w:t>reflects this advice</w:t>
      </w:r>
      <w:r w:rsidR="00C253C4">
        <w:rPr>
          <w:rFonts w:ascii="Arial" w:eastAsia="Calibri" w:hAnsi="Arial" w:cs="Arial"/>
          <w:lang w:eastAsia="ar-SA"/>
        </w:rPr>
        <w:t>.</w:t>
      </w:r>
      <w:r>
        <w:rPr>
          <w:rStyle w:val="FootnoteReference"/>
          <w:rFonts w:ascii="Arial" w:eastAsia="Calibri" w:hAnsi="Arial" w:cs="Arial"/>
          <w:lang w:eastAsia="ar-SA"/>
        </w:rPr>
        <w:footnoteReference w:id="30"/>
      </w:r>
      <w:r>
        <w:rPr>
          <w:rFonts w:ascii="Arial" w:eastAsia="Calibri" w:hAnsi="Arial" w:cs="Arial"/>
          <w:lang w:eastAsia="ar-SA"/>
        </w:rPr>
        <w:t xml:space="preserve"> </w:t>
      </w:r>
      <w:r w:rsidR="00C253C4">
        <w:rPr>
          <w:rFonts w:ascii="Arial" w:eastAsia="Calibri" w:hAnsi="Arial" w:cs="Arial"/>
          <w:lang w:eastAsia="ar-SA"/>
        </w:rPr>
        <w:t>New trucks designed to be used in road train combinations would need to provide 24V for trailer braking.</w:t>
      </w:r>
      <w:r w:rsidR="00C253C4">
        <w:rPr>
          <w:rStyle w:val="FootnoteReference"/>
          <w:rFonts w:ascii="Arial" w:eastAsia="Calibri" w:hAnsi="Arial" w:cs="Arial"/>
          <w:lang w:eastAsia="ar-SA"/>
        </w:rPr>
        <w:footnoteReference w:id="31"/>
      </w:r>
      <w:r w:rsidR="00C253C4">
        <w:rPr>
          <w:rFonts w:ascii="Arial" w:eastAsia="Calibri" w:hAnsi="Arial" w:cs="Arial"/>
          <w:lang w:eastAsia="ar-SA"/>
        </w:rPr>
        <w:t xml:space="preserve"> New trailers designed to be used in road trains (including converter dollies) would need to be able to provide 24V through power.</w:t>
      </w:r>
      <w:r w:rsidR="00C253C4">
        <w:rPr>
          <w:rStyle w:val="FootnoteReference"/>
          <w:rFonts w:ascii="Arial" w:eastAsia="Calibri" w:hAnsi="Arial" w:cs="Arial"/>
          <w:lang w:eastAsia="ar-SA"/>
        </w:rPr>
        <w:footnoteReference w:id="32"/>
      </w:r>
      <w:r w:rsidR="00C253C4">
        <w:rPr>
          <w:rFonts w:ascii="Arial" w:eastAsia="Calibri" w:hAnsi="Arial" w:cs="Arial"/>
          <w:lang w:eastAsia="ar-SA"/>
        </w:rPr>
        <w:t xml:space="preserve"> T</w:t>
      </w:r>
      <w:r w:rsidR="008526D9">
        <w:rPr>
          <w:rFonts w:ascii="Arial" w:eastAsia="Calibri" w:hAnsi="Arial" w:cs="Arial"/>
          <w:lang w:eastAsia="ar-SA"/>
        </w:rPr>
        <w:t xml:space="preserve">he </w:t>
      </w:r>
      <w:r w:rsidR="00185006">
        <w:rPr>
          <w:rFonts w:ascii="Arial" w:eastAsia="Calibri" w:hAnsi="Arial" w:cs="Arial"/>
          <w:lang w:eastAsia="ar-SA"/>
        </w:rPr>
        <w:t xml:space="preserve">existing </w:t>
      </w:r>
      <w:r w:rsidR="008526D9">
        <w:rPr>
          <w:rFonts w:ascii="Arial" w:eastAsia="Calibri" w:hAnsi="Arial" w:cs="Arial"/>
          <w:lang w:eastAsia="ar-SA"/>
        </w:rPr>
        <w:t>in-service vehicle standards would require operators to connect new trucks and trailers used in road trains to 24V power as envisaged.</w:t>
      </w:r>
      <w:r w:rsidR="008526D9">
        <w:rPr>
          <w:rStyle w:val="FootnoteReference"/>
          <w:rFonts w:ascii="Arial" w:eastAsia="Calibri" w:hAnsi="Arial" w:cs="Arial"/>
          <w:lang w:eastAsia="ar-SA"/>
        </w:rPr>
        <w:footnoteReference w:id="33"/>
      </w:r>
      <w:r w:rsidR="008526D9">
        <w:rPr>
          <w:rFonts w:ascii="Arial" w:eastAsia="Calibri" w:hAnsi="Arial" w:cs="Arial"/>
          <w:lang w:eastAsia="ar-SA"/>
        </w:rPr>
        <w:t xml:space="preserve"> </w:t>
      </w:r>
    </w:p>
    <w:p w:rsidR="008526D9" w:rsidRDefault="008526D9" w:rsidP="00A536B4">
      <w:pPr>
        <w:suppressAutoHyphens/>
        <w:spacing w:after="0" w:line="240" w:lineRule="auto"/>
        <w:outlineLvl w:val="0"/>
        <w:rPr>
          <w:rFonts w:ascii="Arial" w:eastAsia="Calibri" w:hAnsi="Arial" w:cs="Arial"/>
          <w:lang w:eastAsia="ar-SA"/>
        </w:rPr>
      </w:pPr>
    </w:p>
    <w:p w:rsidR="009C259D" w:rsidRDefault="008526D9" w:rsidP="008526D9">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Plain English, consequential </w:t>
      </w:r>
      <w:r w:rsidR="00B42971">
        <w:rPr>
          <w:rFonts w:ascii="Arial" w:eastAsia="Calibri" w:hAnsi="Arial" w:cs="Arial"/>
          <w:lang w:eastAsia="ar-SA"/>
        </w:rPr>
        <w:t>amendment</w:t>
      </w:r>
      <w:r w:rsidR="009C259D">
        <w:rPr>
          <w:rFonts w:ascii="Arial" w:eastAsia="Calibri" w:hAnsi="Arial" w:cs="Arial"/>
          <w:lang w:eastAsia="ar-SA"/>
        </w:rPr>
        <w:t>s</w:t>
      </w:r>
      <w:r w:rsidR="00B42971">
        <w:rPr>
          <w:rFonts w:ascii="Arial" w:eastAsia="Calibri" w:hAnsi="Arial" w:cs="Arial"/>
          <w:lang w:eastAsia="ar-SA"/>
        </w:rPr>
        <w:t xml:space="preserve"> would need to be made to the National </w:t>
      </w:r>
      <w:r w:rsidR="009C259D">
        <w:rPr>
          <w:rFonts w:ascii="Arial" w:eastAsia="Calibri" w:hAnsi="Arial" w:cs="Arial"/>
          <w:lang w:eastAsia="ar-SA"/>
        </w:rPr>
        <w:t xml:space="preserve">Heavy Vehicle Inspection Manual to </w:t>
      </w:r>
      <w:r w:rsidR="009C259D" w:rsidRPr="009C259D">
        <w:rPr>
          <w:rFonts w:ascii="Arial" w:eastAsia="Calibri" w:hAnsi="Arial" w:cs="Arial"/>
          <w:lang w:eastAsia="ar-SA"/>
        </w:rPr>
        <w:t xml:space="preserve">provide inspectors and the industry with guidance </w:t>
      </w:r>
      <w:r w:rsidR="009C259D">
        <w:rPr>
          <w:rFonts w:ascii="Arial" w:eastAsia="Calibri" w:hAnsi="Arial" w:cs="Arial"/>
          <w:lang w:eastAsia="ar-SA"/>
        </w:rPr>
        <w:t xml:space="preserve">that: </w:t>
      </w:r>
    </w:p>
    <w:p w:rsidR="009C259D" w:rsidRDefault="009C259D" w:rsidP="008526D9">
      <w:pPr>
        <w:keepNext/>
        <w:suppressAutoHyphens/>
        <w:spacing w:after="0" w:line="240" w:lineRule="auto"/>
        <w:outlineLvl w:val="0"/>
        <w:rPr>
          <w:rFonts w:ascii="Arial" w:eastAsia="Calibri" w:hAnsi="Arial" w:cs="Arial"/>
          <w:lang w:eastAsia="ar-SA"/>
        </w:rPr>
      </w:pPr>
    </w:p>
    <w:p w:rsidR="009C259D" w:rsidRPr="009C259D" w:rsidRDefault="009C259D" w:rsidP="008526D9">
      <w:pPr>
        <w:pStyle w:val="ListParagraph"/>
        <w:keepNext/>
        <w:numPr>
          <w:ilvl w:val="0"/>
          <w:numId w:val="23"/>
        </w:numPr>
        <w:suppressAutoHyphens/>
        <w:spacing w:after="0" w:line="240" w:lineRule="auto"/>
        <w:outlineLvl w:val="0"/>
        <w:rPr>
          <w:rFonts w:ascii="Arial" w:eastAsia="Calibri" w:hAnsi="Arial" w:cs="Arial"/>
          <w:lang w:eastAsia="ar-SA"/>
        </w:rPr>
      </w:pPr>
      <w:r>
        <w:rPr>
          <w:rFonts w:ascii="Arial" w:eastAsia="Calibri" w:hAnsi="Arial" w:cs="Arial"/>
          <w:lang w:eastAsia="ar-SA"/>
        </w:rPr>
        <w:t>new trucks and trailers used in road train combinations must be wired for 24V power</w:t>
      </w:r>
    </w:p>
    <w:p w:rsidR="00B42971" w:rsidRPr="009C259D" w:rsidRDefault="009C259D" w:rsidP="008526D9">
      <w:pPr>
        <w:pStyle w:val="ListParagraph"/>
        <w:keepNext/>
        <w:numPr>
          <w:ilvl w:val="0"/>
          <w:numId w:val="23"/>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power cables connecting new trucks and trailers in road train combinations must be configured </w:t>
      </w:r>
      <w:r w:rsidR="00C32B81">
        <w:rPr>
          <w:rFonts w:ascii="Arial" w:eastAsia="Calibri" w:hAnsi="Arial" w:cs="Arial"/>
          <w:lang w:eastAsia="ar-SA"/>
        </w:rPr>
        <w:t xml:space="preserve">and connected </w:t>
      </w:r>
      <w:r>
        <w:rPr>
          <w:rFonts w:ascii="Arial" w:eastAsia="Calibri" w:hAnsi="Arial" w:cs="Arial"/>
          <w:lang w:eastAsia="ar-SA"/>
        </w:rPr>
        <w:t>to supply 24V power.</w:t>
      </w:r>
    </w:p>
    <w:p w:rsidR="00A536B4" w:rsidRDefault="00A536B4" w:rsidP="00A536B4">
      <w:pPr>
        <w:suppressAutoHyphens/>
        <w:spacing w:after="0" w:line="240" w:lineRule="auto"/>
        <w:outlineLvl w:val="0"/>
        <w:rPr>
          <w:rFonts w:ascii="Arial" w:eastAsia="Calibri" w:hAnsi="Arial" w:cs="Arial"/>
          <w:lang w:eastAsia="ar-SA"/>
        </w:rPr>
      </w:pPr>
    </w:p>
    <w:p w:rsidR="008526D9" w:rsidRDefault="008526D9" w:rsidP="00A536B4">
      <w:pPr>
        <w:suppressAutoHyphens/>
        <w:spacing w:after="0" w:line="240" w:lineRule="auto"/>
        <w:outlineLvl w:val="0"/>
        <w:rPr>
          <w:rFonts w:ascii="Arial" w:eastAsia="Calibri" w:hAnsi="Arial" w:cs="Arial"/>
          <w:lang w:eastAsia="ar-SA"/>
        </w:rPr>
      </w:pPr>
    </w:p>
    <w:p w:rsidR="00A536B4" w:rsidRPr="00185006" w:rsidRDefault="00F003E4" w:rsidP="00185006">
      <w:pPr>
        <w:keepNext/>
        <w:suppressAutoHyphens/>
        <w:spacing w:after="0" w:line="240" w:lineRule="auto"/>
        <w:outlineLvl w:val="0"/>
        <w:rPr>
          <w:rFonts w:ascii="Arial" w:eastAsia="Calibri" w:hAnsi="Arial" w:cs="Arial"/>
          <w:i/>
          <w:lang w:eastAsia="ar-SA"/>
        </w:rPr>
      </w:pPr>
      <w:r>
        <w:rPr>
          <w:rFonts w:ascii="Arial" w:eastAsia="Calibri" w:hAnsi="Arial" w:cs="Arial"/>
          <w:i/>
          <w:lang w:eastAsia="ar-SA"/>
        </w:rPr>
        <w:t>Recommendation 4</w:t>
      </w:r>
    </w:p>
    <w:p w:rsidR="00A536B4" w:rsidRPr="00185006" w:rsidRDefault="008526D9" w:rsidP="00185006">
      <w:pPr>
        <w:keepNext/>
        <w:suppressAutoHyphens/>
        <w:spacing w:after="0" w:line="240" w:lineRule="auto"/>
        <w:outlineLvl w:val="0"/>
        <w:rPr>
          <w:rFonts w:ascii="Arial" w:eastAsia="Calibri" w:hAnsi="Arial" w:cs="Arial"/>
          <w:i/>
          <w:lang w:eastAsia="ar-SA"/>
        </w:rPr>
      </w:pPr>
      <w:r w:rsidRPr="00185006">
        <w:rPr>
          <w:rFonts w:ascii="Arial" w:eastAsia="Calibri" w:hAnsi="Arial" w:cs="Arial"/>
          <w:i/>
          <w:lang w:eastAsia="ar-SA"/>
        </w:rPr>
        <w:t>[to the National Heavy Vehicle Regulator]</w:t>
      </w:r>
    </w:p>
    <w:p w:rsidR="008526D9" w:rsidRPr="00A536B4" w:rsidRDefault="008526D9" w:rsidP="00A4657E">
      <w:pPr>
        <w:keepNext/>
        <w:suppressAutoHyphens/>
        <w:spacing w:after="0" w:line="240" w:lineRule="auto"/>
        <w:outlineLvl w:val="0"/>
        <w:rPr>
          <w:rFonts w:ascii="Arial" w:eastAsia="Calibri" w:hAnsi="Arial" w:cs="Arial"/>
          <w:lang w:eastAsia="ar-SA"/>
        </w:rPr>
      </w:pPr>
    </w:p>
    <w:p w:rsidR="008526D9" w:rsidRPr="008526D9" w:rsidRDefault="008526D9" w:rsidP="00A4657E">
      <w:pPr>
        <w:keepNext/>
        <w:suppressAutoHyphens/>
        <w:spacing w:after="0" w:line="240" w:lineRule="auto"/>
        <w:outlineLvl w:val="0"/>
        <w:rPr>
          <w:rFonts w:ascii="Arial" w:eastAsia="Calibri" w:hAnsi="Arial" w:cs="Arial"/>
          <w:lang w:eastAsia="ar-SA"/>
        </w:rPr>
      </w:pPr>
      <w:r>
        <w:rPr>
          <w:rFonts w:ascii="Arial" w:eastAsia="Calibri" w:hAnsi="Arial" w:cs="Arial"/>
          <w:lang w:eastAsia="ar-SA"/>
        </w:rPr>
        <w:t>Before ADRs 35/06 and 38/05</w:t>
      </w:r>
      <w:r w:rsidR="00A536B4">
        <w:rPr>
          <w:rFonts w:ascii="Arial" w:eastAsia="Calibri" w:hAnsi="Arial" w:cs="Arial"/>
          <w:lang w:eastAsia="ar-SA"/>
        </w:rPr>
        <w:t xml:space="preserve"> come into force, the </w:t>
      </w:r>
      <w:r>
        <w:rPr>
          <w:rFonts w:ascii="Arial" w:eastAsia="Calibri" w:hAnsi="Arial" w:cs="Arial"/>
          <w:lang w:eastAsia="ar-SA"/>
        </w:rPr>
        <w:t xml:space="preserve">NHVIM </w:t>
      </w:r>
      <w:r w:rsidR="00A536B4">
        <w:rPr>
          <w:rFonts w:ascii="Arial" w:eastAsia="Calibri" w:hAnsi="Arial" w:cs="Arial"/>
          <w:lang w:eastAsia="ar-SA"/>
        </w:rPr>
        <w:t xml:space="preserve">should be amended to </w:t>
      </w:r>
      <w:r w:rsidRPr="008526D9">
        <w:rPr>
          <w:rFonts w:ascii="Arial" w:eastAsia="Calibri" w:hAnsi="Arial" w:cs="Arial"/>
          <w:lang w:eastAsia="ar-SA"/>
        </w:rPr>
        <w:t xml:space="preserve">provide inspectors and the industry with guidance that: </w:t>
      </w:r>
    </w:p>
    <w:p w:rsidR="008526D9" w:rsidRPr="008526D9" w:rsidRDefault="008526D9" w:rsidP="00A4657E">
      <w:pPr>
        <w:keepNext/>
        <w:suppressAutoHyphens/>
        <w:spacing w:after="0" w:line="240" w:lineRule="auto"/>
        <w:outlineLvl w:val="0"/>
        <w:rPr>
          <w:rFonts w:ascii="Arial" w:eastAsia="Calibri" w:hAnsi="Arial" w:cs="Arial"/>
          <w:lang w:eastAsia="ar-SA"/>
        </w:rPr>
      </w:pPr>
    </w:p>
    <w:p w:rsidR="008526D9" w:rsidRPr="008526D9" w:rsidRDefault="008526D9" w:rsidP="00A4657E">
      <w:pPr>
        <w:pStyle w:val="ListParagraph"/>
        <w:keepNext/>
        <w:numPr>
          <w:ilvl w:val="0"/>
          <w:numId w:val="27"/>
        </w:numPr>
        <w:suppressAutoHyphens/>
        <w:spacing w:after="0" w:line="240" w:lineRule="auto"/>
        <w:outlineLvl w:val="0"/>
        <w:rPr>
          <w:rFonts w:ascii="Arial" w:eastAsia="Calibri" w:hAnsi="Arial" w:cs="Arial"/>
          <w:lang w:eastAsia="ar-SA"/>
        </w:rPr>
      </w:pPr>
      <w:r w:rsidRPr="008526D9">
        <w:rPr>
          <w:rFonts w:ascii="Arial" w:eastAsia="Calibri" w:hAnsi="Arial" w:cs="Arial"/>
          <w:lang w:eastAsia="ar-SA"/>
        </w:rPr>
        <w:t>new trucks and trailers used in road train combinations must be wired for 24V power</w:t>
      </w:r>
    </w:p>
    <w:p w:rsidR="00A536B4" w:rsidRDefault="008526D9" w:rsidP="00A4657E">
      <w:pPr>
        <w:pStyle w:val="ListParagraph"/>
        <w:keepNext/>
        <w:numPr>
          <w:ilvl w:val="0"/>
          <w:numId w:val="27"/>
        </w:numPr>
        <w:suppressAutoHyphens/>
        <w:spacing w:after="0" w:line="240" w:lineRule="auto"/>
        <w:outlineLvl w:val="0"/>
        <w:rPr>
          <w:rFonts w:ascii="Arial" w:eastAsia="Calibri" w:hAnsi="Arial" w:cs="Arial"/>
          <w:lang w:eastAsia="ar-SA"/>
        </w:rPr>
      </w:pPr>
      <w:r w:rsidRPr="008526D9">
        <w:rPr>
          <w:rFonts w:ascii="Arial" w:eastAsia="Calibri" w:hAnsi="Arial" w:cs="Arial"/>
          <w:lang w:eastAsia="ar-SA"/>
        </w:rPr>
        <w:t xml:space="preserve">the power cables connecting new trucks and trailers in road train combinations must be configured </w:t>
      </w:r>
      <w:r w:rsidR="00C32B81">
        <w:rPr>
          <w:rFonts w:ascii="Arial" w:eastAsia="Calibri" w:hAnsi="Arial" w:cs="Arial"/>
          <w:lang w:eastAsia="ar-SA"/>
        </w:rPr>
        <w:t xml:space="preserve">and connected </w:t>
      </w:r>
      <w:r w:rsidRPr="008526D9">
        <w:rPr>
          <w:rFonts w:ascii="Arial" w:eastAsia="Calibri" w:hAnsi="Arial" w:cs="Arial"/>
          <w:lang w:eastAsia="ar-SA"/>
        </w:rPr>
        <w:t>to supply 24V power.</w:t>
      </w:r>
    </w:p>
    <w:p w:rsidR="00E72080" w:rsidRDefault="00E72080" w:rsidP="00E72080">
      <w:pPr>
        <w:suppressAutoHyphens/>
        <w:spacing w:after="0" w:line="240" w:lineRule="auto"/>
        <w:outlineLvl w:val="0"/>
        <w:rPr>
          <w:rFonts w:ascii="Arial" w:eastAsia="Calibri" w:hAnsi="Arial" w:cs="Arial"/>
          <w:lang w:eastAsia="ar-SA"/>
        </w:rPr>
      </w:pPr>
    </w:p>
    <w:p w:rsidR="00E72080" w:rsidRDefault="00E72080" w:rsidP="00E72080">
      <w:pPr>
        <w:suppressAutoHyphens/>
        <w:spacing w:after="0" w:line="240" w:lineRule="auto"/>
        <w:outlineLvl w:val="0"/>
        <w:rPr>
          <w:rFonts w:ascii="Arial" w:eastAsia="Calibri" w:hAnsi="Arial" w:cs="Arial"/>
          <w:lang w:eastAsia="ar-SA"/>
        </w:rPr>
      </w:pPr>
    </w:p>
    <w:p w:rsidR="00E72080" w:rsidRDefault="00E72080" w:rsidP="00E72080">
      <w:pPr>
        <w:suppressAutoHyphens/>
        <w:spacing w:after="0" w:line="240" w:lineRule="auto"/>
        <w:outlineLvl w:val="0"/>
        <w:rPr>
          <w:rFonts w:ascii="Arial" w:eastAsia="Calibri" w:hAnsi="Arial" w:cs="Arial"/>
          <w:b/>
          <w:lang w:eastAsia="ar-SA"/>
        </w:rPr>
      </w:pPr>
      <w:r>
        <w:rPr>
          <w:rFonts w:ascii="Arial" w:eastAsia="Calibri" w:hAnsi="Arial" w:cs="Arial"/>
          <w:b/>
          <w:lang w:eastAsia="ar-SA"/>
        </w:rPr>
        <w:t>Turning</w:t>
      </w:r>
      <w:r w:rsidRPr="00E72080">
        <w:rPr>
          <w:rFonts w:ascii="Arial" w:eastAsia="Calibri" w:hAnsi="Arial" w:cs="Arial"/>
          <w:b/>
          <w:lang w:eastAsia="ar-SA"/>
        </w:rPr>
        <w:t xml:space="preserve"> stability control system</w:t>
      </w:r>
      <w:r w:rsidR="00C32B81">
        <w:rPr>
          <w:rFonts w:ascii="Arial" w:eastAsia="Calibri" w:hAnsi="Arial" w:cs="Arial"/>
          <w:b/>
          <w:lang w:eastAsia="ar-SA"/>
        </w:rPr>
        <w:t>s</w:t>
      </w:r>
      <w:r w:rsidRPr="00E72080">
        <w:rPr>
          <w:rFonts w:ascii="Arial" w:eastAsia="Calibri" w:hAnsi="Arial" w:cs="Arial"/>
          <w:b/>
          <w:lang w:eastAsia="ar-SA"/>
        </w:rPr>
        <w:t xml:space="preserve"> </w:t>
      </w:r>
      <w:r>
        <w:rPr>
          <w:rFonts w:ascii="Arial" w:eastAsia="Calibri" w:hAnsi="Arial" w:cs="Arial"/>
          <w:b/>
          <w:lang w:eastAsia="ar-SA"/>
        </w:rPr>
        <w:t>off</w:t>
      </w:r>
    </w:p>
    <w:p w:rsidR="00E72080" w:rsidRPr="00E72080" w:rsidRDefault="00E72080" w:rsidP="00E72080">
      <w:pPr>
        <w:suppressAutoHyphens/>
        <w:spacing w:after="0" w:line="240" w:lineRule="auto"/>
        <w:outlineLvl w:val="0"/>
        <w:rPr>
          <w:rFonts w:ascii="Arial" w:eastAsia="Calibri" w:hAnsi="Arial" w:cs="Arial"/>
          <w:lang w:eastAsia="ar-SA"/>
        </w:rPr>
      </w:pPr>
    </w:p>
    <w:p w:rsidR="00E72080" w:rsidRPr="00C32B81" w:rsidRDefault="00E72080" w:rsidP="00E72080">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and ALRTA jointly proposed that truck drivers should be able to disable </w:t>
      </w:r>
      <w:r w:rsidR="00C32B81">
        <w:rPr>
          <w:rFonts w:ascii="Arial" w:eastAsia="Calibri" w:hAnsi="Arial" w:cs="Arial"/>
          <w:lang w:eastAsia="ar-SA"/>
        </w:rPr>
        <w:t>a</w:t>
      </w:r>
      <w:r>
        <w:rPr>
          <w:rFonts w:ascii="Arial" w:eastAsia="Calibri" w:hAnsi="Arial" w:cs="Arial"/>
          <w:lang w:eastAsia="ar-SA"/>
        </w:rPr>
        <w:t xml:space="preserve"> vehicle’s stability function temporarily, so they could negotiate creeks, paddocks or tight turns through farm gates.</w:t>
      </w:r>
      <w:r w:rsidR="00C32B81">
        <w:rPr>
          <w:rStyle w:val="FootnoteReference"/>
          <w:rFonts w:ascii="Arial" w:eastAsia="Calibri" w:hAnsi="Arial" w:cs="Arial"/>
          <w:lang w:eastAsia="ar-SA"/>
        </w:rPr>
        <w:footnoteReference w:id="34"/>
      </w:r>
      <w:r w:rsidR="00C32B81">
        <w:rPr>
          <w:rFonts w:ascii="Arial" w:eastAsia="Calibri" w:hAnsi="Arial" w:cs="Arial"/>
          <w:lang w:eastAsia="ar-SA"/>
        </w:rPr>
        <w:t xml:space="preserve"> The ATA and ALRTA argued that </w:t>
      </w:r>
      <w:r w:rsidR="00C32B81">
        <w:rPr>
          <w:rFonts w:ascii="Arial" w:hAnsi="Arial" w:cs="Arial"/>
        </w:rPr>
        <w:t>s</w:t>
      </w:r>
      <w:r w:rsidR="00C32B81" w:rsidRPr="00C32B81">
        <w:rPr>
          <w:rFonts w:ascii="Arial" w:hAnsi="Arial" w:cs="Arial"/>
        </w:rPr>
        <w:t>tability control should automatically re</w:t>
      </w:r>
      <w:r w:rsidR="00C32B81">
        <w:rPr>
          <w:rFonts w:ascii="Arial" w:hAnsi="Arial" w:cs="Arial"/>
        </w:rPr>
        <w:noBreakHyphen/>
      </w:r>
      <w:r w:rsidR="00C32B81" w:rsidRPr="00C32B81">
        <w:rPr>
          <w:rFonts w:ascii="Arial" w:hAnsi="Arial" w:cs="Arial"/>
        </w:rPr>
        <w:t>enga</w:t>
      </w:r>
      <w:r w:rsidR="00C32B81">
        <w:rPr>
          <w:rFonts w:ascii="Arial" w:hAnsi="Arial" w:cs="Arial"/>
        </w:rPr>
        <w:t xml:space="preserve">ge at key on or at speeds above </w:t>
      </w:r>
      <w:r w:rsidR="00C32B81" w:rsidRPr="00C32B81">
        <w:rPr>
          <w:rFonts w:ascii="Arial" w:hAnsi="Arial" w:cs="Arial"/>
        </w:rPr>
        <w:t>40km/h.</w:t>
      </w:r>
    </w:p>
    <w:p w:rsidR="00E72080" w:rsidRDefault="00E72080" w:rsidP="00E72080">
      <w:pPr>
        <w:suppressAutoHyphens/>
        <w:spacing w:after="0" w:line="240" w:lineRule="auto"/>
        <w:outlineLvl w:val="0"/>
        <w:rPr>
          <w:rFonts w:ascii="Arial" w:eastAsia="Calibri" w:hAnsi="Arial" w:cs="Arial"/>
          <w:lang w:eastAsia="ar-SA"/>
        </w:rPr>
      </w:pPr>
    </w:p>
    <w:p w:rsidR="00E72080" w:rsidRPr="00E72080" w:rsidRDefault="00C32B81" w:rsidP="00E72080">
      <w:pPr>
        <w:suppressAutoHyphens/>
        <w:spacing w:after="0" w:line="240" w:lineRule="auto"/>
        <w:outlineLvl w:val="0"/>
        <w:rPr>
          <w:rFonts w:ascii="Arial" w:eastAsia="Calibri" w:hAnsi="Arial" w:cs="Arial"/>
          <w:lang w:eastAsia="ar-SA"/>
        </w:rPr>
      </w:pPr>
      <w:r>
        <w:rPr>
          <w:rFonts w:ascii="Arial" w:eastAsia="Calibri" w:hAnsi="Arial" w:cs="Arial"/>
          <w:lang w:eastAsia="ar-SA"/>
        </w:rPr>
        <w:t>The RIS would implement this proposal.</w:t>
      </w:r>
    </w:p>
    <w:sectPr w:rsidR="00E72080" w:rsidRPr="00E72080" w:rsidSect="009D61F0">
      <w:headerReference w:type="default" r:id="rId15"/>
      <w:head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95" w:rsidRDefault="008D1595" w:rsidP="00406E09">
      <w:pPr>
        <w:spacing w:after="0" w:line="240" w:lineRule="auto"/>
      </w:pPr>
      <w:r>
        <w:separator/>
      </w:r>
    </w:p>
  </w:endnote>
  <w:endnote w:type="continuationSeparator" w:id="0">
    <w:p w:rsidR="008D1595" w:rsidRDefault="008D1595" w:rsidP="0040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55" w:rsidRDefault="0037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55" w:rsidRDefault="0037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55" w:rsidRDefault="0037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95" w:rsidRDefault="008D1595" w:rsidP="00406E09">
      <w:pPr>
        <w:spacing w:after="0" w:line="240" w:lineRule="auto"/>
      </w:pPr>
      <w:r>
        <w:separator/>
      </w:r>
    </w:p>
  </w:footnote>
  <w:footnote w:type="continuationSeparator" w:id="0">
    <w:p w:rsidR="008D1595" w:rsidRDefault="008D1595" w:rsidP="00406E09">
      <w:pPr>
        <w:spacing w:after="0" w:line="240" w:lineRule="auto"/>
      </w:pPr>
      <w:r>
        <w:continuationSeparator/>
      </w:r>
    </w:p>
  </w:footnote>
  <w:footnote w:id="1">
    <w:p w:rsidR="009D61F0" w:rsidRDefault="009D61F0" w:rsidP="009D61F0">
      <w:pPr>
        <w:pStyle w:val="FootnoteText"/>
      </w:pPr>
      <w:r>
        <w:rPr>
          <w:rStyle w:val="FootnoteReference"/>
        </w:rPr>
        <w:footnoteRef/>
      </w:r>
      <w:r>
        <w:t xml:space="preserve"> The final version of the Regulation Impact Statement will include an analysis of the feedback received.  Peak representative bodies and government agencies may be identified as part of this analysis.</w:t>
      </w:r>
    </w:p>
    <w:p w:rsidR="009D61F0" w:rsidRDefault="009D61F0" w:rsidP="009D61F0">
      <w:pPr>
        <w:pStyle w:val="FootnoteText"/>
      </w:pPr>
    </w:p>
  </w:footnote>
  <w:footnote w:id="2">
    <w:p w:rsidR="008D1595" w:rsidRPr="00205A78" w:rsidRDefault="008D1595">
      <w:pPr>
        <w:pStyle w:val="FootnoteText"/>
        <w:rPr>
          <w:rFonts w:ascii="Arial" w:hAnsi="Arial" w:cs="Arial"/>
          <w:sz w:val="18"/>
          <w:szCs w:val="18"/>
        </w:rPr>
      </w:pPr>
      <w:r w:rsidRPr="00205A78">
        <w:rPr>
          <w:rStyle w:val="FootnoteReference"/>
          <w:rFonts w:ascii="Arial" w:hAnsi="Arial" w:cs="Arial"/>
          <w:sz w:val="18"/>
          <w:szCs w:val="18"/>
        </w:rPr>
        <w:footnoteRef/>
      </w:r>
      <w:r w:rsidRPr="00205A78">
        <w:rPr>
          <w:rFonts w:ascii="Arial" w:hAnsi="Arial" w:cs="Arial"/>
          <w:sz w:val="18"/>
          <w:szCs w:val="18"/>
        </w:rPr>
        <w:t xml:space="preserve"> Findings of inquest into the deaths of Jordan Bridge, </w:t>
      </w:r>
      <w:proofErr w:type="spellStart"/>
      <w:r w:rsidRPr="00205A78">
        <w:rPr>
          <w:rFonts w:ascii="Arial" w:hAnsi="Arial" w:cs="Arial"/>
          <w:sz w:val="18"/>
          <w:szCs w:val="18"/>
        </w:rPr>
        <w:t>Makeely</w:t>
      </w:r>
      <w:proofErr w:type="spellEnd"/>
      <w:r w:rsidRPr="00205A78">
        <w:rPr>
          <w:rFonts w:ascii="Arial" w:hAnsi="Arial" w:cs="Arial"/>
          <w:sz w:val="18"/>
          <w:szCs w:val="18"/>
        </w:rPr>
        <w:t xml:space="preserve"> Bridge, David Bridge and David </w:t>
      </w:r>
      <w:proofErr w:type="spellStart"/>
      <w:r w:rsidRPr="00205A78">
        <w:rPr>
          <w:rFonts w:ascii="Arial" w:hAnsi="Arial" w:cs="Arial"/>
          <w:sz w:val="18"/>
          <w:szCs w:val="18"/>
        </w:rPr>
        <w:t>Carolan</w:t>
      </w:r>
      <w:proofErr w:type="spellEnd"/>
      <w:r w:rsidRPr="00205A78">
        <w:rPr>
          <w:rFonts w:ascii="Arial" w:hAnsi="Arial" w:cs="Arial"/>
          <w:sz w:val="18"/>
          <w:szCs w:val="18"/>
        </w:rPr>
        <w:t xml:space="preserve">, 17 November 2011. </w:t>
      </w:r>
    </w:p>
  </w:footnote>
  <w:footnote w:id="3">
    <w:p w:rsidR="008D1595" w:rsidRPr="00064845" w:rsidRDefault="008D1595">
      <w:pPr>
        <w:pStyle w:val="FootnoteText"/>
        <w:rPr>
          <w:rFonts w:ascii="Arial" w:hAnsi="Arial" w:cs="Arial"/>
          <w:sz w:val="18"/>
          <w:szCs w:val="18"/>
        </w:rPr>
      </w:pPr>
      <w:r w:rsidRPr="00064845">
        <w:rPr>
          <w:rStyle w:val="FootnoteReference"/>
          <w:rFonts w:ascii="Arial" w:hAnsi="Arial" w:cs="Arial"/>
          <w:sz w:val="18"/>
          <w:szCs w:val="18"/>
        </w:rPr>
        <w:footnoteRef/>
      </w:r>
      <w:r w:rsidRPr="00064845">
        <w:rPr>
          <w:rFonts w:ascii="Arial" w:hAnsi="Arial" w:cs="Arial"/>
          <w:sz w:val="18"/>
          <w:szCs w:val="18"/>
        </w:rPr>
        <w:t xml:space="preserve"> Simon, D. </w:t>
      </w:r>
      <w:hyperlink r:id="rId1" w:history="1">
        <w:r w:rsidRPr="00064845">
          <w:rPr>
            <w:rStyle w:val="Hyperlink"/>
            <w:rFonts w:ascii="Arial" w:hAnsi="Arial" w:cs="Arial"/>
            <w:sz w:val="18"/>
            <w:szCs w:val="18"/>
          </w:rPr>
          <w:t>Make businesses accountable for truck maintenance</w:t>
        </w:r>
      </w:hyperlink>
      <w:r w:rsidRPr="00064845">
        <w:rPr>
          <w:rFonts w:ascii="Arial" w:hAnsi="Arial" w:cs="Arial"/>
          <w:sz w:val="18"/>
          <w:szCs w:val="18"/>
        </w:rPr>
        <w:t>. Media release, 28 October 2013.</w:t>
      </w:r>
    </w:p>
  </w:footnote>
  <w:footnote w:id="4">
    <w:p w:rsidR="008D1595" w:rsidRPr="00D1099E" w:rsidRDefault="008D1595">
      <w:pPr>
        <w:pStyle w:val="FootnoteText"/>
        <w:rPr>
          <w:rFonts w:ascii="Arial" w:hAnsi="Arial" w:cs="Arial"/>
          <w:sz w:val="18"/>
          <w:szCs w:val="18"/>
        </w:rPr>
      </w:pPr>
      <w:r w:rsidRPr="00D1099E">
        <w:rPr>
          <w:rStyle w:val="FootnoteReference"/>
          <w:rFonts w:ascii="Arial" w:hAnsi="Arial" w:cs="Arial"/>
          <w:sz w:val="18"/>
          <w:szCs w:val="18"/>
        </w:rPr>
        <w:footnoteRef/>
      </w:r>
      <w:r w:rsidRPr="00D1099E">
        <w:rPr>
          <w:rFonts w:ascii="Arial" w:hAnsi="Arial" w:cs="Arial"/>
          <w:sz w:val="18"/>
          <w:szCs w:val="18"/>
        </w:rPr>
        <w:t xml:space="preserve"> </w:t>
      </w:r>
      <w:r>
        <w:rPr>
          <w:rFonts w:ascii="Arial" w:hAnsi="Arial" w:cs="Arial"/>
          <w:sz w:val="18"/>
          <w:szCs w:val="18"/>
        </w:rPr>
        <w:t>NSW EPA</w:t>
      </w:r>
      <w:r w:rsidRPr="00D1099E">
        <w:rPr>
          <w:rFonts w:ascii="Arial" w:hAnsi="Arial" w:cs="Arial"/>
          <w:sz w:val="18"/>
          <w:szCs w:val="18"/>
        </w:rPr>
        <w:t xml:space="preserve">. </w:t>
      </w:r>
      <w:hyperlink r:id="rId2" w:history="1">
        <w:r w:rsidRPr="00D1099E">
          <w:rPr>
            <w:rStyle w:val="Hyperlink"/>
            <w:rFonts w:ascii="Arial" w:hAnsi="Arial" w:cs="Arial"/>
            <w:sz w:val="18"/>
            <w:szCs w:val="18"/>
          </w:rPr>
          <w:t>Determination: Transport of Dangerous Goods in Tank Trailers</w:t>
        </w:r>
      </w:hyperlink>
      <w:r w:rsidRPr="00D1099E">
        <w:rPr>
          <w:rFonts w:ascii="Arial" w:hAnsi="Arial" w:cs="Arial"/>
          <w:sz w:val="18"/>
          <w:szCs w:val="18"/>
        </w:rPr>
        <w:t xml:space="preserve">. </w:t>
      </w:r>
      <w:r>
        <w:rPr>
          <w:rFonts w:ascii="Arial" w:hAnsi="Arial" w:cs="Arial"/>
          <w:sz w:val="18"/>
          <w:szCs w:val="18"/>
        </w:rPr>
        <w:t>January 2014.</w:t>
      </w:r>
    </w:p>
  </w:footnote>
  <w:footnote w:id="5">
    <w:p w:rsidR="008D1595" w:rsidRPr="00D1099E" w:rsidRDefault="008D159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NSW EPA. </w:t>
      </w:r>
      <w:hyperlink r:id="rId3" w:history="1">
        <w:r w:rsidRPr="00D1099E">
          <w:rPr>
            <w:rStyle w:val="Hyperlink"/>
            <w:rFonts w:ascii="Arial" w:hAnsi="Arial" w:cs="Arial"/>
            <w:sz w:val="18"/>
            <w:szCs w:val="18"/>
          </w:rPr>
          <w:t>Determination: Transport of Dangerous Goods in Tank Trailers</w:t>
        </w:r>
      </w:hyperlink>
      <w:r>
        <w:rPr>
          <w:rFonts w:ascii="Arial" w:hAnsi="Arial" w:cs="Arial"/>
          <w:sz w:val="18"/>
          <w:szCs w:val="18"/>
        </w:rPr>
        <w:t>. August 2014.</w:t>
      </w:r>
    </w:p>
  </w:footnote>
  <w:footnote w:id="6">
    <w:p w:rsidR="008D1595" w:rsidRPr="00D1099E" w:rsidRDefault="008D1595">
      <w:pPr>
        <w:pStyle w:val="FootnoteText"/>
        <w:rPr>
          <w:rFonts w:ascii="Arial" w:hAnsi="Arial" w:cs="Arial"/>
          <w:sz w:val="18"/>
          <w:szCs w:val="18"/>
        </w:rPr>
      </w:pPr>
      <w:r w:rsidRPr="00D1099E">
        <w:rPr>
          <w:rStyle w:val="FootnoteReference"/>
          <w:rFonts w:ascii="Arial" w:hAnsi="Arial" w:cs="Arial"/>
          <w:sz w:val="18"/>
          <w:szCs w:val="18"/>
        </w:rPr>
        <w:footnoteRef/>
      </w:r>
      <w:r w:rsidRPr="00D1099E">
        <w:rPr>
          <w:rFonts w:ascii="Arial" w:hAnsi="Arial" w:cs="Arial"/>
          <w:sz w:val="18"/>
          <w:szCs w:val="18"/>
        </w:rPr>
        <w:t xml:space="preserve"> ATA, </w:t>
      </w:r>
      <w:hyperlink r:id="rId4" w:history="1">
        <w:r w:rsidRPr="009A71A3">
          <w:rPr>
            <w:rStyle w:val="Hyperlink"/>
            <w:rFonts w:ascii="Arial" w:hAnsi="Arial" w:cs="Arial"/>
            <w:sz w:val="18"/>
            <w:szCs w:val="18"/>
          </w:rPr>
          <w:t>Mandate stability control to improve truck safety</w:t>
        </w:r>
      </w:hyperlink>
      <w:r w:rsidRPr="00D1099E">
        <w:rPr>
          <w:rFonts w:ascii="Arial" w:hAnsi="Arial" w:cs="Arial"/>
          <w:sz w:val="18"/>
          <w:szCs w:val="18"/>
        </w:rPr>
        <w:t>. Media release, May 2016.</w:t>
      </w:r>
    </w:p>
  </w:footnote>
  <w:footnote w:id="7">
    <w:p w:rsidR="008D1595" w:rsidRPr="00606551" w:rsidRDefault="008D159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DIRD, </w:t>
      </w:r>
      <w:hyperlink r:id="rId5" w:history="1">
        <w:r w:rsidRPr="00606551">
          <w:rPr>
            <w:rStyle w:val="Hyperlink"/>
            <w:rFonts w:ascii="Arial" w:hAnsi="Arial" w:cs="Arial"/>
            <w:sz w:val="18"/>
            <w:szCs w:val="18"/>
          </w:rPr>
          <w:t>Consultation regulation impact statement: National heavy vehicle braking strategy phase II – improving the stability and control of heavy vehicles</w:t>
        </w:r>
      </w:hyperlink>
      <w:r>
        <w:rPr>
          <w:rFonts w:ascii="Arial" w:hAnsi="Arial" w:cs="Arial"/>
          <w:sz w:val="18"/>
          <w:szCs w:val="18"/>
        </w:rPr>
        <w:t>. December 2017. 20.</w:t>
      </w:r>
    </w:p>
  </w:footnote>
  <w:footnote w:id="8">
    <w:p w:rsidR="008D1595" w:rsidRPr="001F44E1" w:rsidRDefault="008D1595">
      <w:pPr>
        <w:pStyle w:val="FootnoteText"/>
        <w:rPr>
          <w:rFonts w:ascii="Arial" w:hAnsi="Arial" w:cs="Arial"/>
          <w:sz w:val="18"/>
          <w:szCs w:val="18"/>
        </w:rPr>
      </w:pPr>
      <w:r w:rsidRPr="001F44E1">
        <w:rPr>
          <w:rStyle w:val="FootnoteReference"/>
          <w:rFonts w:ascii="Arial" w:hAnsi="Arial" w:cs="Arial"/>
          <w:sz w:val="18"/>
          <w:szCs w:val="18"/>
        </w:rPr>
        <w:footnoteRef/>
      </w:r>
      <w:r w:rsidRPr="001F44E1">
        <w:rPr>
          <w:rFonts w:ascii="Arial" w:hAnsi="Arial" w:cs="Arial"/>
          <w:sz w:val="18"/>
          <w:szCs w:val="18"/>
        </w:rPr>
        <w:t xml:space="preserve"> </w:t>
      </w:r>
      <w:r>
        <w:rPr>
          <w:rFonts w:ascii="Arial" w:hAnsi="Arial" w:cs="Arial"/>
          <w:sz w:val="18"/>
          <w:szCs w:val="18"/>
        </w:rPr>
        <w:t>Australian Government.</w:t>
      </w:r>
      <w:r w:rsidRPr="001F44E1">
        <w:rPr>
          <w:rFonts w:ascii="Arial" w:hAnsi="Arial" w:cs="Arial"/>
          <w:sz w:val="18"/>
          <w:szCs w:val="18"/>
        </w:rPr>
        <w:t xml:space="preserve"> </w:t>
      </w:r>
      <w:hyperlink r:id="rId6" w:history="1">
        <w:r w:rsidRPr="001F44E1">
          <w:rPr>
            <w:rStyle w:val="Hyperlink"/>
            <w:rFonts w:ascii="Arial" w:hAnsi="Arial" w:cs="Arial"/>
            <w:sz w:val="18"/>
            <w:szCs w:val="18"/>
          </w:rPr>
          <w:t>The Australian Government Guide to Regulation</w:t>
        </w:r>
      </w:hyperlink>
      <w:r w:rsidRPr="001F44E1">
        <w:rPr>
          <w:rFonts w:ascii="Arial" w:hAnsi="Arial" w:cs="Arial"/>
          <w:sz w:val="18"/>
          <w:szCs w:val="18"/>
        </w:rPr>
        <w:t>. 2014. 48.</w:t>
      </w:r>
    </w:p>
  </w:footnote>
  <w:footnote w:id="9">
    <w:p w:rsidR="008D1595" w:rsidRPr="00BD6116" w:rsidRDefault="008D1595" w:rsidP="008D1595">
      <w:pPr>
        <w:pStyle w:val="FootnoteText"/>
        <w:rPr>
          <w:rFonts w:ascii="Arial" w:hAnsi="Arial" w:cs="Arial"/>
          <w:sz w:val="18"/>
          <w:szCs w:val="18"/>
        </w:rPr>
      </w:pPr>
      <w:r w:rsidRPr="00BD6116">
        <w:rPr>
          <w:rStyle w:val="FootnoteReference"/>
          <w:rFonts w:ascii="Arial" w:hAnsi="Arial" w:cs="Arial"/>
          <w:sz w:val="18"/>
          <w:szCs w:val="18"/>
        </w:rPr>
        <w:footnoteRef/>
      </w:r>
      <w:r w:rsidRPr="00BD6116">
        <w:rPr>
          <w:rFonts w:ascii="Arial" w:hAnsi="Arial" w:cs="Arial"/>
          <w:sz w:val="18"/>
          <w:szCs w:val="18"/>
        </w:rPr>
        <w:t xml:space="preserve"> DIRD, </w:t>
      </w:r>
      <w:r w:rsidR="00FE6304">
        <w:rPr>
          <w:rFonts w:ascii="Arial" w:hAnsi="Arial" w:cs="Arial"/>
          <w:sz w:val="18"/>
          <w:szCs w:val="18"/>
        </w:rPr>
        <w:t xml:space="preserve">2017, </w:t>
      </w:r>
      <w:r w:rsidRPr="00BD6116">
        <w:rPr>
          <w:rFonts w:ascii="Arial" w:hAnsi="Arial" w:cs="Arial"/>
          <w:sz w:val="18"/>
          <w:szCs w:val="18"/>
        </w:rPr>
        <w:t>table 75, 142.</w:t>
      </w:r>
    </w:p>
  </w:footnote>
  <w:footnote w:id="10">
    <w:p w:rsidR="008D1595" w:rsidRPr="00A10F4C" w:rsidRDefault="008D1595" w:rsidP="008D1595">
      <w:pPr>
        <w:pStyle w:val="FootnoteText"/>
        <w:rPr>
          <w:rFonts w:ascii="Arial" w:hAnsi="Arial" w:cs="Arial"/>
          <w:sz w:val="18"/>
          <w:szCs w:val="18"/>
        </w:rPr>
      </w:pPr>
      <w:r w:rsidRPr="00A10F4C">
        <w:rPr>
          <w:rStyle w:val="FootnoteReference"/>
          <w:rFonts w:ascii="Arial" w:hAnsi="Arial" w:cs="Arial"/>
          <w:sz w:val="18"/>
          <w:szCs w:val="18"/>
        </w:rPr>
        <w:footnoteRef/>
      </w:r>
      <w:r w:rsidRPr="00A10F4C">
        <w:rPr>
          <w:rFonts w:ascii="Arial" w:hAnsi="Arial" w:cs="Arial"/>
          <w:sz w:val="18"/>
          <w:szCs w:val="18"/>
        </w:rPr>
        <w:t xml:space="preserve"> BITRE, </w:t>
      </w:r>
      <w:hyperlink r:id="rId7" w:history="1">
        <w:r w:rsidRPr="003D7DF1">
          <w:rPr>
            <w:rStyle w:val="Hyperlink"/>
            <w:rFonts w:ascii="Arial" w:hAnsi="Arial" w:cs="Arial"/>
            <w:sz w:val="18"/>
            <w:szCs w:val="18"/>
          </w:rPr>
          <w:t>Cost of road crashes in Australia 2006</w:t>
        </w:r>
      </w:hyperlink>
      <w:r w:rsidRPr="00A10F4C">
        <w:rPr>
          <w:rFonts w:ascii="Arial" w:hAnsi="Arial" w:cs="Arial"/>
          <w:sz w:val="18"/>
          <w:szCs w:val="18"/>
        </w:rPr>
        <w:t>.</w:t>
      </w:r>
      <w:r>
        <w:rPr>
          <w:rFonts w:ascii="Arial" w:hAnsi="Arial" w:cs="Arial"/>
          <w:sz w:val="18"/>
          <w:szCs w:val="18"/>
        </w:rPr>
        <w:t xml:space="preserve"> Report 118. BITRE, Canberra, 2009.</w:t>
      </w:r>
    </w:p>
  </w:footnote>
  <w:footnote w:id="11">
    <w:p w:rsidR="008D1595" w:rsidRPr="00451A40" w:rsidRDefault="008D1595" w:rsidP="008D1595">
      <w:pPr>
        <w:pStyle w:val="FootnoteText"/>
        <w:rPr>
          <w:rFonts w:ascii="Arial" w:hAnsi="Arial" w:cs="Arial"/>
          <w:sz w:val="18"/>
          <w:szCs w:val="18"/>
        </w:rPr>
      </w:pPr>
      <w:r w:rsidRPr="00451A40">
        <w:rPr>
          <w:rStyle w:val="FootnoteReference"/>
          <w:rFonts w:ascii="Arial" w:hAnsi="Arial" w:cs="Arial"/>
          <w:sz w:val="18"/>
          <w:szCs w:val="18"/>
        </w:rPr>
        <w:footnoteRef/>
      </w:r>
      <w:r w:rsidRPr="00451A40">
        <w:rPr>
          <w:rFonts w:ascii="Arial" w:hAnsi="Arial" w:cs="Arial"/>
          <w:sz w:val="18"/>
          <w:szCs w:val="18"/>
        </w:rPr>
        <w:t xml:space="preserve"> BITRE, 25.</w:t>
      </w:r>
    </w:p>
  </w:footnote>
  <w:footnote w:id="12">
    <w:p w:rsidR="008D1595" w:rsidRPr="00516F1C" w:rsidRDefault="008D1595" w:rsidP="008D1595">
      <w:pPr>
        <w:pStyle w:val="FootnoteText"/>
        <w:rPr>
          <w:rFonts w:ascii="Arial" w:hAnsi="Arial" w:cs="Arial"/>
        </w:rPr>
      </w:pPr>
      <w:r w:rsidRPr="00516F1C">
        <w:rPr>
          <w:rStyle w:val="FootnoteReference"/>
          <w:rFonts w:ascii="Arial" w:hAnsi="Arial" w:cs="Arial"/>
        </w:rPr>
        <w:footnoteRef/>
      </w:r>
      <w:r w:rsidRPr="00516F1C">
        <w:rPr>
          <w:rFonts w:ascii="Arial" w:hAnsi="Arial" w:cs="Arial"/>
        </w:rPr>
        <w:t xml:space="preserve"> Abelson, 5.</w:t>
      </w:r>
    </w:p>
  </w:footnote>
  <w:footnote w:id="13">
    <w:p w:rsidR="008D1595" w:rsidRPr="00516F1C" w:rsidRDefault="008D1595" w:rsidP="008D1595">
      <w:pPr>
        <w:pStyle w:val="FootnoteText"/>
        <w:rPr>
          <w:rFonts w:ascii="Arial" w:hAnsi="Arial" w:cs="Arial"/>
          <w:sz w:val="18"/>
          <w:szCs w:val="18"/>
        </w:rPr>
      </w:pPr>
      <w:r w:rsidRPr="00516F1C">
        <w:rPr>
          <w:rStyle w:val="FootnoteReference"/>
          <w:rFonts w:ascii="Arial" w:hAnsi="Arial" w:cs="Arial"/>
          <w:sz w:val="18"/>
          <w:szCs w:val="18"/>
        </w:rPr>
        <w:footnoteRef/>
      </w:r>
      <w:r w:rsidRPr="00516F1C">
        <w:rPr>
          <w:rFonts w:ascii="Arial" w:hAnsi="Arial" w:cs="Arial"/>
          <w:sz w:val="18"/>
          <w:szCs w:val="18"/>
        </w:rPr>
        <w:t xml:space="preserve"> BITRE, table T7.10, Cost of injury and disability, 91.</w:t>
      </w:r>
    </w:p>
  </w:footnote>
  <w:footnote w:id="14">
    <w:p w:rsidR="008D1595" w:rsidRPr="003D7DF1" w:rsidRDefault="008D1595" w:rsidP="008D1595">
      <w:pPr>
        <w:pStyle w:val="FootnoteText"/>
        <w:rPr>
          <w:rFonts w:ascii="Arial" w:hAnsi="Arial" w:cs="Arial"/>
          <w:sz w:val="18"/>
          <w:szCs w:val="18"/>
        </w:rPr>
      </w:pPr>
      <w:r w:rsidRPr="003D7DF1">
        <w:rPr>
          <w:rStyle w:val="FootnoteReference"/>
          <w:rFonts w:ascii="Arial" w:hAnsi="Arial" w:cs="Arial"/>
          <w:sz w:val="18"/>
          <w:szCs w:val="18"/>
        </w:rPr>
        <w:footnoteRef/>
      </w:r>
      <w:r w:rsidRPr="003D7DF1">
        <w:rPr>
          <w:rFonts w:ascii="Arial" w:hAnsi="Arial" w:cs="Arial"/>
          <w:sz w:val="18"/>
          <w:szCs w:val="18"/>
        </w:rPr>
        <w:t xml:space="preserve"> Australian Transport Council, </w:t>
      </w:r>
      <w:hyperlink r:id="rId8" w:history="1">
        <w:r w:rsidRPr="003D7DF1">
          <w:rPr>
            <w:rStyle w:val="Hyperlink"/>
            <w:rFonts w:ascii="Arial" w:hAnsi="Arial" w:cs="Arial"/>
            <w:sz w:val="18"/>
            <w:szCs w:val="18"/>
          </w:rPr>
          <w:t>National Road Safety Strategy 2011-2020</w:t>
        </w:r>
      </w:hyperlink>
      <w:r w:rsidRPr="003D7DF1">
        <w:rPr>
          <w:rFonts w:ascii="Arial" w:hAnsi="Arial" w:cs="Arial"/>
          <w:sz w:val="18"/>
          <w:szCs w:val="18"/>
        </w:rPr>
        <w:t>, 55.</w:t>
      </w:r>
    </w:p>
  </w:footnote>
  <w:footnote w:id="15">
    <w:p w:rsidR="008D1595" w:rsidRPr="00920C92" w:rsidRDefault="008D1595">
      <w:pPr>
        <w:pStyle w:val="FootnoteText"/>
        <w:rPr>
          <w:rFonts w:ascii="Arial" w:hAnsi="Arial" w:cs="Arial"/>
        </w:rPr>
      </w:pPr>
      <w:r w:rsidRPr="00920C92">
        <w:rPr>
          <w:rStyle w:val="FootnoteReference"/>
          <w:rFonts w:ascii="Arial" w:hAnsi="Arial" w:cs="Arial"/>
        </w:rPr>
        <w:footnoteRef/>
      </w:r>
      <w:r w:rsidRPr="00920C92">
        <w:rPr>
          <w:rFonts w:ascii="Arial" w:hAnsi="Arial" w:cs="Arial"/>
        </w:rPr>
        <w:t xml:space="preserve"> </w:t>
      </w:r>
      <w:r w:rsidRPr="00920C92">
        <w:rPr>
          <w:rFonts w:ascii="Arial" w:hAnsi="Arial" w:cs="Arial"/>
          <w:sz w:val="18"/>
          <w:szCs w:val="18"/>
        </w:rPr>
        <w:t>Model Work Health and Safety Act, s 19</w:t>
      </w:r>
    </w:p>
  </w:footnote>
  <w:footnote w:id="16">
    <w:p w:rsidR="008D1595" w:rsidRPr="00920C92" w:rsidRDefault="008D1595">
      <w:pPr>
        <w:pStyle w:val="FootnoteText"/>
        <w:rPr>
          <w:rFonts w:ascii="Arial" w:hAnsi="Arial" w:cs="Arial"/>
          <w:sz w:val="18"/>
          <w:szCs w:val="18"/>
        </w:rPr>
      </w:pPr>
      <w:r w:rsidRPr="00920C92">
        <w:rPr>
          <w:rStyle w:val="FootnoteReference"/>
          <w:rFonts w:ascii="Arial" w:hAnsi="Arial" w:cs="Arial"/>
          <w:sz w:val="18"/>
          <w:szCs w:val="18"/>
        </w:rPr>
        <w:footnoteRef/>
      </w:r>
      <w:r w:rsidRPr="00920C92">
        <w:rPr>
          <w:rFonts w:ascii="Arial" w:hAnsi="Arial" w:cs="Arial"/>
          <w:sz w:val="18"/>
          <w:szCs w:val="18"/>
        </w:rPr>
        <w:t xml:space="preserve"> </w:t>
      </w:r>
      <w:r>
        <w:rPr>
          <w:rFonts w:ascii="Arial" w:hAnsi="Arial" w:cs="Arial"/>
          <w:sz w:val="18"/>
          <w:szCs w:val="18"/>
        </w:rPr>
        <w:t>Heavy Vehicle National Law and Other Legislation Amendment Act 2016, s 10.</w:t>
      </w:r>
    </w:p>
  </w:footnote>
  <w:footnote w:id="17">
    <w:p w:rsidR="008D1595" w:rsidRPr="005A511A" w:rsidRDefault="008D1595">
      <w:pPr>
        <w:pStyle w:val="FootnoteText"/>
        <w:rPr>
          <w:rFonts w:ascii="Arial" w:hAnsi="Arial" w:cs="Arial"/>
          <w:sz w:val="18"/>
          <w:szCs w:val="18"/>
        </w:rPr>
      </w:pPr>
      <w:r w:rsidRPr="005A511A">
        <w:rPr>
          <w:rStyle w:val="FootnoteReference"/>
          <w:rFonts w:ascii="Arial" w:hAnsi="Arial" w:cs="Arial"/>
          <w:sz w:val="18"/>
          <w:szCs w:val="18"/>
        </w:rPr>
        <w:footnoteRef/>
      </w:r>
      <w:r w:rsidRPr="005A511A">
        <w:rPr>
          <w:rFonts w:ascii="Arial" w:hAnsi="Arial" w:cs="Arial"/>
          <w:sz w:val="18"/>
          <w:szCs w:val="18"/>
        </w:rPr>
        <w:t xml:space="preserve"> Safe Work Australia, </w:t>
      </w:r>
      <w:hyperlink r:id="rId9" w:history="1">
        <w:r w:rsidRPr="005A511A">
          <w:rPr>
            <w:rStyle w:val="Hyperlink"/>
            <w:rFonts w:ascii="Arial" w:hAnsi="Arial" w:cs="Arial"/>
            <w:sz w:val="18"/>
            <w:szCs w:val="18"/>
          </w:rPr>
          <w:t>How to manage work health and safety risks code of practice</w:t>
        </w:r>
      </w:hyperlink>
      <w:r w:rsidRPr="005A511A">
        <w:rPr>
          <w:rFonts w:ascii="Arial" w:hAnsi="Arial" w:cs="Arial"/>
          <w:sz w:val="18"/>
          <w:szCs w:val="18"/>
        </w:rPr>
        <w:t xml:space="preserve">. December 2011, 16. </w:t>
      </w:r>
    </w:p>
  </w:footnote>
  <w:footnote w:id="18">
    <w:p w:rsidR="008D1595" w:rsidRPr="001C2EBD" w:rsidRDefault="008D1595">
      <w:pPr>
        <w:pStyle w:val="FootnoteText"/>
        <w:rPr>
          <w:rFonts w:ascii="Arial" w:hAnsi="Arial" w:cs="Arial"/>
          <w:sz w:val="18"/>
          <w:szCs w:val="18"/>
        </w:rPr>
      </w:pPr>
      <w:r w:rsidRPr="001C2EBD">
        <w:rPr>
          <w:rStyle w:val="FootnoteReference"/>
          <w:rFonts w:ascii="Arial" w:hAnsi="Arial" w:cs="Arial"/>
          <w:sz w:val="18"/>
          <w:szCs w:val="18"/>
        </w:rPr>
        <w:footnoteRef/>
      </w:r>
      <w:r w:rsidRPr="001C2EBD">
        <w:rPr>
          <w:rFonts w:ascii="Arial" w:hAnsi="Arial" w:cs="Arial"/>
          <w:sz w:val="18"/>
          <w:szCs w:val="18"/>
        </w:rPr>
        <w:t xml:space="preserve"> </w:t>
      </w:r>
      <w:r>
        <w:rPr>
          <w:rFonts w:ascii="Arial" w:hAnsi="Arial" w:cs="Arial"/>
          <w:sz w:val="18"/>
          <w:szCs w:val="18"/>
        </w:rPr>
        <w:t xml:space="preserve">HM Treasury, </w:t>
      </w:r>
      <w:hyperlink r:id="rId10" w:history="1">
        <w:r w:rsidRPr="001C2EBD">
          <w:rPr>
            <w:rStyle w:val="Hyperlink"/>
            <w:rFonts w:ascii="Arial" w:hAnsi="Arial" w:cs="Arial"/>
            <w:sz w:val="18"/>
            <w:szCs w:val="18"/>
          </w:rPr>
          <w:t>Managing risks to the public: appraisal guidance</w:t>
        </w:r>
      </w:hyperlink>
      <w:r>
        <w:rPr>
          <w:rFonts w:ascii="Arial" w:hAnsi="Arial" w:cs="Arial"/>
          <w:sz w:val="18"/>
          <w:szCs w:val="18"/>
        </w:rPr>
        <w:t>. June 2005, 26.</w:t>
      </w:r>
    </w:p>
  </w:footnote>
  <w:footnote w:id="19">
    <w:p w:rsidR="008D1595" w:rsidRPr="00BC239A" w:rsidRDefault="008D1595">
      <w:pPr>
        <w:pStyle w:val="FootnoteText"/>
        <w:rPr>
          <w:rFonts w:ascii="Arial" w:hAnsi="Arial" w:cs="Arial"/>
          <w:sz w:val="18"/>
          <w:szCs w:val="18"/>
        </w:rPr>
      </w:pPr>
      <w:r w:rsidRPr="00BC239A">
        <w:rPr>
          <w:rStyle w:val="FootnoteReference"/>
          <w:rFonts w:ascii="Arial" w:hAnsi="Arial" w:cs="Arial"/>
          <w:sz w:val="18"/>
          <w:szCs w:val="18"/>
        </w:rPr>
        <w:footnoteRef/>
      </w:r>
      <w:r w:rsidRPr="00BC239A">
        <w:rPr>
          <w:rFonts w:ascii="Arial" w:hAnsi="Arial" w:cs="Arial"/>
          <w:sz w:val="18"/>
          <w:szCs w:val="18"/>
        </w:rPr>
        <w:t xml:space="preserve"> HM Treasury, 27</w:t>
      </w:r>
      <w:r>
        <w:rPr>
          <w:rFonts w:ascii="Arial" w:hAnsi="Arial" w:cs="Arial"/>
          <w:sz w:val="18"/>
          <w:szCs w:val="18"/>
        </w:rPr>
        <w:t>.</w:t>
      </w:r>
    </w:p>
  </w:footnote>
  <w:footnote w:id="20">
    <w:p w:rsidR="008D1595" w:rsidRPr="00BC239A" w:rsidRDefault="008D1595">
      <w:pPr>
        <w:pStyle w:val="FootnoteText"/>
        <w:rPr>
          <w:rFonts w:ascii="Arial" w:hAnsi="Arial" w:cs="Arial"/>
          <w:sz w:val="18"/>
          <w:szCs w:val="18"/>
        </w:rPr>
      </w:pPr>
      <w:r w:rsidRPr="00BC239A">
        <w:rPr>
          <w:rStyle w:val="FootnoteReference"/>
          <w:rFonts w:ascii="Arial" w:hAnsi="Arial" w:cs="Arial"/>
          <w:sz w:val="18"/>
          <w:szCs w:val="18"/>
        </w:rPr>
        <w:footnoteRef/>
      </w:r>
      <w:r w:rsidRPr="00BC239A">
        <w:rPr>
          <w:rFonts w:ascii="Arial" w:hAnsi="Arial" w:cs="Arial"/>
          <w:sz w:val="18"/>
          <w:szCs w:val="18"/>
        </w:rPr>
        <w:t xml:space="preserve"> </w:t>
      </w:r>
      <w:r>
        <w:rPr>
          <w:rFonts w:ascii="Arial" w:hAnsi="Arial" w:cs="Arial"/>
          <w:sz w:val="18"/>
          <w:szCs w:val="18"/>
        </w:rPr>
        <w:t xml:space="preserve">Health and Safety Executive (HSE), </w:t>
      </w:r>
      <w:hyperlink r:id="rId11" w:history="1">
        <w:r w:rsidRPr="00A278A8">
          <w:rPr>
            <w:rStyle w:val="Hyperlink"/>
            <w:rFonts w:ascii="Arial" w:hAnsi="Arial" w:cs="Arial"/>
            <w:sz w:val="18"/>
            <w:szCs w:val="18"/>
          </w:rPr>
          <w:t>Reducing risks: protecting people: HSE’s decision-making process</w:t>
        </w:r>
      </w:hyperlink>
      <w:r>
        <w:rPr>
          <w:rFonts w:ascii="Arial" w:hAnsi="Arial" w:cs="Arial"/>
          <w:sz w:val="18"/>
          <w:szCs w:val="18"/>
        </w:rPr>
        <w:t>. 2001. 44-49.</w:t>
      </w:r>
    </w:p>
  </w:footnote>
  <w:footnote w:id="21">
    <w:p w:rsidR="008D1595" w:rsidRPr="00BC239A" w:rsidRDefault="008D1595" w:rsidP="007F2042">
      <w:pPr>
        <w:pStyle w:val="FootnoteText"/>
        <w:rPr>
          <w:rFonts w:ascii="Arial" w:hAnsi="Arial" w:cs="Arial"/>
          <w:sz w:val="18"/>
          <w:szCs w:val="18"/>
        </w:rPr>
      </w:pPr>
      <w:r w:rsidRPr="00BC239A">
        <w:rPr>
          <w:rStyle w:val="FootnoteReference"/>
          <w:rFonts w:ascii="Arial" w:hAnsi="Arial" w:cs="Arial"/>
          <w:sz w:val="18"/>
          <w:szCs w:val="18"/>
        </w:rPr>
        <w:footnoteRef/>
      </w:r>
      <w:r>
        <w:rPr>
          <w:rFonts w:ascii="Arial" w:hAnsi="Arial" w:cs="Arial"/>
          <w:sz w:val="18"/>
          <w:szCs w:val="18"/>
        </w:rPr>
        <w:t xml:space="preserve"> DIRD</w:t>
      </w:r>
      <w:r w:rsidRPr="00BC239A">
        <w:rPr>
          <w:rFonts w:ascii="Arial" w:hAnsi="Arial" w:cs="Arial"/>
          <w:sz w:val="18"/>
          <w:szCs w:val="18"/>
        </w:rPr>
        <w:t>, 120.</w:t>
      </w:r>
    </w:p>
  </w:footnote>
  <w:footnote w:id="22">
    <w:p w:rsidR="008D1595" w:rsidRPr="007F2042" w:rsidRDefault="008D1595">
      <w:pPr>
        <w:pStyle w:val="FootnoteText"/>
        <w:rPr>
          <w:rFonts w:ascii="Arial" w:hAnsi="Arial" w:cs="Arial"/>
          <w:sz w:val="18"/>
          <w:szCs w:val="18"/>
        </w:rPr>
      </w:pPr>
      <w:r w:rsidRPr="007F2042">
        <w:rPr>
          <w:rStyle w:val="FootnoteReference"/>
          <w:rFonts w:ascii="Arial" w:hAnsi="Arial" w:cs="Arial"/>
          <w:sz w:val="18"/>
          <w:szCs w:val="18"/>
        </w:rPr>
        <w:footnoteRef/>
      </w:r>
      <w:r>
        <w:rPr>
          <w:rFonts w:ascii="Arial" w:hAnsi="Arial" w:cs="Arial"/>
          <w:sz w:val="18"/>
          <w:szCs w:val="18"/>
        </w:rPr>
        <w:t xml:space="preserve"> DIRD</w:t>
      </w:r>
      <w:r w:rsidRPr="007F2042">
        <w:rPr>
          <w:rFonts w:ascii="Arial" w:hAnsi="Arial" w:cs="Arial"/>
          <w:sz w:val="18"/>
          <w:szCs w:val="18"/>
        </w:rPr>
        <w:t>, 55.</w:t>
      </w:r>
    </w:p>
  </w:footnote>
  <w:footnote w:id="23">
    <w:p w:rsidR="008D1595" w:rsidRPr="00A56F30" w:rsidRDefault="008D1595" w:rsidP="00F336FF">
      <w:pPr>
        <w:pStyle w:val="FootnoteText"/>
        <w:rPr>
          <w:rFonts w:ascii="Arial" w:hAnsi="Arial" w:cs="Arial"/>
          <w:sz w:val="18"/>
          <w:szCs w:val="18"/>
        </w:rPr>
      </w:pPr>
      <w:r w:rsidRPr="00A56F30">
        <w:rPr>
          <w:rStyle w:val="FootnoteReference"/>
          <w:rFonts w:ascii="Arial" w:hAnsi="Arial" w:cs="Arial"/>
          <w:sz w:val="18"/>
          <w:szCs w:val="18"/>
        </w:rPr>
        <w:footnoteRef/>
      </w:r>
      <w:r w:rsidRPr="00A56F30">
        <w:rPr>
          <w:rFonts w:ascii="Arial" w:hAnsi="Arial" w:cs="Arial"/>
          <w:sz w:val="18"/>
          <w:szCs w:val="18"/>
        </w:rPr>
        <w:t xml:space="preserve"> </w:t>
      </w:r>
      <w:r>
        <w:rPr>
          <w:rFonts w:ascii="Arial" w:hAnsi="Arial" w:cs="Arial"/>
          <w:sz w:val="18"/>
          <w:szCs w:val="18"/>
        </w:rPr>
        <w:t>DIRD, 2017, 27-28.</w:t>
      </w:r>
    </w:p>
  </w:footnote>
  <w:footnote w:id="24">
    <w:p w:rsidR="008D1595" w:rsidRPr="00A56F30" w:rsidRDefault="008D1595" w:rsidP="00F336FF">
      <w:pPr>
        <w:pStyle w:val="FootnoteText"/>
        <w:rPr>
          <w:rFonts w:ascii="Arial" w:hAnsi="Arial" w:cs="Arial"/>
          <w:sz w:val="18"/>
          <w:szCs w:val="18"/>
        </w:rPr>
      </w:pPr>
      <w:r w:rsidRPr="00A56F30">
        <w:rPr>
          <w:rStyle w:val="FootnoteReference"/>
          <w:rFonts w:ascii="Arial" w:hAnsi="Arial" w:cs="Arial"/>
          <w:sz w:val="18"/>
          <w:szCs w:val="18"/>
        </w:rPr>
        <w:footnoteRef/>
      </w:r>
      <w:r w:rsidRPr="00A56F30">
        <w:rPr>
          <w:rFonts w:ascii="Arial" w:hAnsi="Arial" w:cs="Arial"/>
          <w:sz w:val="18"/>
          <w:szCs w:val="18"/>
        </w:rPr>
        <w:t xml:space="preserve"> DIRD, Consultation draft of </w:t>
      </w:r>
      <w:hyperlink r:id="rId12" w:history="1">
        <w:r w:rsidRPr="00A56F30">
          <w:rPr>
            <w:rStyle w:val="Hyperlink"/>
            <w:rFonts w:ascii="Arial" w:hAnsi="Arial" w:cs="Arial"/>
            <w:sz w:val="18"/>
            <w:szCs w:val="18"/>
          </w:rPr>
          <w:t>Vehicle Standard (Australian Design Rule 35/06 – Commercial Vehicle Brake Systems) 2018</w:t>
        </w:r>
      </w:hyperlink>
      <w:r>
        <w:rPr>
          <w:rFonts w:ascii="Arial" w:hAnsi="Arial" w:cs="Arial"/>
          <w:sz w:val="18"/>
          <w:szCs w:val="18"/>
        </w:rPr>
        <w:t>, appendix 3, s 2.4.</w:t>
      </w:r>
    </w:p>
  </w:footnote>
  <w:footnote w:id="25">
    <w:p w:rsidR="008D1595" w:rsidRPr="00A14A49" w:rsidRDefault="008D1595">
      <w:pPr>
        <w:pStyle w:val="FootnoteText"/>
        <w:rPr>
          <w:rFonts w:ascii="Arial" w:hAnsi="Arial" w:cs="Arial"/>
          <w:sz w:val="18"/>
          <w:szCs w:val="18"/>
        </w:rPr>
      </w:pPr>
      <w:r w:rsidRPr="00A14A49">
        <w:rPr>
          <w:rStyle w:val="FootnoteReference"/>
          <w:rFonts w:ascii="Arial" w:hAnsi="Arial" w:cs="Arial"/>
          <w:sz w:val="18"/>
          <w:szCs w:val="18"/>
        </w:rPr>
        <w:footnoteRef/>
      </w:r>
      <w:r w:rsidRPr="00A14A49">
        <w:rPr>
          <w:rFonts w:ascii="Arial" w:hAnsi="Arial" w:cs="Arial"/>
          <w:sz w:val="18"/>
          <w:szCs w:val="18"/>
        </w:rPr>
        <w:t xml:space="preserve"> DIRD, 2017, 28.</w:t>
      </w:r>
    </w:p>
  </w:footnote>
  <w:footnote w:id="26">
    <w:p w:rsidR="008D1595" w:rsidRPr="00B744B9" w:rsidRDefault="008D1595">
      <w:pPr>
        <w:pStyle w:val="FootnoteText"/>
        <w:rPr>
          <w:rFonts w:ascii="Arial" w:hAnsi="Arial" w:cs="Arial"/>
          <w:sz w:val="18"/>
          <w:szCs w:val="18"/>
        </w:rPr>
      </w:pPr>
      <w:r w:rsidRPr="00B744B9">
        <w:rPr>
          <w:rStyle w:val="FootnoteReference"/>
          <w:rFonts w:ascii="Arial" w:hAnsi="Arial" w:cs="Arial"/>
          <w:sz w:val="18"/>
          <w:szCs w:val="18"/>
        </w:rPr>
        <w:footnoteRef/>
      </w:r>
      <w:r w:rsidRPr="00B744B9">
        <w:rPr>
          <w:rFonts w:ascii="Arial" w:hAnsi="Arial" w:cs="Arial"/>
          <w:sz w:val="18"/>
          <w:szCs w:val="18"/>
        </w:rPr>
        <w:t xml:space="preserve"> </w:t>
      </w:r>
      <w:r>
        <w:rPr>
          <w:rFonts w:ascii="Arial" w:hAnsi="Arial" w:cs="Arial"/>
          <w:sz w:val="18"/>
          <w:szCs w:val="18"/>
        </w:rPr>
        <w:t>DIRD, 2017, 28.</w:t>
      </w:r>
    </w:p>
  </w:footnote>
  <w:footnote w:id="27">
    <w:p w:rsidR="008D1595" w:rsidRPr="008913D8" w:rsidRDefault="008D1595">
      <w:pPr>
        <w:pStyle w:val="FootnoteText"/>
        <w:rPr>
          <w:rFonts w:ascii="Arial" w:hAnsi="Arial" w:cs="Arial"/>
          <w:sz w:val="18"/>
          <w:szCs w:val="18"/>
        </w:rPr>
      </w:pPr>
      <w:r w:rsidRPr="008913D8">
        <w:rPr>
          <w:rStyle w:val="FootnoteReference"/>
          <w:rFonts w:ascii="Arial" w:hAnsi="Arial" w:cs="Arial"/>
          <w:sz w:val="18"/>
          <w:szCs w:val="18"/>
        </w:rPr>
        <w:footnoteRef/>
      </w:r>
      <w:r w:rsidRPr="008913D8">
        <w:rPr>
          <w:rFonts w:ascii="Arial" w:hAnsi="Arial" w:cs="Arial"/>
          <w:sz w:val="18"/>
          <w:szCs w:val="18"/>
        </w:rPr>
        <w:t xml:space="preserve"> </w:t>
      </w:r>
      <w:r>
        <w:rPr>
          <w:rFonts w:ascii="Arial" w:hAnsi="Arial" w:cs="Arial"/>
          <w:sz w:val="18"/>
          <w:szCs w:val="18"/>
        </w:rPr>
        <w:t>DIRD, 2017, 99.</w:t>
      </w:r>
    </w:p>
  </w:footnote>
  <w:footnote w:id="28">
    <w:p w:rsidR="008D1595" w:rsidRPr="00AC3796" w:rsidRDefault="008D1595" w:rsidP="00AC3796">
      <w:pPr>
        <w:pStyle w:val="FootnoteText"/>
        <w:rPr>
          <w:rFonts w:ascii="Arial" w:hAnsi="Arial" w:cs="Arial"/>
          <w:sz w:val="18"/>
          <w:szCs w:val="18"/>
        </w:rPr>
      </w:pPr>
      <w:r w:rsidRPr="00AC3796">
        <w:rPr>
          <w:rStyle w:val="FootnoteReference"/>
          <w:rFonts w:ascii="Arial" w:hAnsi="Arial" w:cs="Arial"/>
          <w:sz w:val="18"/>
          <w:szCs w:val="18"/>
        </w:rPr>
        <w:footnoteRef/>
      </w:r>
      <w:r w:rsidRPr="00AC3796">
        <w:rPr>
          <w:rFonts w:ascii="Arial" w:hAnsi="Arial" w:cs="Arial"/>
          <w:sz w:val="18"/>
          <w:szCs w:val="18"/>
        </w:rPr>
        <w:t xml:space="preserve"> </w:t>
      </w:r>
      <w:hyperlink r:id="rId13" w:history="1">
        <w:r w:rsidRPr="00C253C4">
          <w:rPr>
            <w:rStyle w:val="Hyperlink"/>
            <w:rFonts w:ascii="Arial" w:hAnsi="Arial" w:cs="Arial"/>
            <w:sz w:val="18"/>
            <w:szCs w:val="18"/>
          </w:rPr>
          <w:t>Vehicle Standard (Australian Design Rule 38/04 –Trailer Brake Systems) 2013</w:t>
        </w:r>
      </w:hyperlink>
      <w:r>
        <w:rPr>
          <w:rFonts w:ascii="Arial" w:hAnsi="Arial" w:cs="Arial"/>
          <w:sz w:val="18"/>
          <w:szCs w:val="18"/>
        </w:rPr>
        <w:t>, s 5.12.</w:t>
      </w:r>
    </w:p>
  </w:footnote>
  <w:footnote w:id="29">
    <w:p w:rsidR="008D1595" w:rsidRPr="00B42971" w:rsidRDefault="008D1595">
      <w:pPr>
        <w:pStyle w:val="FootnoteText"/>
        <w:rPr>
          <w:rFonts w:ascii="Arial" w:hAnsi="Arial" w:cs="Arial"/>
          <w:sz w:val="18"/>
          <w:szCs w:val="18"/>
        </w:rPr>
      </w:pPr>
      <w:r w:rsidRPr="00B42971">
        <w:rPr>
          <w:rStyle w:val="FootnoteReference"/>
          <w:rFonts w:ascii="Arial" w:hAnsi="Arial" w:cs="Arial"/>
          <w:sz w:val="18"/>
          <w:szCs w:val="18"/>
        </w:rPr>
        <w:footnoteRef/>
      </w:r>
      <w:r w:rsidRPr="00B42971">
        <w:rPr>
          <w:rFonts w:ascii="Arial" w:hAnsi="Arial" w:cs="Arial"/>
          <w:sz w:val="18"/>
          <w:szCs w:val="18"/>
        </w:rPr>
        <w:t xml:space="preserve"> </w:t>
      </w:r>
      <w:r>
        <w:rPr>
          <w:rFonts w:ascii="Arial" w:hAnsi="Arial" w:cs="Arial"/>
          <w:sz w:val="18"/>
          <w:szCs w:val="18"/>
        </w:rPr>
        <w:t xml:space="preserve">ATA, </w:t>
      </w:r>
      <w:hyperlink r:id="rId14" w:history="1">
        <w:r w:rsidRPr="00B42971">
          <w:rPr>
            <w:rStyle w:val="Hyperlink"/>
            <w:rFonts w:ascii="Arial" w:hAnsi="Arial" w:cs="Arial"/>
            <w:sz w:val="18"/>
            <w:szCs w:val="18"/>
          </w:rPr>
          <w:t>RSC and ESC systems for trucks and trailers: technical advisory procedure</w:t>
        </w:r>
      </w:hyperlink>
      <w:r>
        <w:rPr>
          <w:rFonts w:ascii="Arial" w:hAnsi="Arial" w:cs="Arial"/>
          <w:sz w:val="18"/>
          <w:szCs w:val="18"/>
        </w:rPr>
        <w:t>. 2</w:t>
      </w:r>
      <w:r w:rsidRPr="00B42971">
        <w:rPr>
          <w:rFonts w:ascii="Arial" w:hAnsi="Arial" w:cs="Arial"/>
          <w:sz w:val="18"/>
          <w:szCs w:val="18"/>
        </w:rPr>
        <w:t>nd</w:t>
      </w:r>
      <w:r>
        <w:rPr>
          <w:rFonts w:ascii="Arial" w:hAnsi="Arial" w:cs="Arial"/>
          <w:sz w:val="18"/>
          <w:szCs w:val="18"/>
        </w:rPr>
        <w:t xml:space="preserve"> edition, May 2016. 14. </w:t>
      </w:r>
    </w:p>
  </w:footnote>
  <w:footnote w:id="30">
    <w:p w:rsidR="008D1595" w:rsidRPr="00B42971" w:rsidRDefault="008D1595">
      <w:pPr>
        <w:pStyle w:val="FootnoteText"/>
        <w:rPr>
          <w:rFonts w:ascii="Arial" w:hAnsi="Arial" w:cs="Arial"/>
          <w:sz w:val="18"/>
          <w:szCs w:val="18"/>
        </w:rPr>
      </w:pPr>
      <w:r w:rsidRPr="00B42971">
        <w:rPr>
          <w:rStyle w:val="FootnoteReference"/>
          <w:rFonts w:ascii="Arial" w:hAnsi="Arial" w:cs="Arial"/>
          <w:sz w:val="18"/>
          <w:szCs w:val="18"/>
        </w:rPr>
        <w:footnoteRef/>
      </w:r>
      <w:r w:rsidRPr="00B42971">
        <w:rPr>
          <w:rFonts w:ascii="Arial" w:hAnsi="Arial" w:cs="Arial"/>
          <w:sz w:val="18"/>
          <w:szCs w:val="18"/>
        </w:rPr>
        <w:t xml:space="preserve"> </w:t>
      </w:r>
      <w:r>
        <w:rPr>
          <w:rFonts w:ascii="Arial" w:hAnsi="Arial" w:cs="Arial"/>
          <w:sz w:val="18"/>
          <w:szCs w:val="18"/>
        </w:rPr>
        <w:t>DIRD, 2017, 28.</w:t>
      </w:r>
    </w:p>
  </w:footnote>
  <w:footnote w:id="31">
    <w:p w:rsidR="008D1595" w:rsidRPr="00C253C4" w:rsidRDefault="008D1595">
      <w:pPr>
        <w:pStyle w:val="FootnoteText"/>
        <w:rPr>
          <w:rFonts w:ascii="Arial" w:hAnsi="Arial" w:cs="Arial"/>
          <w:sz w:val="18"/>
          <w:szCs w:val="18"/>
        </w:rPr>
      </w:pPr>
      <w:r w:rsidRPr="00C253C4">
        <w:rPr>
          <w:rStyle w:val="FootnoteReference"/>
          <w:rFonts w:ascii="Arial" w:hAnsi="Arial" w:cs="Arial"/>
          <w:sz w:val="18"/>
          <w:szCs w:val="18"/>
        </w:rPr>
        <w:footnoteRef/>
      </w:r>
      <w:r w:rsidRPr="00C253C4">
        <w:rPr>
          <w:rFonts w:ascii="Arial" w:hAnsi="Arial" w:cs="Arial"/>
          <w:sz w:val="18"/>
          <w:szCs w:val="18"/>
        </w:rPr>
        <w:t xml:space="preserve"> </w:t>
      </w:r>
      <w:r>
        <w:rPr>
          <w:rFonts w:ascii="Arial" w:hAnsi="Arial" w:cs="Arial"/>
          <w:sz w:val="18"/>
          <w:szCs w:val="18"/>
        </w:rPr>
        <w:t>DIRD, 2017, 95.</w:t>
      </w:r>
    </w:p>
  </w:footnote>
  <w:footnote w:id="32">
    <w:p w:rsidR="008D1595" w:rsidRPr="00C253C4" w:rsidRDefault="008D1595">
      <w:pPr>
        <w:pStyle w:val="FootnoteText"/>
        <w:rPr>
          <w:rFonts w:ascii="Arial" w:hAnsi="Arial" w:cs="Arial"/>
          <w:sz w:val="18"/>
          <w:szCs w:val="18"/>
        </w:rPr>
      </w:pPr>
      <w:r w:rsidRPr="00C253C4">
        <w:rPr>
          <w:rStyle w:val="FootnoteReference"/>
          <w:rFonts w:ascii="Arial" w:hAnsi="Arial" w:cs="Arial"/>
          <w:sz w:val="18"/>
          <w:szCs w:val="18"/>
        </w:rPr>
        <w:footnoteRef/>
      </w:r>
      <w:r w:rsidRPr="00C253C4">
        <w:rPr>
          <w:rFonts w:ascii="Arial" w:hAnsi="Arial" w:cs="Arial"/>
          <w:sz w:val="18"/>
          <w:szCs w:val="18"/>
        </w:rPr>
        <w:t xml:space="preserve"> DIRD, 2017, 103.</w:t>
      </w:r>
    </w:p>
  </w:footnote>
  <w:footnote w:id="33">
    <w:p w:rsidR="008D1595" w:rsidRPr="008526D9" w:rsidRDefault="008D1595">
      <w:pPr>
        <w:pStyle w:val="FootnoteText"/>
        <w:rPr>
          <w:rFonts w:ascii="Arial" w:hAnsi="Arial" w:cs="Arial"/>
          <w:sz w:val="18"/>
          <w:szCs w:val="18"/>
        </w:rPr>
      </w:pPr>
      <w:r w:rsidRPr="008526D9">
        <w:rPr>
          <w:rStyle w:val="FootnoteReference"/>
          <w:rFonts w:ascii="Arial" w:hAnsi="Arial" w:cs="Arial"/>
          <w:sz w:val="18"/>
          <w:szCs w:val="18"/>
        </w:rPr>
        <w:footnoteRef/>
      </w:r>
      <w:r w:rsidRPr="008526D9">
        <w:rPr>
          <w:rFonts w:ascii="Arial" w:hAnsi="Arial" w:cs="Arial"/>
          <w:sz w:val="18"/>
          <w:szCs w:val="18"/>
        </w:rPr>
        <w:t xml:space="preserve"> </w:t>
      </w:r>
      <w:hyperlink r:id="rId15" w:anchor="sec.11" w:history="1">
        <w:r w:rsidRPr="008526D9">
          <w:rPr>
            <w:rStyle w:val="Hyperlink"/>
            <w:rFonts w:ascii="Arial" w:hAnsi="Arial" w:cs="Arial"/>
            <w:sz w:val="18"/>
            <w:szCs w:val="18"/>
          </w:rPr>
          <w:t>Heavy Vehicle (Vehicle Standards) National Regulation</w:t>
        </w:r>
      </w:hyperlink>
      <w:r w:rsidRPr="008526D9">
        <w:rPr>
          <w:rFonts w:ascii="Arial" w:hAnsi="Arial" w:cs="Arial"/>
          <w:sz w:val="18"/>
          <w:szCs w:val="18"/>
        </w:rPr>
        <w:t>, s 11.</w:t>
      </w:r>
    </w:p>
  </w:footnote>
  <w:footnote w:id="34">
    <w:p w:rsidR="008D1595" w:rsidRPr="00C32B81" w:rsidRDefault="008D1595">
      <w:pPr>
        <w:pStyle w:val="FootnoteText"/>
        <w:rPr>
          <w:rFonts w:ascii="Arial" w:hAnsi="Arial" w:cs="Arial"/>
          <w:sz w:val="18"/>
          <w:szCs w:val="18"/>
        </w:rPr>
      </w:pPr>
      <w:r w:rsidRPr="00C32B81">
        <w:rPr>
          <w:rStyle w:val="FootnoteReference"/>
          <w:rFonts w:ascii="Arial" w:hAnsi="Arial" w:cs="Arial"/>
          <w:sz w:val="18"/>
          <w:szCs w:val="18"/>
        </w:rPr>
        <w:footnoteRef/>
      </w:r>
      <w:r w:rsidRPr="00C32B81">
        <w:rPr>
          <w:rFonts w:ascii="Arial" w:hAnsi="Arial" w:cs="Arial"/>
          <w:sz w:val="18"/>
          <w:szCs w:val="18"/>
        </w:rPr>
        <w:t xml:space="preserve"> ATA/ALRTA, </w:t>
      </w:r>
      <w:hyperlink r:id="rId16" w:history="1">
        <w:r w:rsidRPr="00C32B81">
          <w:rPr>
            <w:rStyle w:val="Hyperlink"/>
            <w:rFonts w:ascii="Arial" w:hAnsi="Arial" w:cs="Arial"/>
            <w:sz w:val="18"/>
            <w:szCs w:val="18"/>
          </w:rPr>
          <w:t>Mandate truck, trailer stability control to save lives</w:t>
        </w:r>
      </w:hyperlink>
      <w:r w:rsidRPr="00C32B81">
        <w:rPr>
          <w:rFonts w:ascii="Arial" w:hAnsi="Arial" w:cs="Arial"/>
          <w:sz w:val="18"/>
          <w:szCs w:val="18"/>
        </w:rPr>
        <w:t>. Joint media release, 10 August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55" w:rsidRDefault="00371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59548"/>
      <w:docPartObj>
        <w:docPartGallery w:val="Page Numbers (Top of Page)"/>
        <w:docPartUnique/>
      </w:docPartObj>
    </w:sdtPr>
    <w:sdtEndPr>
      <w:rPr>
        <w:rFonts w:ascii="Arial" w:hAnsi="Arial" w:cs="Arial"/>
        <w:noProof/>
      </w:rPr>
    </w:sdtEndPr>
    <w:sdtContent>
      <w:p w:rsidR="008D1595" w:rsidRPr="006352AB" w:rsidRDefault="00371855" w:rsidP="006352AB">
        <w:pPr>
          <w:pStyle w:val="Header"/>
          <w:jc w:val="right"/>
          <w:rPr>
            <w:rFonts w:ascii="Arial" w:hAnsi="Arial" w:cs="Arial"/>
          </w:rPr>
        </w:pPr>
      </w:p>
    </w:sdtContent>
  </w:sdt>
  <w:p w:rsidR="008D1595" w:rsidRPr="006352AB" w:rsidRDefault="008D1595" w:rsidP="006352AB">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95" w:rsidRDefault="008D1595" w:rsidP="004C4C7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61232"/>
      <w:docPartObj>
        <w:docPartGallery w:val="Page Numbers (Top of Page)"/>
        <w:docPartUnique/>
      </w:docPartObj>
    </w:sdtPr>
    <w:sdtEndPr>
      <w:rPr>
        <w:rFonts w:ascii="Arial" w:hAnsi="Arial" w:cs="Arial"/>
        <w:noProof/>
      </w:rPr>
    </w:sdtEndPr>
    <w:sdtContent>
      <w:p w:rsidR="009D61F0" w:rsidRPr="006352AB" w:rsidRDefault="009D61F0" w:rsidP="006352AB">
        <w:pPr>
          <w:pStyle w:val="Header"/>
          <w:jc w:val="right"/>
          <w:rPr>
            <w:rFonts w:ascii="Arial" w:hAnsi="Arial" w:cs="Arial"/>
          </w:rPr>
        </w:pPr>
        <w:r>
          <w:rPr>
            <w:rFonts w:ascii="Arial" w:hAnsi="Arial" w:cs="Arial"/>
          </w:rPr>
          <w:t>ATA/Heavy vehicle stability control RIS/</w:t>
        </w:r>
        <w:r w:rsidRPr="006352AB">
          <w:rPr>
            <w:rFonts w:ascii="Arial" w:hAnsi="Arial" w:cs="Arial"/>
          </w:rPr>
          <w:fldChar w:fldCharType="begin"/>
        </w:r>
        <w:r w:rsidRPr="006352AB">
          <w:rPr>
            <w:rFonts w:ascii="Arial" w:hAnsi="Arial" w:cs="Arial"/>
          </w:rPr>
          <w:instrText xml:space="preserve"> PAGE   \* MERGEFORMAT </w:instrText>
        </w:r>
        <w:r w:rsidRPr="006352AB">
          <w:rPr>
            <w:rFonts w:ascii="Arial" w:hAnsi="Arial" w:cs="Arial"/>
          </w:rPr>
          <w:fldChar w:fldCharType="separate"/>
        </w:r>
        <w:r w:rsidR="00371855">
          <w:rPr>
            <w:rFonts w:ascii="Arial" w:hAnsi="Arial" w:cs="Arial"/>
            <w:noProof/>
          </w:rPr>
          <w:t>11</w:t>
        </w:r>
        <w:r w:rsidRPr="006352AB">
          <w:rPr>
            <w:rFonts w:ascii="Arial" w:hAnsi="Arial" w:cs="Arial"/>
            <w:noProof/>
          </w:rPr>
          <w:fldChar w:fldCharType="end"/>
        </w:r>
      </w:p>
    </w:sdtContent>
  </w:sdt>
  <w:p w:rsidR="009D61F0" w:rsidRPr="006352AB" w:rsidRDefault="009D61F0" w:rsidP="006352AB">
    <w:pPr>
      <w:pStyle w:val="Header"/>
      <w:jc w:val="right"/>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F0" w:rsidRDefault="009D61F0" w:rsidP="004C4C70">
    <w:pPr>
      <w:pStyle w:val="Header"/>
      <w:jc w:val="center"/>
    </w:pPr>
    <w:r>
      <w:rPr>
        <w:noProof/>
        <w:lang w:eastAsia="en-AU"/>
      </w:rPr>
      <w:drawing>
        <wp:inline distT="0" distB="0" distL="0" distR="0" wp14:anchorId="39570C7B" wp14:editId="5B869BE8">
          <wp:extent cx="1152525" cy="5549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54990"/>
                  </a:xfrm>
                  <a:prstGeom prst="rect">
                    <a:avLst/>
                  </a:prstGeom>
                  <a:noFill/>
                </pic:spPr>
              </pic:pic>
            </a:graphicData>
          </a:graphic>
        </wp:inline>
      </w:drawing>
    </w:r>
  </w:p>
  <w:p w:rsidR="009D61F0" w:rsidRDefault="009D61F0" w:rsidP="004C4C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489"/>
    <w:multiLevelType w:val="hybridMultilevel"/>
    <w:tmpl w:val="ADD41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51717"/>
    <w:multiLevelType w:val="hybridMultilevel"/>
    <w:tmpl w:val="898AD77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0B2E157D"/>
    <w:multiLevelType w:val="hybridMultilevel"/>
    <w:tmpl w:val="32821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B41C6"/>
    <w:multiLevelType w:val="hybridMultilevel"/>
    <w:tmpl w:val="374CA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43046"/>
    <w:multiLevelType w:val="hybridMultilevel"/>
    <w:tmpl w:val="759E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647A3"/>
    <w:multiLevelType w:val="hybridMultilevel"/>
    <w:tmpl w:val="DE980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EAB4CE9"/>
    <w:multiLevelType w:val="hybridMultilevel"/>
    <w:tmpl w:val="8A18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A7EE0"/>
    <w:multiLevelType w:val="hybridMultilevel"/>
    <w:tmpl w:val="3E3E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5653"/>
    <w:multiLevelType w:val="hybridMultilevel"/>
    <w:tmpl w:val="C848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A235B"/>
    <w:multiLevelType w:val="hybridMultilevel"/>
    <w:tmpl w:val="90F6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35267"/>
    <w:multiLevelType w:val="hybridMultilevel"/>
    <w:tmpl w:val="C6564F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1C629F8"/>
    <w:multiLevelType w:val="hybridMultilevel"/>
    <w:tmpl w:val="046AA25E"/>
    <w:lvl w:ilvl="0" w:tplc="F1362F9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14A38"/>
    <w:multiLevelType w:val="hybridMultilevel"/>
    <w:tmpl w:val="046AA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46E9F"/>
    <w:multiLevelType w:val="hybridMultilevel"/>
    <w:tmpl w:val="4FAC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60527"/>
    <w:multiLevelType w:val="hybridMultilevel"/>
    <w:tmpl w:val="8DCE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A4DE1"/>
    <w:multiLevelType w:val="hybridMultilevel"/>
    <w:tmpl w:val="CB668F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4C257CAD"/>
    <w:multiLevelType w:val="hybridMultilevel"/>
    <w:tmpl w:val="7C76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A4042"/>
    <w:multiLevelType w:val="hybridMultilevel"/>
    <w:tmpl w:val="A8DC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E59C2"/>
    <w:multiLevelType w:val="hybridMultilevel"/>
    <w:tmpl w:val="4526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47164"/>
    <w:multiLevelType w:val="hybridMultilevel"/>
    <w:tmpl w:val="CAA84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D747D0"/>
    <w:multiLevelType w:val="hybridMultilevel"/>
    <w:tmpl w:val="4ED6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402959"/>
    <w:multiLevelType w:val="hybridMultilevel"/>
    <w:tmpl w:val="CA581648"/>
    <w:lvl w:ilvl="0" w:tplc="F1362F9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DA6D91"/>
    <w:multiLevelType w:val="hybridMultilevel"/>
    <w:tmpl w:val="B1F45F28"/>
    <w:lvl w:ilvl="0" w:tplc="5C103E4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3302E2"/>
    <w:multiLevelType w:val="hybridMultilevel"/>
    <w:tmpl w:val="8FD2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416CE"/>
    <w:multiLevelType w:val="hybridMultilevel"/>
    <w:tmpl w:val="C21A1966"/>
    <w:lvl w:ilvl="0" w:tplc="3DD0E2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4890D46"/>
    <w:multiLevelType w:val="hybridMultilevel"/>
    <w:tmpl w:val="CDC0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662AE"/>
    <w:multiLevelType w:val="hybridMultilevel"/>
    <w:tmpl w:val="136E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4"/>
  </w:num>
  <w:num w:numId="4">
    <w:abstractNumId w:val="23"/>
  </w:num>
  <w:num w:numId="5">
    <w:abstractNumId w:val="26"/>
  </w:num>
  <w:num w:numId="6">
    <w:abstractNumId w:val="16"/>
  </w:num>
  <w:num w:numId="7">
    <w:abstractNumId w:val="13"/>
  </w:num>
  <w:num w:numId="8">
    <w:abstractNumId w:val="17"/>
  </w:num>
  <w:num w:numId="9">
    <w:abstractNumId w:val="19"/>
  </w:num>
  <w:num w:numId="10">
    <w:abstractNumId w:val="0"/>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9"/>
  </w:num>
  <w:num w:numId="18">
    <w:abstractNumId w:val="20"/>
  </w:num>
  <w:num w:numId="19">
    <w:abstractNumId w:val="18"/>
  </w:num>
  <w:num w:numId="20">
    <w:abstractNumId w:val="7"/>
  </w:num>
  <w:num w:numId="21">
    <w:abstractNumId w:val="6"/>
  </w:num>
  <w:num w:numId="22">
    <w:abstractNumId w:val="3"/>
  </w:num>
  <w:num w:numId="23">
    <w:abstractNumId w:val="8"/>
  </w:num>
  <w:num w:numId="24">
    <w:abstractNumId w:val="25"/>
  </w:num>
  <w:num w:numId="25">
    <w:abstractNumId w:val="11"/>
  </w:num>
  <w:num w:numId="26">
    <w:abstractNumId w:val="21"/>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9"/>
    <w:rsid w:val="00000BF8"/>
    <w:rsid w:val="00001437"/>
    <w:rsid w:val="00010A02"/>
    <w:rsid w:val="00024C44"/>
    <w:rsid w:val="00026D4B"/>
    <w:rsid w:val="000309A4"/>
    <w:rsid w:val="00034900"/>
    <w:rsid w:val="000429CE"/>
    <w:rsid w:val="00042B99"/>
    <w:rsid w:val="00060848"/>
    <w:rsid w:val="00064845"/>
    <w:rsid w:val="0006540A"/>
    <w:rsid w:val="000673A8"/>
    <w:rsid w:val="0007062C"/>
    <w:rsid w:val="0007356C"/>
    <w:rsid w:val="00090EA3"/>
    <w:rsid w:val="000A2269"/>
    <w:rsid w:val="000A3240"/>
    <w:rsid w:val="000A505F"/>
    <w:rsid w:val="000B2988"/>
    <w:rsid w:val="000C38DF"/>
    <w:rsid w:val="000C4C0F"/>
    <w:rsid w:val="000D320E"/>
    <w:rsid w:val="000D45C2"/>
    <w:rsid w:val="001036AE"/>
    <w:rsid w:val="00110197"/>
    <w:rsid w:val="00117FBC"/>
    <w:rsid w:val="001263AF"/>
    <w:rsid w:val="0013131E"/>
    <w:rsid w:val="00145645"/>
    <w:rsid w:val="00154789"/>
    <w:rsid w:val="00160356"/>
    <w:rsid w:val="00163238"/>
    <w:rsid w:val="00166F59"/>
    <w:rsid w:val="00173A72"/>
    <w:rsid w:val="00173D00"/>
    <w:rsid w:val="001756AE"/>
    <w:rsid w:val="00175A6D"/>
    <w:rsid w:val="00176F85"/>
    <w:rsid w:val="00185006"/>
    <w:rsid w:val="00193419"/>
    <w:rsid w:val="001973B8"/>
    <w:rsid w:val="001A1B98"/>
    <w:rsid w:val="001B0542"/>
    <w:rsid w:val="001B4F04"/>
    <w:rsid w:val="001C102F"/>
    <w:rsid w:val="001C2EBD"/>
    <w:rsid w:val="001C3BFC"/>
    <w:rsid w:val="001D1723"/>
    <w:rsid w:val="001E79BF"/>
    <w:rsid w:val="001E7BF5"/>
    <w:rsid w:val="001F3BF4"/>
    <w:rsid w:val="001F44E1"/>
    <w:rsid w:val="001F4D16"/>
    <w:rsid w:val="001F5ED1"/>
    <w:rsid w:val="001F6AB8"/>
    <w:rsid w:val="00201071"/>
    <w:rsid w:val="00205A78"/>
    <w:rsid w:val="00211897"/>
    <w:rsid w:val="00232CF3"/>
    <w:rsid w:val="0023668E"/>
    <w:rsid w:val="0024527D"/>
    <w:rsid w:val="00245622"/>
    <w:rsid w:val="00261D80"/>
    <w:rsid w:val="00274E84"/>
    <w:rsid w:val="0028022B"/>
    <w:rsid w:val="002975C7"/>
    <w:rsid w:val="002A11A2"/>
    <w:rsid w:val="002A2B2D"/>
    <w:rsid w:val="002A5B98"/>
    <w:rsid w:val="002B05DD"/>
    <w:rsid w:val="002B34CD"/>
    <w:rsid w:val="002B5995"/>
    <w:rsid w:val="002B666F"/>
    <w:rsid w:val="002C0BFC"/>
    <w:rsid w:val="002C0C15"/>
    <w:rsid w:val="002E2A29"/>
    <w:rsid w:val="002E31C7"/>
    <w:rsid w:val="002F4734"/>
    <w:rsid w:val="002F48B0"/>
    <w:rsid w:val="00315252"/>
    <w:rsid w:val="0031540E"/>
    <w:rsid w:val="0032201F"/>
    <w:rsid w:val="00322BEF"/>
    <w:rsid w:val="00331157"/>
    <w:rsid w:val="003557D9"/>
    <w:rsid w:val="003700DD"/>
    <w:rsid w:val="00370503"/>
    <w:rsid w:val="00371855"/>
    <w:rsid w:val="00373113"/>
    <w:rsid w:val="00377D07"/>
    <w:rsid w:val="00380774"/>
    <w:rsid w:val="00382152"/>
    <w:rsid w:val="00382523"/>
    <w:rsid w:val="00385AB4"/>
    <w:rsid w:val="003A0EFC"/>
    <w:rsid w:val="003A1449"/>
    <w:rsid w:val="003A1F92"/>
    <w:rsid w:val="003A44FC"/>
    <w:rsid w:val="003B4373"/>
    <w:rsid w:val="003C47FF"/>
    <w:rsid w:val="003D28C3"/>
    <w:rsid w:val="003D4D36"/>
    <w:rsid w:val="003D7DF1"/>
    <w:rsid w:val="003E2CB3"/>
    <w:rsid w:val="003E334D"/>
    <w:rsid w:val="003E7D0E"/>
    <w:rsid w:val="003F485E"/>
    <w:rsid w:val="003F7384"/>
    <w:rsid w:val="00406E09"/>
    <w:rsid w:val="00412890"/>
    <w:rsid w:val="004227F6"/>
    <w:rsid w:val="00443775"/>
    <w:rsid w:val="00451A40"/>
    <w:rsid w:val="00453D9F"/>
    <w:rsid w:val="004558C0"/>
    <w:rsid w:val="00481316"/>
    <w:rsid w:val="00483005"/>
    <w:rsid w:val="00483B5B"/>
    <w:rsid w:val="00491072"/>
    <w:rsid w:val="0049707E"/>
    <w:rsid w:val="004A5D35"/>
    <w:rsid w:val="004B1CFE"/>
    <w:rsid w:val="004C491F"/>
    <w:rsid w:val="004C4C70"/>
    <w:rsid w:val="004D2B39"/>
    <w:rsid w:val="004D41F7"/>
    <w:rsid w:val="004D429E"/>
    <w:rsid w:val="004E0638"/>
    <w:rsid w:val="004E133D"/>
    <w:rsid w:val="004E1AE4"/>
    <w:rsid w:val="004F7F38"/>
    <w:rsid w:val="00500F6A"/>
    <w:rsid w:val="005160E3"/>
    <w:rsid w:val="0051630A"/>
    <w:rsid w:val="005166B6"/>
    <w:rsid w:val="00516F1C"/>
    <w:rsid w:val="005276F5"/>
    <w:rsid w:val="005278A4"/>
    <w:rsid w:val="005279A4"/>
    <w:rsid w:val="00546621"/>
    <w:rsid w:val="005528DB"/>
    <w:rsid w:val="00562C7E"/>
    <w:rsid w:val="00571477"/>
    <w:rsid w:val="005727D0"/>
    <w:rsid w:val="005739ED"/>
    <w:rsid w:val="00583997"/>
    <w:rsid w:val="00584536"/>
    <w:rsid w:val="00591A2F"/>
    <w:rsid w:val="005940DB"/>
    <w:rsid w:val="00596738"/>
    <w:rsid w:val="005A078C"/>
    <w:rsid w:val="005A3AF5"/>
    <w:rsid w:val="005A511A"/>
    <w:rsid w:val="005B7EC2"/>
    <w:rsid w:val="005C13EE"/>
    <w:rsid w:val="005C48E6"/>
    <w:rsid w:val="005D0EFA"/>
    <w:rsid w:val="005D455C"/>
    <w:rsid w:val="005D6BF1"/>
    <w:rsid w:val="005E0FDD"/>
    <w:rsid w:val="005E2706"/>
    <w:rsid w:val="005E44A8"/>
    <w:rsid w:val="005E5EB6"/>
    <w:rsid w:val="005F2F3F"/>
    <w:rsid w:val="006036B0"/>
    <w:rsid w:val="00606551"/>
    <w:rsid w:val="00615FD1"/>
    <w:rsid w:val="00616F50"/>
    <w:rsid w:val="00617692"/>
    <w:rsid w:val="00624164"/>
    <w:rsid w:val="00633E22"/>
    <w:rsid w:val="006352AB"/>
    <w:rsid w:val="006365D5"/>
    <w:rsid w:val="006514A4"/>
    <w:rsid w:val="0065373B"/>
    <w:rsid w:val="00657342"/>
    <w:rsid w:val="00660E44"/>
    <w:rsid w:val="006660DD"/>
    <w:rsid w:val="00674D3F"/>
    <w:rsid w:val="00680536"/>
    <w:rsid w:val="00682763"/>
    <w:rsid w:val="006921C9"/>
    <w:rsid w:val="006B5E89"/>
    <w:rsid w:val="006C4273"/>
    <w:rsid w:val="006D4243"/>
    <w:rsid w:val="006D75FD"/>
    <w:rsid w:val="006E2AC4"/>
    <w:rsid w:val="006E4FCA"/>
    <w:rsid w:val="006F052E"/>
    <w:rsid w:val="006F554F"/>
    <w:rsid w:val="006F718B"/>
    <w:rsid w:val="00701EDB"/>
    <w:rsid w:val="00703A6B"/>
    <w:rsid w:val="00712AE1"/>
    <w:rsid w:val="00715E5A"/>
    <w:rsid w:val="00725A67"/>
    <w:rsid w:val="00731775"/>
    <w:rsid w:val="00731AAA"/>
    <w:rsid w:val="007376E0"/>
    <w:rsid w:val="00742D39"/>
    <w:rsid w:val="00755289"/>
    <w:rsid w:val="00756ED5"/>
    <w:rsid w:val="00761E88"/>
    <w:rsid w:val="00797949"/>
    <w:rsid w:val="007A7A69"/>
    <w:rsid w:val="007A7F52"/>
    <w:rsid w:val="007D7B17"/>
    <w:rsid w:val="007E413C"/>
    <w:rsid w:val="007E6320"/>
    <w:rsid w:val="007F0D7F"/>
    <w:rsid w:val="007F2042"/>
    <w:rsid w:val="00802B89"/>
    <w:rsid w:val="0081389A"/>
    <w:rsid w:val="008166BE"/>
    <w:rsid w:val="00821A13"/>
    <w:rsid w:val="00835B46"/>
    <w:rsid w:val="00847A5F"/>
    <w:rsid w:val="008502ED"/>
    <w:rsid w:val="008526D9"/>
    <w:rsid w:val="008570C0"/>
    <w:rsid w:val="008576A4"/>
    <w:rsid w:val="008631B7"/>
    <w:rsid w:val="00866D52"/>
    <w:rsid w:val="00871EBD"/>
    <w:rsid w:val="008913D8"/>
    <w:rsid w:val="0089655F"/>
    <w:rsid w:val="008A24BC"/>
    <w:rsid w:val="008A4599"/>
    <w:rsid w:val="008A7DFA"/>
    <w:rsid w:val="008B2CBE"/>
    <w:rsid w:val="008B5CF8"/>
    <w:rsid w:val="008C5B9E"/>
    <w:rsid w:val="008C6670"/>
    <w:rsid w:val="008D1595"/>
    <w:rsid w:val="008D450F"/>
    <w:rsid w:val="008D4761"/>
    <w:rsid w:val="008D4997"/>
    <w:rsid w:val="008D72E5"/>
    <w:rsid w:val="008E412C"/>
    <w:rsid w:val="008F072F"/>
    <w:rsid w:val="0090529E"/>
    <w:rsid w:val="00905F82"/>
    <w:rsid w:val="00910553"/>
    <w:rsid w:val="009108B4"/>
    <w:rsid w:val="00914A31"/>
    <w:rsid w:val="00920C92"/>
    <w:rsid w:val="00921F6E"/>
    <w:rsid w:val="00927513"/>
    <w:rsid w:val="00941A6C"/>
    <w:rsid w:val="00951B3A"/>
    <w:rsid w:val="00962A1F"/>
    <w:rsid w:val="00964841"/>
    <w:rsid w:val="00967721"/>
    <w:rsid w:val="009725A1"/>
    <w:rsid w:val="00987321"/>
    <w:rsid w:val="009877FE"/>
    <w:rsid w:val="00996EF2"/>
    <w:rsid w:val="009A2ADD"/>
    <w:rsid w:val="009A71A3"/>
    <w:rsid w:val="009B11CB"/>
    <w:rsid w:val="009B6BE7"/>
    <w:rsid w:val="009C259D"/>
    <w:rsid w:val="009C2F86"/>
    <w:rsid w:val="009C450F"/>
    <w:rsid w:val="009D05F5"/>
    <w:rsid w:val="009D10AB"/>
    <w:rsid w:val="009D61F0"/>
    <w:rsid w:val="009D6290"/>
    <w:rsid w:val="009E4196"/>
    <w:rsid w:val="009F19F1"/>
    <w:rsid w:val="009F4921"/>
    <w:rsid w:val="00A07745"/>
    <w:rsid w:val="00A10E0A"/>
    <w:rsid w:val="00A10F4C"/>
    <w:rsid w:val="00A1279B"/>
    <w:rsid w:val="00A14A49"/>
    <w:rsid w:val="00A26C3C"/>
    <w:rsid w:val="00A278A8"/>
    <w:rsid w:val="00A30222"/>
    <w:rsid w:val="00A33C0B"/>
    <w:rsid w:val="00A4657E"/>
    <w:rsid w:val="00A470C1"/>
    <w:rsid w:val="00A536B4"/>
    <w:rsid w:val="00A56F30"/>
    <w:rsid w:val="00A627E7"/>
    <w:rsid w:val="00A914FB"/>
    <w:rsid w:val="00A918A0"/>
    <w:rsid w:val="00A95008"/>
    <w:rsid w:val="00A95FD2"/>
    <w:rsid w:val="00AB1CAC"/>
    <w:rsid w:val="00AB71C7"/>
    <w:rsid w:val="00AC20D9"/>
    <w:rsid w:val="00AC3796"/>
    <w:rsid w:val="00AC6A3D"/>
    <w:rsid w:val="00AD0124"/>
    <w:rsid w:val="00AE5244"/>
    <w:rsid w:val="00AF3253"/>
    <w:rsid w:val="00AF5DD0"/>
    <w:rsid w:val="00AF60E4"/>
    <w:rsid w:val="00AF6266"/>
    <w:rsid w:val="00AF6A61"/>
    <w:rsid w:val="00B01F26"/>
    <w:rsid w:val="00B02862"/>
    <w:rsid w:val="00B07486"/>
    <w:rsid w:val="00B07CE4"/>
    <w:rsid w:val="00B13823"/>
    <w:rsid w:val="00B144AA"/>
    <w:rsid w:val="00B16A95"/>
    <w:rsid w:val="00B17A4B"/>
    <w:rsid w:val="00B36008"/>
    <w:rsid w:val="00B374F7"/>
    <w:rsid w:val="00B42971"/>
    <w:rsid w:val="00B5514D"/>
    <w:rsid w:val="00B602E7"/>
    <w:rsid w:val="00B61636"/>
    <w:rsid w:val="00B708F8"/>
    <w:rsid w:val="00B72B9B"/>
    <w:rsid w:val="00B744B9"/>
    <w:rsid w:val="00B76B0D"/>
    <w:rsid w:val="00B857CC"/>
    <w:rsid w:val="00BA0E63"/>
    <w:rsid w:val="00BA60C8"/>
    <w:rsid w:val="00BA7D52"/>
    <w:rsid w:val="00BB0DD6"/>
    <w:rsid w:val="00BC239A"/>
    <w:rsid w:val="00BC7A36"/>
    <w:rsid w:val="00BD6116"/>
    <w:rsid w:val="00BE1CBE"/>
    <w:rsid w:val="00BE5491"/>
    <w:rsid w:val="00BF39A2"/>
    <w:rsid w:val="00BF3F64"/>
    <w:rsid w:val="00C02FE9"/>
    <w:rsid w:val="00C078F1"/>
    <w:rsid w:val="00C167C0"/>
    <w:rsid w:val="00C253C4"/>
    <w:rsid w:val="00C32971"/>
    <w:rsid w:val="00C32B81"/>
    <w:rsid w:val="00C37DC0"/>
    <w:rsid w:val="00C46802"/>
    <w:rsid w:val="00C4685E"/>
    <w:rsid w:val="00C56311"/>
    <w:rsid w:val="00C56A58"/>
    <w:rsid w:val="00C72A59"/>
    <w:rsid w:val="00C76278"/>
    <w:rsid w:val="00C836AE"/>
    <w:rsid w:val="00C87EBF"/>
    <w:rsid w:val="00C93046"/>
    <w:rsid w:val="00CA4FE3"/>
    <w:rsid w:val="00CA64FE"/>
    <w:rsid w:val="00CB5EA4"/>
    <w:rsid w:val="00CC5BEF"/>
    <w:rsid w:val="00CD061D"/>
    <w:rsid w:val="00CD3848"/>
    <w:rsid w:val="00CD5075"/>
    <w:rsid w:val="00CE0116"/>
    <w:rsid w:val="00CE2665"/>
    <w:rsid w:val="00CE2FEC"/>
    <w:rsid w:val="00CE564A"/>
    <w:rsid w:val="00D1099E"/>
    <w:rsid w:val="00D216BB"/>
    <w:rsid w:val="00D51F75"/>
    <w:rsid w:val="00D616CD"/>
    <w:rsid w:val="00D652AA"/>
    <w:rsid w:val="00D74425"/>
    <w:rsid w:val="00D749FD"/>
    <w:rsid w:val="00D90A0F"/>
    <w:rsid w:val="00D91754"/>
    <w:rsid w:val="00DA7E38"/>
    <w:rsid w:val="00DB202E"/>
    <w:rsid w:val="00DC6EC8"/>
    <w:rsid w:val="00DC7BD1"/>
    <w:rsid w:val="00DC7D80"/>
    <w:rsid w:val="00DE01A6"/>
    <w:rsid w:val="00E027BF"/>
    <w:rsid w:val="00E03E52"/>
    <w:rsid w:val="00E2047F"/>
    <w:rsid w:val="00E223F9"/>
    <w:rsid w:val="00E24BC7"/>
    <w:rsid w:val="00E32B48"/>
    <w:rsid w:val="00E348E7"/>
    <w:rsid w:val="00E42FC1"/>
    <w:rsid w:val="00E56BA3"/>
    <w:rsid w:val="00E610DE"/>
    <w:rsid w:val="00E7188E"/>
    <w:rsid w:val="00E72080"/>
    <w:rsid w:val="00E74142"/>
    <w:rsid w:val="00E869DE"/>
    <w:rsid w:val="00E90DFD"/>
    <w:rsid w:val="00EB3D32"/>
    <w:rsid w:val="00EB41C8"/>
    <w:rsid w:val="00EB5D57"/>
    <w:rsid w:val="00EB62F9"/>
    <w:rsid w:val="00EC1276"/>
    <w:rsid w:val="00EC4545"/>
    <w:rsid w:val="00ED3B2C"/>
    <w:rsid w:val="00ED45D6"/>
    <w:rsid w:val="00EE61F4"/>
    <w:rsid w:val="00EE7D1B"/>
    <w:rsid w:val="00F003E4"/>
    <w:rsid w:val="00F05508"/>
    <w:rsid w:val="00F10F22"/>
    <w:rsid w:val="00F13CBC"/>
    <w:rsid w:val="00F1429E"/>
    <w:rsid w:val="00F21887"/>
    <w:rsid w:val="00F25333"/>
    <w:rsid w:val="00F25AB6"/>
    <w:rsid w:val="00F336FF"/>
    <w:rsid w:val="00F4154E"/>
    <w:rsid w:val="00F43B69"/>
    <w:rsid w:val="00F44B51"/>
    <w:rsid w:val="00F64023"/>
    <w:rsid w:val="00F7513E"/>
    <w:rsid w:val="00F76CB4"/>
    <w:rsid w:val="00F77054"/>
    <w:rsid w:val="00F8504A"/>
    <w:rsid w:val="00F870B4"/>
    <w:rsid w:val="00F91430"/>
    <w:rsid w:val="00F95D33"/>
    <w:rsid w:val="00F9777A"/>
    <w:rsid w:val="00FA1B46"/>
    <w:rsid w:val="00FB2D44"/>
    <w:rsid w:val="00FD1E7F"/>
    <w:rsid w:val="00FE2411"/>
    <w:rsid w:val="00FE388C"/>
    <w:rsid w:val="00FE6304"/>
    <w:rsid w:val="00FF38E3"/>
    <w:rsid w:val="00FF4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09"/>
  </w:style>
  <w:style w:type="paragraph" w:styleId="Heading1">
    <w:name w:val="heading 1"/>
    <w:basedOn w:val="Normal"/>
    <w:link w:val="Heading1Char"/>
    <w:uiPriority w:val="9"/>
    <w:qFormat/>
    <w:rsid w:val="00ED4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9D61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09"/>
  </w:style>
  <w:style w:type="paragraph" w:styleId="Footer">
    <w:name w:val="footer"/>
    <w:basedOn w:val="Normal"/>
    <w:link w:val="FooterChar"/>
    <w:uiPriority w:val="99"/>
    <w:unhideWhenUsed/>
    <w:rsid w:val="00406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09"/>
  </w:style>
  <w:style w:type="paragraph" w:styleId="NoSpacing">
    <w:name w:val="No Spacing"/>
    <w:basedOn w:val="Normal"/>
    <w:uiPriority w:val="1"/>
    <w:qFormat/>
    <w:rsid w:val="00406E09"/>
    <w:pPr>
      <w:suppressAutoHyphens/>
      <w:spacing w:after="0" w:line="240" w:lineRule="auto"/>
    </w:pPr>
    <w:rPr>
      <w:rFonts w:ascii="Times New Roman" w:eastAsia="Calibri" w:hAnsi="Times New Roman" w:cs="Calibri"/>
      <w:color w:val="404040"/>
      <w:sz w:val="19"/>
      <w:szCs w:val="19"/>
      <w:lang w:eastAsia="ar-SA"/>
    </w:rPr>
  </w:style>
  <w:style w:type="paragraph" w:styleId="BalloonText">
    <w:name w:val="Balloon Text"/>
    <w:basedOn w:val="Normal"/>
    <w:link w:val="BalloonTextChar"/>
    <w:uiPriority w:val="99"/>
    <w:semiHidden/>
    <w:unhideWhenUsed/>
    <w:rsid w:val="00D5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F75"/>
    <w:rPr>
      <w:rFonts w:ascii="Segoe UI" w:hAnsi="Segoe UI" w:cs="Segoe UI"/>
      <w:sz w:val="18"/>
      <w:szCs w:val="18"/>
    </w:rPr>
  </w:style>
  <w:style w:type="paragraph" w:styleId="FootnoteText">
    <w:name w:val="footnote text"/>
    <w:basedOn w:val="Normal"/>
    <w:link w:val="FootnoteTextChar"/>
    <w:uiPriority w:val="99"/>
    <w:unhideWhenUsed/>
    <w:rsid w:val="00001437"/>
    <w:pPr>
      <w:spacing w:after="0" w:line="240" w:lineRule="auto"/>
    </w:pPr>
    <w:rPr>
      <w:sz w:val="20"/>
      <w:szCs w:val="20"/>
    </w:rPr>
  </w:style>
  <w:style w:type="character" w:customStyle="1" w:styleId="FootnoteTextChar">
    <w:name w:val="Footnote Text Char"/>
    <w:basedOn w:val="DefaultParagraphFont"/>
    <w:link w:val="FootnoteText"/>
    <w:uiPriority w:val="99"/>
    <w:rsid w:val="00001437"/>
    <w:rPr>
      <w:sz w:val="20"/>
      <w:szCs w:val="20"/>
    </w:rPr>
  </w:style>
  <w:style w:type="character" w:styleId="FootnoteReference">
    <w:name w:val="footnote reference"/>
    <w:basedOn w:val="DefaultParagraphFont"/>
    <w:uiPriority w:val="99"/>
    <w:unhideWhenUsed/>
    <w:rsid w:val="00001437"/>
    <w:rPr>
      <w:vertAlign w:val="superscript"/>
    </w:rPr>
  </w:style>
  <w:style w:type="character" w:styleId="Hyperlink">
    <w:name w:val="Hyperlink"/>
    <w:basedOn w:val="DefaultParagraphFont"/>
    <w:uiPriority w:val="99"/>
    <w:unhideWhenUsed/>
    <w:rsid w:val="00001437"/>
    <w:rPr>
      <w:color w:val="0563C1" w:themeColor="hyperlink"/>
      <w:u w:val="single"/>
    </w:rPr>
  </w:style>
  <w:style w:type="paragraph" w:styleId="ListParagraph">
    <w:name w:val="List Paragraph"/>
    <w:basedOn w:val="Normal"/>
    <w:uiPriority w:val="34"/>
    <w:qFormat/>
    <w:rsid w:val="004C4C70"/>
    <w:pPr>
      <w:ind w:left="720"/>
      <w:contextualSpacing/>
    </w:pPr>
  </w:style>
  <w:style w:type="character" w:styleId="CommentReference">
    <w:name w:val="annotation reference"/>
    <w:basedOn w:val="DefaultParagraphFont"/>
    <w:uiPriority w:val="99"/>
    <w:semiHidden/>
    <w:unhideWhenUsed/>
    <w:rsid w:val="00CE564A"/>
    <w:rPr>
      <w:sz w:val="16"/>
      <w:szCs w:val="16"/>
    </w:rPr>
  </w:style>
  <w:style w:type="paragraph" w:styleId="CommentText">
    <w:name w:val="annotation text"/>
    <w:basedOn w:val="Normal"/>
    <w:link w:val="CommentTextChar"/>
    <w:uiPriority w:val="99"/>
    <w:semiHidden/>
    <w:unhideWhenUsed/>
    <w:rsid w:val="00CE564A"/>
    <w:pPr>
      <w:spacing w:line="240" w:lineRule="auto"/>
    </w:pPr>
    <w:rPr>
      <w:sz w:val="20"/>
      <w:szCs w:val="20"/>
    </w:rPr>
  </w:style>
  <w:style w:type="character" w:customStyle="1" w:styleId="CommentTextChar">
    <w:name w:val="Comment Text Char"/>
    <w:basedOn w:val="DefaultParagraphFont"/>
    <w:link w:val="CommentText"/>
    <w:uiPriority w:val="99"/>
    <w:semiHidden/>
    <w:rsid w:val="00CE564A"/>
    <w:rPr>
      <w:sz w:val="20"/>
      <w:szCs w:val="20"/>
    </w:rPr>
  </w:style>
  <w:style w:type="paragraph" w:styleId="CommentSubject">
    <w:name w:val="annotation subject"/>
    <w:basedOn w:val="CommentText"/>
    <w:next w:val="CommentText"/>
    <w:link w:val="CommentSubjectChar"/>
    <w:uiPriority w:val="99"/>
    <w:semiHidden/>
    <w:unhideWhenUsed/>
    <w:rsid w:val="00CE564A"/>
    <w:rPr>
      <w:b/>
      <w:bCs/>
    </w:rPr>
  </w:style>
  <w:style w:type="character" w:customStyle="1" w:styleId="CommentSubjectChar">
    <w:name w:val="Comment Subject Char"/>
    <w:basedOn w:val="CommentTextChar"/>
    <w:link w:val="CommentSubject"/>
    <w:uiPriority w:val="99"/>
    <w:semiHidden/>
    <w:rsid w:val="00CE564A"/>
    <w:rPr>
      <w:b/>
      <w:bCs/>
      <w:sz w:val="20"/>
      <w:szCs w:val="20"/>
    </w:rPr>
  </w:style>
  <w:style w:type="table" w:styleId="TableGrid">
    <w:name w:val="Table Grid"/>
    <w:basedOn w:val="TableNormal"/>
    <w:rsid w:val="004E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D45D6"/>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ED45D6"/>
    <w:rPr>
      <w:i/>
      <w:iCs/>
    </w:rPr>
  </w:style>
  <w:style w:type="paragraph" w:styleId="EndnoteText">
    <w:name w:val="endnote text"/>
    <w:basedOn w:val="Normal"/>
    <w:link w:val="EndnoteTextChar"/>
    <w:uiPriority w:val="99"/>
    <w:semiHidden/>
    <w:unhideWhenUsed/>
    <w:rsid w:val="00AE52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244"/>
    <w:rPr>
      <w:sz w:val="20"/>
      <w:szCs w:val="20"/>
    </w:rPr>
  </w:style>
  <w:style w:type="character" w:styleId="EndnoteReference">
    <w:name w:val="endnote reference"/>
    <w:basedOn w:val="DefaultParagraphFont"/>
    <w:uiPriority w:val="99"/>
    <w:semiHidden/>
    <w:unhideWhenUsed/>
    <w:rsid w:val="00AE5244"/>
    <w:rPr>
      <w:vertAlign w:val="superscript"/>
    </w:rPr>
  </w:style>
  <w:style w:type="paragraph" w:styleId="Caption">
    <w:name w:val="caption"/>
    <w:basedOn w:val="Normal"/>
    <w:next w:val="Normal"/>
    <w:uiPriority w:val="99"/>
    <w:unhideWhenUsed/>
    <w:qFormat/>
    <w:rsid w:val="008C6670"/>
    <w:pPr>
      <w:tabs>
        <w:tab w:val="left" w:pos="720"/>
        <w:tab w:val="left" w:pos="851"/>
      </w:tabs>
      <w:spacing w:before="200" w:after="200" w:line="240" w:lineRule="auto"/>
    </w:pPr>
    <w:rPr>
      <w:rFonts w:ascii="Times New Roman" w:eastAsia="Calibri" w:hAnsi="Times New Roman" w:cs="Times New Roman"/>
      <w:b/>
      <w:bCs/>
      <w:sz w:val="18"/>
      <w:szCs w:val="18"/>
    </w:rPr>
  </w:style>
  <w:style w:type="paragraph" w:customStyle="1" w:styleId="Table2">
    <w:name w:val="Table 2"/>
    <w:basedOn w:val="Normal"/>
    <w:link w:val="Table2Char"/>
    <w:qFormat/>
    <w:rsid w:val="008C6670"/>
    <w:pPr>
      <w:tabs>
        <w:tab w:val="left" w:pos="720"/>
        <w:tab w:val="left" w:pos="851"/>
      </w:tabs>
      <w:spacing w:before="30" w:after="30" w:line="240" w:lineRule="auto"/>
    </w:pPr>
    <w:rPr>
      <w:rFonts w:ascii="Times New Roman" w:eastAsia="Calibri" w:hAnsi="Times New Roman" w:cs="Times New Roman"/>
      <w:sz w:val="20"/>
    </w:rPr>
  </w:style>
  <w:style w:type="character" w:customStyle="1" w:styleId="Table2Char">
    <w:name w:val="Table 2 Char"/>
    <w:link w:val="Table2"/>
    <w:rsid w:val="008C6670"/>
    <w:rPr>
      <w:rFonts w:ascii="Times New Roman" w:eastAsia="Calibri" w:hAnsi="Times New Roman" w:cs="Times New Roman"/>
      <w:sz w:val="20"/>
    </w:rPr>
  </w:style>
  <w:style w:type="paragraph" w:customStyle="1" w:styleId="Table2heading">
    <w:name w:val="Table 2 heading"/>
    <w:basedOn w:val="Table2"/>
    <w:link w:val="Table2headingChar"/>
    <w:qFormat/>
    <w:rsid w:val="008C6670"/>
    <w:pPr>
      <w:jc w:val="center"/>
    </w:pPr>
    <w:rPr>
      <w:b/>
    </w:rPr>
  </w:style>
  <w:style w:type="character" w:customStyle="1" w:styleId="Table2headingChar">
    <w:name w:val="Table 2 heading Char"/>
    <w:link w:val="Table2heading"/>
    <w:rsid w:val="008C6670"/>
    <w:rPr>
      <w:rFonts w:ascii="Times New Roman" w:eastAsia="Calibri" w:hAnsi="Times New Roman" w:cs="Times New Roman"/>
      <w:b/>
      <w:sz w:val="20"/>
    </w:rPr>
  </w:style>
  <w:style w:type="character" w:styleId="FollowedHyperlink">
    <w:name w:val="FollowedHyperlink"/>
    <w:basedOn w:val="DefaultParagraphFont"/>
    <w:uiPriority w:val="99"/>
    <w:semiHidden/>
    <w:unhideWhenUsed/>
    <w:rsid w:val="0024527D"/>
    <w:rPr>
      <w:color w:val="954F72" w:themeColor="followedHyperlink"/>
      <w:u w:val="single"/>
    </w:rPr>
  </w:style>
  <w:style w:type="character" w:customStyle="1" w:styleId="Heading2Char">
    <w:name w:val="Heading 2 Char"/>
    <w:basedOn w:val="DefaultParagraphFont"/>
    <w:link w:val="Heading2"/>
    <w:uiPriority w:val="9"/>
    <w:semiHidden/>
    <w:rsid w:val="009D61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282">
      <w:bodyDiv w:val="1"/>
      <w:marLeft w:val="0"/>
      <w:marRight w:val="0"/>
      <w:marTop w:val="0"/>
      <w:marBottom w:val="0"/>
      <w:divBdr>
        <w:top w:val="none" w:sz="0" w:space="0" w:color="auto"/>
        <w:left w:val="none" w:sz="0" w:space="0" w:color="auto"/>
        <w:bottom w:val="none" w:sz="0" w:space="0" w:color="auto"/>
        <w:right w:val="none" w:sz="0" w:space="0" w:color="auto"/>
      </w:divBdr>
    </w:div>
    <w:div w:id="382483477">
      <w:bodyDiv w:val="1"/>
      <w:marLeft w:val="0"/>
      <w:marRight w:val="0"/>
      <w:marTop w:val="0"/>
      <w:marBottom w:val="0"/>
      <w:divBdr>
        <w:top w:val="none" w:sz="0" w:space="0" w:color="auto"/>
        <w:left w:val="none" w:sz="0" w:space="0" w:color="auto"/>
        <w:bottom w:val="none" w:sz="0" w:space="0" w:color="auto"/>
        <w:right w:val="none" w:sz="0" w:space="0" w:color="auto"/>
      </w:divBdr>
    </w:div>
    <w:div w:id="501822328">
      <w:bodyDiv w:val="1"/>
      <w:marLeft w:val="0"/>
      <w:marRight w:val="0"/>
      <w:marTop w:val="0"/>
      <w:marBottom w:val="0"/>
      <w:divBdr>
        <w:top w:val="none" w:sz="0" w:space="0" w:color="auto"/>
        <w:left w:val="none" w:sz="0" w:space="0" w:color="auto"/>
        <w:bottom w:val="none" w:sz="0" w:space="0" w:color="auto"/>
        <w:right w:val="none" w:sz="0" w:space="0" w:color="auto"/>
      </w:divBdr>
    </w:div>
    <w:div w:id="937104559">
      <w:bodyDiv w:val="1"/>
      <w:marLeft w:val="0"/>
      <w:marRight w:val="0"/>
      <w:marTop w:val="0"/>
      <w:marBottom w:val="0"/>
      <w:divBdr>
        <w:top w:val="none" w:sz="0" w:space="0" w:color="auto"/>
        <w:left w:val="none" w:sz="0" w:space="0" w:color="auto"/>
        <w:bottom w:val="none" w:sz="0" w:space="0" w:color="auto"/>
        <w:right w:val="none" w:sz="0" w:space="0" w:color="auto"/>
      </w:divBdr>
    </w:div>
    <w:div w:id="1166938186">
      <w:bodyDiv w:val="1"/>
      <w:marLeft w:val="0"/>
      <w:marRight w:val="0"/>
      <w:marTop w:val="0"/>
      <w:marBottom w:val="0"/>
      <w:divBdr>
        <w:top w:val="none" w:sz="0" w:space="0" w:color="auto"/>
        <w:left w:val="none" w:sz="0" w:space="0" w:color="auto"/>
        <w:bottom w:val="none" w:sz="0" w:space="0" w:color="auto"/>
        <w:right w:val="none" w:sz="0" w:space="0" w:color="auto"/>
      </w:divBdr>
    </w:div>
    <w:div w:id="1211504216">
      <w:bodyDiv w:val="1"/>
      <w:marLeft w:val="0"/>
      <w:marRight w:val="0"/>
      <w:marTop w:val="0"/>
      <w:marBottom w:val="0"/>
      <w:divBdr>
        <w:top w:val="none" w:sz="0" w:space="0" w:color="auto"/>
        <w:left w:val="none" w:sz="0" w:space="0" w:color="auto"/>
        <w:bottom w:val="none" w:sz="0" w:space="0" w:color="auto"/>
        <w:right w:val="none" w:sz="0" w:space="0" w:color="auto"/>
      </w:divBdr>
    </w:div>
    <w:div w:id="1398165314">
      <w:bodyDiv w:val="1"/>
      <w:marLeft w:val="0"/>
      <w:marRight w:val="0"/>
      <w:marTop w:val="0"/>
      <w:marBottom w:val="0"/>
      <w:divBdr>
        <w:top w:val="none" w:sz="0" w:space="0" w:color="auto"/>
        <w:left w:val="none" w:sz="0" w:space="0" w:color="auto"/>
        <w:bottom w:val="none" w:sz="0" w:space="0" w:color="auto"/>
        <w:right w:val="none" w:sz="0" w:space="0" w:color="auto"/>
      </w:divBdr>
    </w:div>
    <w:div w:id="18615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kinley@truck.net.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roadsafety.gov.au/nrss/files/NRSS_2011_2020.pdf" TargetMode="External"/><Relationship Id="rId13" Type="http://schemas.openxmlformats.org/officeDocument/2006/relationships/hyperlink" Target="https://www.legislation.gov.au/Details/F2014C01105" TargetMode="External"/><Relationship Id="rId3" Type="http://schemas.openxmlformats.org/officeDocument/2006/relationships/hyperlink" Target="http://www.epa.nsw.gov.au/resources/dangerousgoods/DGRoverdetAug2014.pdf" TargetMode="External"/><Relationship Id="rId7" Type="http://schemas.openxmlformats.org/officeDocument/2006/relationships/hyperlink" Target="https://bitre.gov.au/publications/2010/report_118.aspx" TargetMode="External"/><Relationship Id="rId12" Type="http://schemas.openxmlformats.org/officeDocument/2006/relationships/hyperlink" Target="https://infrastructure.gov.au/roads/motor/design/files/Consultation_Draft_ADR_35-06.pdf" TargetMode="External"/><Relationship Id="rId2" Type="http://schemas.openxmlformats.org/officeDocument/2006/relationships/hyperlink" Target="http://www.epa.nsw.gov.au/resources/dangerousgoods/140060TrailerDgList.pdf" TargetMode="External"/><Relationship Id="rId16" Type="http://schemas.openxmlformats.org/officeDocument/2006/relationships/hyperlink" Target="http://www.truck.net.au/media/media-releases/mandate-truck-trailer-stability-control-save-lives" TargetMode="External"/><Relationship Id="rId1" Type="http://schemas.openxmlformats.org/officeDocument/2006/relationships/hyperlink" Target="http://www.truck.net.au/media/media-releases/make-businesses-accountable-truck-maintenance" TargetMode="External"/><Relationship Id="rId6" Type="http://schemas.openxmlformats.org/officeDocument/2006/relationships/hyperlink" Target="https://www.cuttingredtape.gov.au/sites/default/files/files/Australian_Government_Guide_to_Regulation.pdf" TargetMode="External"/><Relationship Id="rId11" Type="http://schemas.openxmlformats.org/officeDocument/2006/relationships/hyperlink" Target="http://www.hse.gov.uk/risk/theory/r2p2.htm" TargetMode="External"/><Relationship Id="rId5" Type="http://schemas.openxmlformats.org/officeDocument/2006/relationships/hyperlink" Target="https://infrastructure.gov.au/roads/motor/design/files/Consultation_RIS_for_Improving_the_Stability_and_Control_of_Heavy_Vehicles.pdf" TargetMode="External"/><Relationship Id="rId15" Type="http://schemas.openxmlformats.org/officeDocument/2006/relationships/hyperlink" Target="https://www.legislation.qld.gov.au/view/html/inforce/current/sl-2013-0076" TargetMode="External"/><Relationship Id="rId10" Type="http://schemas.openxmlformats.org/officeDocument/2006/relationships/hyperlink" Target="https://www.gov.uk/government/uploads/system/uploads/attachment_data/file/191518/Managing_risks_to_the_public_appraisal_guidance.pdf" TargetMode="External"/><Relationship Id="rId4" Type="http://schemas.openxmlformats.org/officeDocument/2006/relationships/hyperlink" Target="http://www.truck.net.au/media/media-releases/mandate-stability-control-improve-truck-safety" TargetMode="External"/><Relationship Id="rId9" Type="http://schemas.openxmlformats.org/officeDocument/2006/relationships/hyperlink" Target="https://www.safeworkaustralia.gov.au/system/files/documents/1702/how_to_manage_whs_risks.pdf" TargetMode="External"/><Relationship Id="rId14" Type="http://schemas.openxmlformats.org/officeDocument/2006/relationships/hyperlink" Target="http://www.truck.net.au/system/files/industry-resources/TAPs%20-%20RSC%20and%20ESC%20for%20Trucks%20and%20Trailers%20Final%20May%202016.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5808-A493-4A32-ACC7-B4895775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2018-02-01T22:32:00Z</dcterms:created>
  <dcterms:modified xsi:type="dcterms:W3CDTF">2018-02-09T02:14:00Z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