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53236A" w:rsidTr="000156D1">
        <w:trPr>
          <w:trHeight w:val="756"/>
        </w:trPr>
        <w:tc>
          <w:tcPr>
            <w:tcW w:w="2660" w:type="dxa"/>
            <w:vAlign w:val="center"/>
          </w:tcPr>
          <w:p w:rsidR="00D735FF" w:rsidRPr="0053236A" w:rsidRDefault="00D735FF" w:rsidP="00D735FF">
            <w:pPr>
              <w:pStyle w:val="Header"/>
              <w:rPr>
                <w:rFonts w:ascii="Arial" w:hAnsi="Arial" w:cs="Arial"/>
                <w:b/>
                <w:sz w:val="28"/>
                <w:szCs w:val="28"/>
              </w:rPr>
            </w:pPr>
            <w:r w:rsidRPr="0053236A">
              <w:rPr>
                <w:rFonts w:ascii="Arial" w:hAnsi="Arial" w:cs="Arial"/>
                <w:b/>
                <w:sz w:val="28"/>
                <w:szCs w:val="28"/>
              </w:rPr>
              <w:t>Submission to:</w:t>
            </w:r>
          </w:p>
        </w:tc>
        <w:tc>
          <w:tcPr>
            <w:tcW w:w="6379" w:type="dxa"/>
            <w:vAlign w:val="center"/>
          </w:tcPr>
          <w:p w:rsidR="00D735FF" w:rsidRPr="0053236A" w:rsidRDefault="00AB3E66" w:rsidP="00C65241">
            <w:pPr>
              <w:pStyle w:val="Header"/>
              <w:rPr>
                <w:rFonts w:ascii="Arial" w:hAnsi="Arial" w:cs="Arial"/>
                <w:sz w:val="28"/>
                <w:szCs w:val="28"/>
              </w:rPr>
            </w:pPr>
            <w:r>
              <w:rPr>
                <w:rFonts w:ascii="Arial" w:hAnsi="Arial" w:cs="Arial"/>
                <w:sz w:val="28"/>
                <w:szCs w:val="28"/>
              </w:rPr>
              <w:t>Transport for NSW</w:t>
            </w:r>
          </w:p>
        </w:tc>
      </w:tr>
      <w:tr w:rsidR="00D735FF" w:rsidRPr="0053236A" w:rsidTr="000156D1">
        <w:trPr>
          <w:trHeight w:val="756"/>
        </w:trPr>
        <w:tc>
          <w:tcPr>
            <w:tcW w:w="2660" w:type="dxa"/>
            <w:vAlign w:val="center"/>
          </w:tcPr>
          <w:p w:rsidR="00D735FF" w:rsidRPr="0053236A" w:rsidRDefault="00D735FF" w:rsidP="00D735FF">
            <w:pPr>
              <w:pStyle w:val="Header"/>
              <w:rPr>
                <w:rFonts w:ascii="Arial" w:hAnsi="Arial" w:cs="Arial"/>
                <w:b/>
                <w:sz w:val="28"/>
                <w:szCs w:val="28"/>
              </w:rPr>
            </w:pPr>
            <w:r w:rsidRPr="0053236A">
              <w:rPr>
                <w:rFonts w:ascii="Arial" w:hAnsi="Arial" w:cs="Arial"/>
                <w:b/>
                <w:sz w:val="28"/>
                <w:szCs w:val="28"/>
              </w:rPr>
              <w:t>Title:</w:t>
            </w:r>
          </w:p>
        </w:tc>
        <w:tc>
          <w:tcPr>
            <w:tcW w:w="6379" w:type="dxa"/>
            <w:vAlign w:val="center"/>
          </w:tcPr>
          <w:p w:rsidR="00D735FF" w:rsidRPr="0053236A" w:rsidRDefault="00AB3E66" w:rsidP="000156D1">
            <w:pPr>
              <w:pStyle w:val="Header"/>
              <w:rPr>
                <w:rFonts w:ascii="Arial" w:hAnsi="Arial" w:cs="Arial"/>
                <w:sz w:val="28"/>
                <w:szCs w:val="28"/>
              </w:rPr>
            </w:pPr>
            <w:r>
              <w:rPr>
                <w:rFonts w:ascii="Arial" w:hAnsi="Arial" w:cs="Arial"/>
                <w:sz w:val="28"/>
                <w:szCs w:val="28"/>
              </w:rPr>
              <w:t>Draft NSW Long Term Transport Master Plan</w:t>
            </w:r>
          </w:p>
        </w:tc>
      </w:tr>
      <w:tr w:rsidR="00D735FF" w:rsidRPr="0053236A" w:rsidTr="000156D1">
        <w:trPr>
          <w:trHeight w:val="756"/>
        </w:trPr>
        <w:tc>
          <w:tcPr>
            <w:tcW w:w="2660" w:type="dxa"/>
            <w:vAlign w:val="center"/>
          </w:tcPr>
          <w:p w:rsidR="00D735FF" w:rsidRPr="0053236A" w:rsidRDefault="00D735FF" w:rsidP="00D735FF">
            <w:pPr>
              <w:pStyle w:val="Header"/>
              <w:rPr>
                <w:rFonts w:ascii="Arial" w:hAnsi="Arial" w:cs="Arial"/>
                <w:b/>
                <w:sz w:val="28"/>
                <w:szCs w:val="28"/>
              </w:rPr>
            </w:pPr>
            <w:r w:rsidRPr="0053236A">
              <w:rPr>
                <w:rFonts w:ascii="Arial" w:hAnsi="Arial" w:cs="Arial"/>
                <w:b/>
                <w:sz w:val="28"/>
                <w:szCs w:val="28"/>
              </w:rPr>
              <w:t>Date:</w:t>
            </w:r>
          </w:p>
        </w:tc>
        <w:tc>
          <w:tcPr>
            <w:tcW w:w="6379" w:type="dxa"/>
            <w:vAlign w:val="center"/>
          </w:tcPr>
          <w:p w:rsidR="00D735FF" w:rsidRPr="0053236A" w:rsidRDefault="00AB3E66" w:rsidP="000156D1">
            <w:pPr>
              <w:pStyle w:val="Header"/>
              <w:rPr>
                <w:rFonts w:ascii="Arial" w:hAnsi="Arial" w:cs="Arial"/>
                <w:sz w:val="28"/>
                <w:szCs w:val="28"/>
              </w:rPr>
            </w:pPr>
            <w:r>
              <w:rPr>
                <w:rFonts w:ascii="Arial" w:hAnsi="Arial" w:cs="Arial"/>
                <w:sz w:val="28"/>
                <w:szCs w:val="28"/>
              </w:rPr>
              <w:t xml:space="preserve">26 October </w:t>
            </w:r>
            <w:r w:rsidR="002278E9" w:rsidRPr="0053236A">
              <w:rPr>
                <w:rFonts w:ascii="Arial" w:hAnsi="Arial" w:cs="Arial"/>
                <w:sz w:val="28"/>
                <w:szCs w:val="28"/>
              </w:rPr>
              <w:t>2012</w:t>
            </w:r>
          </w:p>
        </w:tc>
      </w:tr>
    </w:tbl>
    <w:p w:rsidR="00D735FF" w:rsidRPr="0053236A" w:rsidRDefault="00D735FF" w:rsidP="00D735FF">
      <w:pPr>
        <w:pStyle w:val="Header"/>
        <w:rPr>
          <w:rFonts w:ascii="Arial" w:hAnsi="Arial" w:cs="Arial"/>
          <w:sz w:val="16"/>
          <w:szCs w:val="16"/>
        </w:rPr>
      </w:pPr>
    </w:p>
    <w:p w:rsidR="00D735FF" w:rsidRPr="0053236A" w:rsidRDefault="00D735FF" w:rsidP="00D735FF">
      <w:pPr>
        <w:pStyle w:val="Header"/>
        <w:rPr>
          <w:rFonts w:ascii="Arial" w:hAnsi="Arial" w:cs="Arial"/>
          <w:sz w:val="16"/>
          <w:szCs w:val="16"/>
        </w:rPr>
      </w:pPr>
    </w:p>
    <w:p w:rsidR="00576ED0" w:rsidRPr="0053236A" w:rsidRDefault="00576ED0" w:rsidP="00EB0C47">
      <w:pPr>
        <w:pStyle w:val="Header"/>
        <w:rPr>
          <w:rFonts w:ascii="Arial" w:hAnsi="Arial" w:cs="Arial"/>
          <w:sz w:val="16"/>
          <w:szCs w:val="16"/>
        </w:rPr>
      </w:pPr>
    </w:p>
    <w:p w:rsidR="00576ED0" w:rsidRPr="0053236A" w:rsidRDefault="00576ED0" w:rsidP="00C1627A">
      <w:pPr>
        <w:rPr>
          <w:rFonts w:ascii="Arial" w:hAnsi="Arial" w:cs="Arial"/>
        </w:rPr>
        <w:sectPr w:rsidR="00576ED0" w:rsidRPr="0053236A"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53236A" w:rsidRDefault="00576ED0">
      <w:pPr>
        <w:rPr>
          <w:rFonts w:ascii="Arial" w:hAnsi="Arial" w:cs="Arial"/>
          <w:sz w:val="20"/>
          <w:szCs w:val="20"/>
        </w:rPr>
      </w:pPr>
    </w:p>
    <w:p w:rsidR="0035493A" w:rsidRPr="0053236A" w:rsidRDefault="0035493A">
      <w:pPr>
        <w:rPr>
          <w:rFonts w:ascii="Arial" w:hAnsi="Arial" w:cs="Arial"/>
          <w:sz w:val="20"/>
          <w:szCs w:val="20"/>
        </w:rPr>
      </w:pPr>
    </w:p>
    <w:p w:rsidR="0035493A" w:rsidRPr="0053236A" w:rsidRDefault="0035493A">
      <w:pPr>
        <w:rPr>
          <w:rFonts w:ascii="Arial" w:hAnsi="Arial" w:cs="Arial"/>
          <w:sz w:val="20"/>
          <w:szCs w:val="20"/>
        </w:rPr>
      </w:pPr>
    </w:p>
    <w:p w:rsidR="0035493A" w:rsidRPr="0053236A" w:rsidRDefault="0035493A">
      <w:pPr>
        <w:rPr>
          <w:rFonts w:ascii="Arial" w:hAnsi="Arial" w:cs="Arial"/>
          <w:sz w:val="20"/>
          <w:szCs w:val="20"/>
        </w:rPr>
      </w:pPr>
    </w:p>
    <w:p w:rsidR="0035493A" w:rsidRPr="0053236A" w:rsidRDefault="0035493A">
      <w:pPr>
        <w:rPr>
          <w:rFonts w:ascii="Arial" w:hAnsi="Arial" w:cs="Arial"/>
          <w:sz w:val="20"/>
          <w:szCs w:val="20"/>
        </w:rPr>
      </w:pPr>
    </w:p>
    <w:p w:rsidR="0035493A" w:rsidRPr="0053236A" w:rsidRDefault="003B74E4" w:rsidP="003B74E4">
      <w:pPr>
        <w:rPr>
          <w:rFonts w:ascii="Arial" w:hAnsi="Arial" w:cs="Arial"/>
          <w:b/>
          <w:color w:val="000064"/>
          <w:sz w:val="32"/>
          <w:szCs w:val="32"/>
        </w:rPr>
      </w:pPr>
      <w:r w:rsidRPr="0053236A">
        <w:rPr>
          <w:rFonts w:ascii="Arial" w:hAnsi="Arial" w:cs="Arial"/>
          <w:b/>
          <w:color w:val="000064"/>
          <w:sz w:val="32"/>
          <w:szCs w:val="32"/>
        </w:rPr>
        <w:t>Contents</w:t>
      </w:r>
    </w:p>
    <w:p w:rsidR="00576ED0" w:rsidRPr="0053236A" w:rsidRDefault="00576ED0" w:rsidP="00420F75">
      <w:pPr>
        <w:spacing w:line="269" w:lineRule="auto"/>
        <w:rPr>
          <w:rFonts w:ascii="Arial" w:hAnsi="Arial" w:cs="Arial"/>
          <w:sz w:val="20"/>
          <w:szCs w:val="20"/>
        </w:rPr>
      </w:pPr>
    </w:p>
    <w:p w:rsidR="009B0520" w:rsidRPr="0053236A" w:rsidRDefault="009B0520" w:rsidP="00420F75">
      <w:pPr>
        <w:spacing w:line="269" w:lineRule="auto"/>
        <w:rPr>
          <w:rFonts w:ascii="Arial" w:hAnsi="Arial" w:cs="Arial"/>
          <w:sz w:val="20"/>
          <w:szCs w:val="20"/>
        </w:rPr>
      </w:pPr>
    </w:p>
    <w:p w:rsidR="005839CE" w:rsidRDefault="001905BC">
      <w:pPr>
        <w:pStyle w:val="TOC1"/>
        <w:tabs>
          <w:tab w:val="left" w:pos="442"/>
        </w:tabs>
        <w:rPr>
          <w:rFonts w:asciiTheme="minorHAnsi" w:eastAsiaTheme="minorEastAsia" w:hAnsiTheme="minorHAnsi" w:cstheme="minorBidi"/>
          <w:b w:val="0"/>
          <w:color w:val="auto"/>
          <w:sz w:val="22"/>
          <w:szCs w:val="22"/>
          <w:lang w:eastAsia="en-AU"/>
        </w:rPr>
      </w:pPr>
      <w:r w:rsidRPr="001905BC">
        <w:fldChar w:fldCharType="begin"/>
      </w:r>
      <w:r w:rsidR="00BD49FC" w:rsidRPr="0053236A">
        <w:instrText xml:space="preserve"> TOC \o "1-2" \t "ATA Heading 2,2" </w:instrText>
      </w:r>
      <w:r w:rsidRPr="001905BC">
        <w:fldChar w:fldCharType="separate"/>
      </w:r>
      <w:r w:rsidR="005839CE" w:rsidRPr="00D86D16">
        <w:t>1.</w:t>
      </w:r>
      <w:r w:rsidR="005839CE">
        <w:rPr>
          <w:rFonts w:asciiTheme="minorHAnsi" w:eastAsiaTheme="minorEastAsia" w:hAnsiTheme="minorHAnsi" w:cstheme="minorBidi"/>
          <w:b w:val="0"/>
          <w:color w:val="auto"/>
          <w:sz w:val="22"/>
          <w:szCs w:val="22"/>
          <w:lang w:eastAsia="en-AU"/>
        </w:rPr>
        <w:tab/>
      </w:r>
      <w:r w:rsidR="005839CE">
        <w:t>Introduction</w:t>
      </w:r>
      <w:r w:rsidR="005839CE">
        <w:tab/>
      </w:r>
      <w:r w:rsidR="005839CE">
        <w:fldChar w:fldCharType="begin"/>
      </w:r>
      <w:r w:rsidR="005839CE">
        <w:instrText xml:space="preserve"> PAGEREF _Toc339020951 \h </w:instrText>
      </w:r>
      <w:r w:rsidR="005839CE">
        <w:fldChar w:fldCharType="separate"/>
      </w:r>
      <w:r w:rsidR="005839CE">
        <w:t>3</w:t>
      </w:r>
      <w:r w:rsidR="005839CE">
        <w:fldChar w:fldCharType="end"/>
      </w:r>
    </w:p>
    <w:p w:rsidR="005839CE" w:rsidRDefault="005839CE">
      <w:pPr>
        <w:pStyle w:val="TOC1"/>
        <w:tabs>
          <w:tab w:val="left" w:pos="442"/>
        </w:tabs>
        <w:rPr>
          <w:rFonts w:asciiTheme="minorHAnsi" w:eastAsiaTheme="minorEastAsia" w:hAnsiTheme="minorHAnsi" w:cstheme="minorBidi"/>
          <w:b w:val="0"/>
          <w:color w:val="auto"/>
          <w:sz w:val="22"/>
          <w:szCs w:val="22"/>
          <w:lang w:eastAsia="en-AU"/>
        </w:rPr>
      </w:pPr>
      <w:r w:rsidRPr="00D86D16">
        <w:t>2.</w:t>
      </w:r>
      <w:r>
        <w:rPr>
          <w:rFonts w:asciiTheme="minorHAnsi" w:eastAsiaTheme="minorEastAsia" w:hAnsiTheme="minorHAnsi" w:cstheme="minorBidi"/>
          <w:b w:val="0"/>
          <w:color w:val="auto"/>
          <w:sz w:val="22"/>
          <w:szCs w:val="22"/>
          <w:lang w:eastAsia="en-AU"/>
        </w:rPr>
        <w:tab/>
      </w:r>
      <w:r>
        <w:t>Australian Trucking Association</w:t>
      </w:r>
      <w:r>
        <w:tab/>
      </w:r>
      <w:r>
        <w:fldChar w:fldCharType="begin"/>
      </w:r>
      <w:r>
        <w:instrText xml:space="preserve"> PAGEREF _Toc339020952 \h </w:instrText>
      </w:r>
      <w:r>
        <w:fldChar w:fldCharType="separate"/>
      </w:r>
      <w:r>
        <w:t>3</w:t>
      </w:r>
      <w:r>
        <w:fldChar w:fldCharType="end"/>
      </w:r>
    </w:p>
    <w:p w:rsidR="005839CE" w:rsidRDefault="005839CE">
      <w:pPr>
        <w:pStyle w:val="TOC1"/>
        <w:tabs>
          <w:tab w:val="left" w:pos="442"/>
        </w:tabs>
        <w:rPr>
          <w:rFonts w:asciiTheme="minorHAnsi" w:eastAsiaTheme="minorEastAsia" w:hAnsiTheme="minorHAnsi" w:cstheme="minorBidi"/>
          <w:b w:val="0"/>
          <w:color w:val="auto"/>
          <w:sz w:val="22"/>
          <w:szCs w:val="22"/>
          <w:lang w:eastAsia="en-AU"/>
        </w:rPr>
      </w:pPr>
      <w:r w:rsidRPr="00D86D16">
        <w:t>3.</w:t>
      </w:r>
      <w:r>
        <w:rPr>
          <w:rFonts w:asciiTheme="minorHAnsi" w:eastAsiaTheme="minorEastAsia" w:hAnsiTheme="minorHAnsi" w:cstheme="minorBidi"/>
          <w:b w:val="0"/>
          <w:color w:val="auto"/>
          <w:sz w:val="22"/>
          <w:szCs w:val="22"/>
          <w:lang w:eastAsia="en-AU"/>
        </w:rPr>
        <w:tab/>
      </w:r>
      <w:r>
        <w:t>Recommendations</w:t>
      </w:r>
      <w:r>
        <w:tab/>
      </w:r>
      <w:r>
        <w:fldChar w:fldCharType="begin"/>
      </w:r>
      <w:r>
        <w:instrText xml:space="preserve"> PAGEREF _Toc339020953 \h </w:instrText>
      </w:r>
      <w:r>
        <w:fldChar w:fldCharType="separate"/>
      </w:r>
      <w:r>
        <w:t>3</w:t>
      </w:r>
      <w:r>
        <w:fldChar w:fldCharType="end"/>
      </w:r>
    </w:p>
    <w:p w:rsidR="005839CE" w:rsidRDefault="005839CE">
      <w:pPr>
        <w:pStyle w:val="TOC1"/>
        <w:tabs>
          <w:tab w:val="left" w:pos="442"/>
        </w:tabs>
        <w:rPr>
          <w:rFonts w:asciiTheme="minorHAnsi" w:eastAsiaTheme="minorEastAsia" w:hAnsiTheme="minorHAnsi" w:cstheme="minorBidi"/>
          <w:b w:val="0"/>
          <w:color w:val="auto"/>
          <w:sz w:val="22"/>
          <w:szCs w:val="22"/>
          <w:lang w:eastAsia="en-AU"/>
        </w:rPr>
      </w:pPr>
      <w:r w:rsidRPr="00D86D16">
        <w:t>4.</w:t>
      </w:r>
      <w:r>
        <w:rPr>
          <w:rFonts w:asciiTheme="minorHAnsi" w:eastAsiaTheme="minorEastAsia" w:hAnsiTheme="minorHAnsi" w:cstheme="minorBidi"/>
          <w:b w:val="0"/>
          <w:color w:val="auto"/>
          <w:sz w:val="22"/>
          <w:szCs w:val="22"/>
          <w:lang w:eastAsia="en-AU"/>
        </w:rPr>
        <w:tab/>
      </w:r>
      <w:r>
        <w:t>Issues</w:t>
      </w:r>
      <w:r>
        <w:tab/>
      </w:r>
      <w:r>
        <w:fldChar w:fldCharType="begin"/>
      </w:r>
      <w:r>
        <w:instrText xml:space="preserve"> PAGEREF _Toc339020954 \h </w:instrText>
      </w:r>
      <w:r>
        <w:fldChar w:fldCharType="separate"/>
      </w:r>
      <w:r>
        <w:t>4</w:t>
      </w:r>
      <w:r>
        <w:fldChar w:fldCharType="end"/>
      </w:r>
    </w:p>
    <w:p w:rsidR="005839CE" w:rsidRDefault="005839CE">
      <w:pPr>
        <w:pStyle w:val="TOC2"/>
        <w:tabs>
          <w:tab w:val="left" w:pos="880"/>
        </w:tabs>
        <w:rPr>
          <w:rFonts w:asciiTheme="minorHAnsi" w:eastAsiaTheme="minorEastAsia" w:hAnsiTheme="minorHAnsi" w:cstheme="minorBidi"/>
          <w:noProof/>
          <w:sz w:val="22"/>
          <w:lang w:eastAsia="en-AU"/>
        </w:rPr>
      </w:pPr>
      <w:r w:rsidRPr="00D86D16">
        <w:rPr>
          <w:noProof/>
        </w:rPr>
        <w:t>4.1.</w:t>
      </w:r>
      <w:r>
        <w:rPr>
          <w:rFonts w:asciiTheme="minorHAnsi" w:eastAsiaTheme="minorEastAsia" w:hAnsiTheme="minorHAnsi" w:cstheme="minorBidi"/>
          <w:noProof/>
          <w:sz w:val="22"/>
          <w:lang w:eastAsia="en-AU"/>
        </w:rPr>
        <w:tab/>
      </w:r>
      <w:r>
        <w:rPr>
          <w:noProof/>
        </w:rPr>
        <w:t>High productivity trials on the Hume Highway</w:t>
      </w:r>
      <w:r>
        <w:rPr>
          <w:noProof/>
        </w:rPr>
        <w:tab/>
      </w:r>
      <w:r>
        <w:rPr>
          <w:noProof/>
        </w:rPr>
        <w:fldChar w:fldCharType="begin"/>
      </w:r>
      <w:r>
        <w:rPr>
          <w:noProof/>
        </w:rPr>
        <w:instrText xml:space="preserve"> PAGEREF _Toc339020955 \h </w:instrText>
      </w:r>
      <w:r>
        <w:rPr>
          <w:noProof/>
        </w:rPr>
      </w:r>
      <w:r>
        <w:rPr>
          <w:noProof/>
        </w:rPr>
        <w:fldChar w:fldCharType="separate"/>
      </w:r>
      <w:r>
        <w:rPr>
          <w:noProof/>
        </w:rPr>
        <w:t>4</w:t>
      </w:r>
      <w:r>
        <w:rPr>
          <w:noProof/>
        </w:rPr>
        <w:fldChar w:fldCharType="end"/>
      </w:r>
    </w:p>
    <w:p w:rsidR="005839CE" w:rsidRDefault="005839CE">
      <w:pPr>
        <w:pStyle w:val="TOC2"/>
        <w:tabs>
          <w:tab w:val="left" w:pos="880"/>
        </w:tabs>
        <w:rPr>
          <w:rFonts w:asciiTheme="minorHAnsi" w:eastAsiaTheme="minorEastAsia" w:hAnsiTheme="minorHAnsi" w:cstheme="minorBidi"/>
          <w:noProof/>
          <w:sz w:val="22"/>
          <w:lang w:eastAsia="en-AU"/>
        </w:rPr>
      </w:pPr>
      <w:r w:rsidRPr="00D86D16">
        <w:rPr>
          <w:noProof/>
        </w:rPr>
        <w:t>4.2.</w:t>
      </w:r>
      <w:r>
        <w:rPr>
          <w:rFonts w:asciiTheme="minorHAnsi" w:eastAsiaTheme="minorEastAsia" w:hAnsiTheme="minorHAnsi" w:cstheme="minorBidi"/>
          <w:noProof/>
          <w:sz w:val="22"/>
          <w:lang w:eastAsia="en-AU"/>
        </w:rPr>
        <w:tab/>
      </w:r>
      <w:r>
        <w:rPr>
          <w:noProof/>
        </w:rPr>
        <w:t>Private provision of road infrastructure</w:t>
      </w:r>
      <w:r>
        <w:rPr>
          <w:noProof/>
        </w:rPr>
        <w:tab/>
      </w:r>
      <w:r>
        <w:rPr>
          <w:noProof/>
        </w:rPr>
        <w:fldChar w:fldCharType="begin"/>
      </w:r>
      <w:r>
        <w:rPr>
          <w:noProof/>
        </w:rPr>
        <w:instrText xml:space="preserve"> PAGEREF _Toc339020956 \h </w:instrText>
      </w:r>
      <w:r>
        <w:rPr>
          <w:noProof/>
        </w:rPr>
      </w:r>
      <w:r>
        <w:rPr>
          <w:noProof/>
        </w:rPr>
        <w:fldChar w:fldCharType="separate"/>
      </w:r>
      <w:r>
        <w:rPr>
          <w:noProof/>
        </w:rPr>
        <w:t>5</w:t>
      </w:r>
      <w:r>
        <w:rPr>
          <w:noProof/>
        </w:rPr>
        <w:fldChar w:fldCharType="end"/>
      </w:r>
    </w:p>
    <w:p w:rsidR="005839CE" w:rsidRDefault="005839CE">
      <w:pPr>
        <w:pStyle w:val="TOC2"/>
        <w:tabs>
          <w:tab w:val="left" w:pos="880"/>
        </w:tabs>
        <w:rPr>
          <w:rFonts w:asciiTheme="minorHAnsi" w:eastAsiaTheme="minorEastAsia" w:hAnsiTheme="minorHAnsi" w:cstheme="minorBidi"/>
          <w:noProof/>
          <w:sz w:val="22"/>
          <w:lang w:eastAsia="en-AU"/>
        </w:rPr>
      </w:pPr>
      <w:r w:rsidRPr="00D86D16">
        <w:rPr>
          <w:noProof/>
        </w:rPr>
        <w:t>4.3.</w:t>
      </w:r>
      <w:r>
        <w:rPr>
          <w:rFonts w:asciiTheme="minorHAnsi" w:eastAsiaTheme="minorEastAsia" w:hAnsiTheme="minorHAnsi" w:cstheme="minorBidi"/>
          <w:noProof/>
          <w:sz w:val="22"/>
          <w:lang w:eastAsia="en-AU"/>
        </w:rPr>
        <w:tab/>
      </w:r>
      <w:r>
        <w:rPr>
          <w:noProof/>
        </w:rPr>
        <w:t>Funding allocated for heavy vehicle safety programs</w:t>
      </w:r>
      <w:r>
        <w:rPr>
          <w:noProof/>
        </w:rPr>
        <w:tab/>
      </w:r>
      <w:r>
        <w:rPr>
          <w:noProof/>
        </w:rPr>
        <w:fldChar w:fldCharType="begin"/>
      </w:r>
      <w:r>
        <w:rPr>
          <w:noProof/>
        </w:rPr>
        <w:instrText xml:space="preserve"> PAGEREF _Toc339020957 \h </w:instrText>
      </w:r>
      <w:r>
        <w:rPr>
          <w:noProof/>
        </w:rPr>
      </w:r>
      <w:r>
        <w:rPr>
          <w:noProof/>
        </w:rPr>
        <w:fldChar w:fldCharType="separate"/>
      </w:r>
      <w:r>
        <w:rPr>
          <w:noProof/>
        </w:rPr>
        <w:t>5</w:t>
      </w:r>
      <w:r>
        <w:rPr>
          <w:noProof/>
        </w:rPr>
        <w:fldChar w:fldCharType="end"/>
      </w:r>
    </w:p>
    <w:p w:rsidR="005839CE" w:rsidRDefault="005839CE">
      <w:pPr>
        <w:pStyle w:val="TOC2"/>
        <w:tabs>
          <w:tab w:val="left" w:pos="880"/>
        </w:tabs>
        <w:rPr>
          <w:rFonts w:asciiTheme="minorHAnsi" w:eastAsiaTheme="minorEastAsia" w:hAnsiTheme="minorHAnsi" w:cstheme="minorBidi"/>
          <w:noProof/>
          <w:sz w:val="22"/>
          <w:lang w:eastAsia="en-AU"/>
        </w:rPr>
      </w:pPr>
      <w:r w:rsidRPr="00D86D16">
        <w:rPr>
          <w:noProof/>
        </w:rPr>
        <w:t>4.4.</w:t>
      </w:r>
      <w:r>
        <w:rPr>
          <w:rFonts w:asciiTheme="minorHAnsi" w:eastAsiaTheme="minorEastAsia" w:hAnsiTheme="minorHAnsi" w:cstheme="minorBidi"/>
          <w:noProof/>
          <w:sz w:val="22"/>
          <w:lang w:eastAsia="en-AU"/>
        </w:rPr>
        <w:tab/>
      </w:r>
      <w:r>
        <w:rPr>
          <w:noProof/>
        </w:rPr>
        <w:t>National consistency</w:t>
      </w:r>
      <w:r>
        <w:rPr>
          <w:noProof/>
        </w:rPr>
        <w:tab/>
      </w:r>
      <w:r>
        <w:rPr>
          <w:noProof/>
        </w:rPr>
        <w:fldChar w:fldCharType="begin"/>
      </w:r>
      <w:r>
        <w:rPr>
          <w:noProof/>
        </w:rPr>
        <w:instrText xml:space="preserve"> PAGEREF _Toc339020958 \h </w:instrText>
      </w:r>
      <w:r>
        <w:rPr>
          <w:noProof/>
        </w:rPr>
      </w:r>
      <w:r>
        <w:rPr>
          <w:noProof/>
        </w:rPr>
        <w:fldChar w:fldCharType="separate"/>
      </w:r>
      <w:r>
        <w:rPr>
          <w:noProof/>
        </w:rPr>
        <w:t>5</w:t>
      </w:r>
      <w:r>
        <w:rPr>
          <w:noProof/>
        </w:rPr>
        <w:fldChar w:fldCharType="end"/>
      </w:r>
    </w:p>
    <w:p w:rsidR="00241C15" w:rsidRPr="0053236A" w:rsidRDefault="001905BC" w:rsidP="00241C15">
      <w:pPr>
        <w:tabs>
          <w:tab w:val="right" w:leader="dot" w:pos="9645"/>
        </w:tabs>
        <w:rPr>
          <w:rFonts w:ascii="Arial" w:hAnsi="Arial" w:cs="Arial"/>
        </w:rPr>
      </w:pPr>
      <w:r w:rsidRPr="0053236A">
        <w:rPr>
          <w:rFonts w:ascii="Arial" w:hAnsi="Arial" w:cs="Arial"/>
          <w:b/>
          <w:noProof/>
          <w:sz w:val="20"/>
          <w:szCs w:val="20"/>
        </w:rPr>
        <w:fldChar w:fldCharType="end"/>
      </w:r>
    </w:p>
    <w:p w:rsidR="00576ED0" w:rsidRPr="0053236A" w:rsidRDefault="00576ED0" w:rsidP="005E6D8B">
      <w:pPr>
        <w:rPr>
          <w:rFonts w:ascii="Arial" w:hAnsi="Arial" w:cs="Arial"/>
          <w:sz w:val="20"/>
          <w:szCs w:val="20"/>
        </w:rPr>
      </w:pPr>
      <w:r w:rsidRPr="0053236A">
        <w:rPr>
          <w:rFonts w:ascii="Arial" w:hAnsi="Arial" w:cs="Arial"/>
          <w:sz w:val="20"/>
          <w:szCs w:val="20"/>
        </w:rPr>
        <w:br w:type="page"/>
      </w:r>
    </w:p>
    <w:p w:rsidR="00600132" w:rsidRPr="0053236A" w:rsidRDefault="00576ED0" w:rsidP="00600132">
      <w:pPr>
        <w:pStyle w:val="Heading1"/>
      </w:pPr>
      <w:bookmarkStart w:id="0" w:name="_Toc339020951"/>
      <w:r w:rsidRPr="0053236A">
        <w:lastRenderedPageBreak/>
        <w:t>Introduction</w:t>
      </w:r>
      <w:bookmarkEnd w:id="0"/>
    </w:p>
    <w:p w:rsidR="00600132" w:rsidRPr="0053236A" w:rsidRDefault="00600132" w:rsidP="00BD49FC">
      <w:pPr>
        <w:pStyle w:val="BodyText2"/>
        <w:spacing w:line="269" w:lineRule="auto"/>
        <w:rPr>
          <w:b w:val="0"/>
          <w:sz w:val="20"/>
        </w:rPr>
      </w:pPr>
    </w:p>
    <w:p w:rsidR="00DC217B" w:rsidRPr="008A065A" w:rsidRDefault="00DC217B" w:rsidP="00DC217B">
      <w:pPr>
        <w:pStyle w:val="BodyText2"/>
        <w:spacing w:line="269" w:lineRule="auto"/>
        <w:rPr>
          <w:rFonts w:eastAsia="Calibri"/>
          <w:b w:val="0"/>
          <w:bCs w:val="0"/>
          <w:sz w:val="20"/>
        </w:rPr>
      </w:pPr>
      <w:r w:rsidRPr="008A065A">
        <w:rPr>
          <w:rFonts w:eastAsia="Calibri"/>
          <w:b w:val="0"/>
          <w:bCs w:val="0"/>
          <w:sz w:val="20"/>
        </w:rPr>
        <w:t xml:space="preserve">The NSW Draft Master Plan (chapter 7) effectively recognises the constraints the heavy vehicle industry is operating under in NSW.  It observes that if radical action is not taken to increase the productivity capacity of the heavy vehicle industry in NSW the effect will be detrimental to the economy. </w:t>
      </w:r>
    </w:p>
    <w:p w:rsidR="00DC217B" w:rsidRPr="008A065A" w:rsidRDefault="00DC217B" w:rsidP="00DC217B">
      <w:pPr>
        <w:pStyle w:val="BodyText2"/>
        <w:spacing w:line="269" w:lineRule="auto"/>
        <w:rPr>
          <w:sz w:val="20"/>
        </w:rPr>
      </w:pPr>
    </w:p>
    <w:p w:rsidR="00446E31" w:rsidRPr="008A065A" w:rsidRDefault="00DC217B" w:rsidP="00DC217B">
      <w:pPr>
        <w:pStyle w:val="BodyText2"/>
        <w:spacing w:line="269" w:lineRule="auto"/>
        <w:rPr>
          <w:b w:val="0"/>
          <w:sz w:val="20"/>
        </w:rPr>
      </w:pPr>
      <w:r w:rsidRPr="008A065A">
        <w:rPr>
          <w:rFonts w:eastAsia="Calibri"/>
          <w:b w:val="0"/>
          <w:bCs w:val="0"/>
          <w:sz w:val="20"/>
        </w:rPr>
        <w:t>The actions highlighted in the Draft Master Plan present major programs that aim to increase the efficiency of freight movements in NSW. Whilst the majority of the actions identified will have a positive effect on increasing productivity, there are concerns over some of the propositions.</w:t>
      </w:r>
    </w:p>
    <w:p w:rsidR="00EC27EB" w:rsidRDefault="00EC27EB" w:rsidP="00BD49FC">
      <w:pPr>
        <w:pStyle w:val="BodyText2"/>
        <w:spacing w:line="269" w:lineRule="auto"/>
        <w:rPr>
          <w:b w:val="0"/>
          <w:sz w:val="20"/>
        </w:rPr>
      </w:pPr>
    </w:p>
    <w:p w:rsidR="00EC27EB" w:rsidRPr="0053236A" w:rsidRDefault="00EC27EB" w:rsidP="00BD49FC">
      <w:pPr>
        <w:pStyle w:val="BodyText2"/>
        <w:spacing w:line="269" w:lineRule="auto"/>
        <w:rPr>
          <w:b w:val="0"/>
          <w:sz w:val="20"/>
        </w:rPr>
      </w:pPr>
    </w:p>
    <w:p w:rsidR="00576ED0" w:rsidRPr="0053236A" w:rsidRDefault="00576ED0" w:rsidP="003B74E4">
      <w:pPr>
        <w:pStyle w:val="Heading1"/>
      </w:pPr>
      <w:bookmarkStart w:id="1" w:name="_Toc339020952"/>
      <w:r w:rsidRPr="0053236A">
        <w:t>Australian Trucking Association</w:t>
      </w:r>
      <w:bookmarkEnd w:id="1"/>
    </w:p>
    <w:p w:rsidR="004008C7" w:rsidRPr="0053236A" w:rsidRDefault="004008C7" w:rsidP="00BD49FC">
      <w:pPr>
        <w:pStyle w:val="BodyText2"/>
        <w:spacing w:line="269" w:lineRule="auto"/>
        <w:rPr>
          <w:b w:val="0"/>
          <w:sz w:val="20"/>
        </w:rPr>
      </w:pPr>
    </w:p>
    <w:p w:rsidR="00CC28C6" w:rsidRPr="008A065A" w:rsidRDefault="004008C7" w:rsidP="00BD49FC">
      <w:pPr>
        <w:pStyle w:val="BodyText2"/>
        <w:spacing w:line="269" w:lineRule="auto"/>
        <w:rPr>
          <w:rFonts w:eastAsia="Calibri"/>
          <w:b w:val="0"/>
          <w:bCs w:val="0"/>
          <w:sz w:val="20"/>
        </w:rPr>
      </w:pPr>
      <w:r w:rsidRPr="008A065A">
        <w:rPr>
          <w:rFonts w:eastAsia="Calibri"/>
          <w:b w:val="0"/>
          <w:bCs w:val="0"/>
          <w:sz w:val="20"/>
        </w:rPr>
        <w:t>The Australian Trucking Association (ATA) is the peak body that represents the trucking industry. Its members include state and sector based trucking associations, some of the nation’s largest transport companies, and businesses with leading expertise in truck technology.</w:t>
      </w:r>
      <w:r w:rsidR="00A047CA" w:rsidRPr="008A065A">
        <w:rPr>
          <w:rFonts w:eastAsia="Calibri"/>
          <w:b w:val="0"/>
          <w:bCs w:val="0"/>
          <w:sz w:val="20"/>
        </w:rPr>
        <w:t xml:space="preserve"> </w:t>
      </w:r>
    </w:p>
    <w:p w:rsidR="00576ED0" w:rsidRPr="008A065A" w:rsidRDefault="00576ED0" w:rsidP="00BD49FC">
      <w:pPr>
        <w:pStyle w:val="BodyText2"/>
        <w:spacing w:line="269" w:lineRule="auto"/>
        <w:rPr>
          <w:b w:val="0"/>
          <w:szCs w:val="22"/>
        </w:rPr>
      </w:pPr>
    </w:p>
    <w:p w:rsidR="00B13AC3" w:rsidRPr="0053236A" w:rsidRDefault="00B13AC3" w:rsidP="00BD49FC">
      <w:pPr>
        <w:pStyle w:val="BodyText2"/>
        <w:spacing w:line="269" w:lineRule="auto"/>
        <w:rPr>
          <w:b w:val="0"/>
          <w:sz w:val="20"/>
        </w:rPr>
      </w:pPr>
    </w:p>
    <w:p w:rsidR="00840EBE" w:rsidRDefault="00A023EA" w:rsidP="00840EBE">
      <w:pPr>
        <w:pStyle w:val="Heading1"/>
      </w:pPr>
      <w:bookmarkStart w:id="2" w:name="_Toc339020953"/>
      <w:r w:rsidRPr="0053236A">
        <w:t>Recommendations</w:t>
      </w:r>
      <w:bookmarkEnd w:id="2"/>
    </w:p>
    <w:p w:rsidR="0083292E" w:rsidRDefault="001905BC">
      <w:pPr>
        <w:pStyle w:val="TOC1"/>
        <w:rPr>
          <w:rFonts w:asciiTheme="minorHAnsi" w:eastAsiaTheme="minorEastAsia" w:hAnsiTheme="minorHAnsi" w:cstheme="minorBidi"/>
          <w:b w:val="0"/>
          <w:color w:val="auto"/>
          <w:sz w:val="22"/>
          <w:szCs w:val="22"/>
          <w:lang w:eastAsia="en-AU"/>
        </w:rPr>
      </w:pPr>
      <w:r w:rsidRPr="001905BC">
        <w:fldChar w:fldCharType="begin"/>
      </w:r>
      <w:r w:rsidR="00A023EA" w:rsidRPr="0053236A">
        <w:instrText xml:space="preserve"> TOC \n \p " " \t "Recommendation Style,1,Recommendation Style 2,2,Recommendation Style 3,3" </w:instrText>
      </w:r>
      <w:r w:rsidRPr="001905BC">
        <w:fldChar w:fldCharType="separate"/>
      </w:r>
      <w:r w:rsidR="0083292E" w:rsidRPr="00692EBB">
        <w:t>Recommendation 1</w:t>
      </w:r>
    </w:p>
    <w:p w:rsidR="0083292E" w:rsidRDefault="0083292E">
      <w:pPr>
        <w:pStyle w:val="TOC1"/>
        <w:rPr>
          <w:rFonts w:asciiTheme="minorHAnsi" w:eastAsiaTheme="minorEastAsia" w:hAnsiTheme="minorHAnsi" w:cstheme="minorBidi"/>
          <w:b w:val="0"/>
          <w:color w:val="auto"/>
          <w:sz w:val="22"/>
          <w:szCs w:val="22"/>
          <w:lang w:eastAsia="en-AU"/>
        </w:rPr>
      </w:pPr>
      <w:r w:rsidRPr="00692EBB">
        <w:t xml:space="preserve">ATA recommends </w:t>
      </w:r>
      <w:r w:rsidRPr="00692EBB">
        <w:rPr>
          <w:bCs/>
          <w:iCs/>
        </w:rPr>
        <w:t>the trial of high productivity vehicles on the Hume Highway, but without additional direct payments for access.</w:t>
      </w:r>
    </w:p>
    <w:p w:rsidR="0083292E" w:rsidRDefault="0083292E">
      <w:pPr>
        <w:pStyle w:val="TOC1"/>
        <w:rPr>
          <w:rFonts w:asciiTheme="minorHAnsi" w:eastAsiaTheme="minorEastAsia" w:hAnsiTheme="minorHAnsi" w:cstheme="minorBidi"/>
          <w:b w:val="0"/>
          <w:color w:val="auto"/>
          <w:sz w:val="22"/>
          <w:szCs w:val="22"/>
          <w:lang w:eastAsia="en-AU"/>
        </w:rPr>
      </w:pPr>
      <w:r w:rsidRPr="00692EBB">
        <w:t>Recommendation 2</w:t>
      </w:r>
    </w:p>
    <w:p w:rsidR="0083292E" w:rsidRDefault="0083292E">
      <w:pPr>
        <w:pStyle w:val="TOC1"/>
        <w:rPr>
          <w:rFonts w:asciiTheme="minorHAnsi" w:eastAsiaTheme="minorEastAsia" w:hAnsiTheme="minorHAnsi" w:cstheme="minorBidi"/>
          <w:b w:val="0"/>
          <w:color w:val="auto"/>
          <w:sz w:val="22"/>
          <w:szCs w:val="22"/>
          <w:lang w:eastAsia="en-AU"/>
        </w:rPr>
      </w:pPr>
      <w:r w:rsidRPr="00692EBB">
        <w:rPr>
          <w:bCs/>
          <w:iCs/>
        </w:rPr>
        <w:t>ATA recommends the payment for high productivity vehicle standard rest areas and change over bays be paid for by the Heavy Vehicle Safety and Productivity Program (HVSPP), not trial users of the Hume Highway project.</w:t>
      </w:r>
    </w:p>
    <w:p w:rsidR="0083292E" w:rsidRDefault="0083292E">
      <w:pPr>
        <w:pStyle w:val="TOC1"/>
        <w:rPr>
          <w:rFonts w:asciiTheme="minorHAnsi" w:eastAsiaTheme="minorEastAsia" w:hAnsiTheme="minorHAnsi" w:cstheme="minorBidi"/>
          <w:b w:val="0"/>
          <w:color w:val="auto"/>
          <w:sz w:val="22"/>
          <w:szCs w:val="22"/>
          <w:lang w:eastAsia="en-AU"/>
        </w:rPr>
      </w:pPr>
      <w:r w:rsidRPr="00692EBB">
        <w:t>Recommendation 3</w:t>
      </w:r>
    </w:p>
    <w:p w:rsidR="0083292E" w:rsidRDefault="0083292E">
      <w:pPr>
        <w:pStyle w:val="TOC1"/>
        <w:rPr>
          <w:rFonts w:asciiTheme="minorHAnsi" w:eastAsiaTheme="minorEastAsia" w:hAnsiTheme="minorHAnsi" w:cstheme="minorBidi"/>
          <w:b w:val="0"/>
          <w:color w:val="auto"/>
          <w:sz w:val="22"/>
          <w:szCs w:val="22"/>
          <w:lang w:eastAsia="en-AU"/>
        </w:rPr>
      </w:pPr>
      <w:r w:rsidRPr="00692EBB">
        <w:t>ATA recommends funding from the HVSPP be used to increase the stacking distance at the Hillston level crossing.</w:t>
      </w:r>
    </w:p>
    <w:p w:rsidR="0083292E" w:rsidRDefault="0083292E">
      <w:pPr>
        <w:pStyle w:val="TOC1"/>
        <w:rPr>
          <w:rFonts w:asciiTheme="minorHAnsi" w:eastAsiaTheme="minorEastAsia" w:hAnsiTheme="minorHAnsi" w:cstheme="minorBidi"/>
          <w:b w:val="0"/>
          <w:color w:val="auto"/>
          <w:sz w:val="22"/>
          <w:szCs w:val="22"/>
          <w:lang w:eastAsia="en-AU"/>
        </w:rPr>
      </w:pPr>
      <w:r w:rsidRPr="00692EBB">
        <w:t>Recommendation 4</w:t>
      </w:r>
    </w:p>
    <w:p w:rsidR="0083292E" w:rsidRDefault="0083292E">
      <w:pPr>
        <w:pStyle w:val="TOC1"/>
        <w:rPr>
          <w:rFonts w:asciiTheme="minorHAnsi" w:eastAsiaTheme="minorEastAsia" w:hAnsiTheme="minorHAnsi" w:cstheme="minorBidi"/>
          <w:b w:val="0"/>
          <w:color w:val="auto"/>
          <w:sz w:val="22"/>
          <w:szCs w:val="22"/>
          <w:lang w:eastAsia="en-AU"/>
        </w:rPr>
      </w:pPr>
      <w:r w:rsidRPr="00692EBB">
        <w:rPr>
          <w:bCs/>
          <w:iCs/>
        </w:rPr>
        <w:t>ATA recommends that private provision of infrastructure should be provided only on the grounds of improving efficient provision of roads, not simply because Transport for NSW believes industry can pay.</w:t>
      </w:r>
    </w:p>
    <w:p w:rsidR="0083292E" w:rsidRDefault="0083292E">
      <w:pPr>
        <w:pStyle w:val="TOC1"/>
        <w:rPr>
          <w:rFonts w:asciiTheme="minorHAnsi" w:eastAsiaTheme="minorEastAsia" w:hAnsiTheme="minorHAnsi" w:cstheme="minorBidi"/>
          <w:b w:val="0"/>
          <w:color w:val="auto"/>
          <w:sz w:val="22"/>
          <w:szCs w:val="22"/>
          <w:lang w:eastAsia="en-AU"/>
        </w:rPr>
      </w:pPr>
      <w:r w:rsidRPr="00692EBB">
        <w:rPr>
          <w:highlight w:val="white"/>
          <w:lang w:eastAsia="en-AU"/>
        </w:rPr>
        <w:t>Recommendation 5</w:t>
      </w:r>
    </w:p>
    <w:p w:rsidR="0083292E" w:rsidRDefault="0083292E">
      <w:pPr>
        <w:pStyle w:val="TOC1"/>
        <w:rPr>
          <w:rFonts w:asciiTheme="minorHAnsi" w:eastAsiaTheme="minorEastAsia" w:hAnsiTheme="minorHAnsi" w:cstheme="minorBidi"/>
          <w:b w:val="0"/>
          <w:color w:val="auto"/>
          <w:sz w:val="22"/>
          <w:szCs w:val="22"/>
          <w:lang w:eastAsia="en-AU"/>
        </w:rPr>
      </w:pPr>
      <w:r w:rsidRPr="00692EBB">
        <w:rPr>
          <w:highlight w:val="white"/>
          <w:lang w:eastAsia="en-AU"/>
        </w:rPr>
        <w:t>ATA recommends funding given to improve heavy vehicle safety should be allocated to projects with tangible results, such as TruckSafe.</w:t>
      </w:r>
    </w:p>
    <w:p w:rsidR="0083292E" w:rsidRDefault="0083292E">
      <w:pPr>
        <w:pStyle w:val="TOC1"/>
        <w:rPr>
          <w:rFonts w:asciiTheme="minorHAnsi" w:eastAsiaTheme="minorEastAsia" w:hAnsiTheme="minorHAnsi" w:cstheme="minorBidi"/>
          <w:b w:val="0"/>
          <w:color w:val="auto"/>
          <w:sz w:val="22"/>
          <w:szCs w:val="22"/>
          <w:lang w:eastAsia="en-AU"/>
        </w:rPr>
      </w:pPr>
      <w:r w:rsidRPr="00692EBB">
        <w:t>Recommendation 6</w:t>
      </w:r>
    </w:p>
    <w:p w:rsidR="0083292E" w:rsidRDefault="0083292E">
      <w:pPr>
        <w:pStyle w:val="TOC1"/>
        <w:rPr>
          <w:rFonts w:asciiTheme="minorHAnsi" w:eastAsiaTheme="minorEastAsia" w:hAnsiTheme="minorHAnsi" w:cstheme="minorBidi"/>
          <w:b w:val="0"/>
          <w:color w:val="auto"/>
          <w:sz w:val="22"/>
          <w:szCs w:val="22"/>
          <w:lang w:eastAsia="en-AU"/>
        </w:rPr>
      </w:pPr>
      <w:r w:rsidRPr="00692EBB">
        <w:t>ATA recommends Transport NSW continues to be involved with national issues for the heavy vehicle industry such as NHVR and HVCI. However, they need to act in the interest of the NSW community, including the business community that generates wealth.</w:t>
      </w:r>
    </w:p>
    <w:p w:rsidR="008F04ED" w:rsidRDefault="001905BC" w:rsidP="008A065A">
      <w:pPr>
        <w:spacing w:line="269" w:lineRule="auto"/>
        <w:rPr>
          <w:rFonts w:ascii="Arial" w:hAnsi="Arial" w:cs="Arial"/>
          <w:b/>
          <w:noProof/>
          <w:color w:val="000000" w:themeColor="text1"/>
          <w:sz w:val="20"/>
          <w:szCs w:val="20"/>
        </w:rPr>
      </w:pPr>
      <w:r w:rsidRPr="0053236A">
        <w:rPr>
          <w:rFonts w:ascii="Arial" w:hAnsi="Arial" w:cs="Arial"/>
          <w:b/>
          <w:noProof/>
          <w:color w:val="000000" w:themeColor="text1"/>
          <w:sz w:val="20"/>
          <w:szCs w:val="20"/>
        </w:rPr>
        <w:fldChar w:fldCharType="end"/>
      </w:r>
    </w:p>
    <w:p w:rsidR="00A023EA" w:rsidRPr="0053236A" w:rsidRDefault="00A023EA" w:rsidP="00420F75">
      <w:pPr>
        <w:spacing w:line="269" w:lineRule="auto"/>
        <w:rPr>
          <w:rFonts w:ascii="Arial" w:hAnsi="Arial" w:cs="Arial"/>
          <w:sz w:val="20"/>
          <w:szCs w:val="20"/>
        </w:rPr>
      </w:pPr>
    </w:p>
    <w:p w:rsidR="00A023EA" w:rsidRPr="0053236A" w:rsidRDefault="00A023EA" w:rsidP="00BD49FC">
      <w:pPr>
        <w:pStyle w:val="BodyText2"/>
        <w:spacing w:line="269" w:lineRule="auto"/>
        <w:rPr>
          <w:b w:val="0"/>
          <w:sz w:val="20"/>
        </w:rPr>
      </w:pPr>
    </w:p>
    <w:p w:rsidR="00D77CD3" w:rsidRPr="0053236A" w:rsidRDefault="00D316EA" w:rsidP="00067698">
      <w:pPr>
        <w:pStyle w:val="Heading1"/>
      </w:pPr>
      <w:bookmarkStart w:id="3" w:name="_Toc339020954"/>
      <w:r>
        <w:t>Issues</w:t>
      </w:r>
      <w:bookmarkEnd w:id="3"/>
      <w:r w:rsidR="00840EBE">
        <w:t xml:space="preserve"> </w:t>
      </w:r>
    </w:p>
    <w:p w:rsidR="00873059" w:rsidRPr="00873059" w:rsidRDefault="00873059" w:rsidP="00873059">
      <w:pPr>
        <w:pStyle w:val="BodyText2"/>
        <w:spacing w:line="269" w:lineRule="auto"/>
        <w:rPr>
          <w:b w:val="0"/>
          <w:sz w:val="20"/>
        </w:rPr>
      </w:pPr>
    </w:p>
    <w:p w:rsidR="005860E5" w:rsidRPr="00873059" w:rsidRDefault="00873059" w:rsidP="00873059">
      <w:pPr>
        <w:pStyle w:val="ATAHeading2"/>
        <w:ind w:left="851" w:hanging="851"/>
      </w:pPr>
      <w:bookmarkStart w:id="4" w:name="_Toc339020955"/>
      <w:r w:rsidRPr="00873059">
        <w:t>H</w:t>
      </w:r>
      <w:r w:rsidR="00D316EA">
        <w:t xml:space="preserve">igh productivity trials </w:t>
      </w:r>
      <w:r w:rsidRPr="00873059">
        <w:t>on the Hume Highway</w:t>
      </w:r>
      <w:bookmarkEnd w:id="4"/>
    </w:p>
    <w:p w:rsidR="006A79C1" w:rsidRDefault="006A79C1" w:rsidP="006A79C1">
      <w:pPr>
        <w:autoSpaceDE w:val="0"/>
        <w:autoSpaceDN w:val="0"/>
        <w:adjustRightInd w:val="0"/>
        <w:rPr>
          <w:rFonts w:ascii="Microsoft Sans Serif" w:hAnsi="Microsoft Sans Serif" w:cs="Microsoft Sans Serif"/>
          <w:sz w:val="24"/>
          <w:szCs w:val="24"/>
          <w:lang w:eastAsia="en-AU"/>
        </w:rPr>
      </w:pPr>
      <w:bookmarkStart w:id="5" w:name="_Toc338855104"/>
      <w:bookmarkStart w:id="6" w:name="_Toc338857662"/>
      <w:bookmarkStart w:id="7" w:name="_Toc338917931"/>
      <w:bookmarkEnd w:id="5"/>
      <w:bookmarkEnd w:id="6"/>
      <w:bookmarkEnd w:id="7"/>
    </w:p>
    <w:p w:rsidR="006A79C1" w:rsidRDefault="006A79C1" w:rsidP="006A79C1">
      <w:pPr>
        <w:autoSpaceDE w:val="0"/>
        <w:autoSpaceDN w:val="0"/>
        <w:adjustRightInd w:val="0"/>
        <w:spacing w:line="264" w:lineRule="auto"/>
        <w:rPr>
          <w:rFonts w:ascii="Arial" w:hAnsi="Arial" w:cs="Arial"/>
          <w:sz w:val="20"/>
          <w:szCs w:val="20"/>
          <w:highlight w:val="white"/>
          <w:lang w:eastAsia="en-AU"/>
        </w:rPr>
      </w:pPr>
      <w:r>
        <w:rPr>
          <w:rFonts w:ascii="Arial" w:hAnsi="Arial" w:cs="Arial"/>
          <w:sz w:val="20"/>
          <w:szCs w:val="20"/>
          <w:highlight w:val="white"/>
          <w:lang w:eastAsia="en-AU"/>
        </w:rPr>
        <w:t xml:space="preserve">It is imperative high productivity vehicle use is supported in Australia, where they are suitable, in order to meet the increasing freight demand. The ATA embraces the use of B-triples on the Hume Highway. We are not convinced a trial is essential, but support an open trial occurring. The route from Sydney to Melbourne is a key freight route and providing more appropriate rest areas and changeover areas shows future proofing the Hume highway.  However, the additional direct charge that the project proposes ignores the access charges and safety based infrastructure payments these heavy vehicle combinations currently pay under the PayGo charging model. Double charging high productivity vehicles is unnecessary and would restrict smaller operators who would like to use B-triples from participating in the trial. </w:t>
      </w:r>
    </w:p>
    <w:p w:rsidR="006A79C1" w:rsidRDefault="006A79C1" w:rsidP="006A79C1">
      <w:pPr>
        <w:autoSpaceDE w:val="0"/>
        <w:autoSpaceDN w:val="0"/>
        <w:adjustRightInd w:val="0"/>
        <w:spacing w:line="264" w:lineRule="auto"/>
        <w:rPr>
          <w:rFonts w:ascii="Arial" w:hAnsi="Arial" w:cs="Arial"/>
          <w:sz w:val="20"/>
          <w:szCs w:val="20"/>
          <w:highlight w:val="white"/>
          <w:lang w:eastAsia="en-AU"/>
        </w:rPr>
      </w:pPr>
    </w:p>
    <w:p w:rsidR="006A79C1" w:rsidRDefault="006A79C1" w:rsidP="006A79C1">
      <w:pPr>
        <w:autoSpaceDE w:val="0"/>
        <w:autoSpaceDN w:val="0"/>
        <w:adjustRightInd w:val="0"/>
        <w:spacing w:line="264" w:lineRule="auto"/>
        <w:rPr>
          <w:rFonts w:ascii="Arial" w:hAnsi="Arial" w:cs="Arial"/>
          <w:sz w:val="20"/>
          <w:szCs w:val="20"/>
          <w:highlight w:val="white"/>
          <w:lang w:eastAsia="en-AU"/>
        </w:rPr>
      </w:pPr>
      <w:r>
        <w:rPr>
          <w:rFonts w:ascii="Arial" w:hAnsi="Arial" w:cs="Arial"/>
          <w:sz w:val="20"/>
          <w:szCs w:val="20"/>
          <w:highlight w:val="white"/>
          <w:lang w:eastAsia="en-AU"/>
        </w:rPr>
        <w:t xml:space="preserve">How the scheme can also make the rest areas/changeover bays exclusive to HPV’s is unclear, as it is a community benefit that should therefore be paid for by both the community and heavy vehicles generally or through the Heavy Vehicle Safety and </w:t>
      </w:r>
      <w:r w:rsidR="00EC27EB">
        <w:rPr>
          <w:rFonts w:ascii="Arial" w:hAnsi="Arial" w:cs="Arial"/>
          <w:sz w:val="20"/>
          <w:szCs w:val="20"/>
          <w:highlight w:val="white"/>
          <w:lang w:eastAsia="en-AU"/>
        </w:rPr>
        <w:t>P</w:t>
      </w:r>
      <w:r>
        <w:rPr>
          <w:rFonts w:ascii="Arial" w:hAnsi="Arial" w:cs="Arial"/>
          <w:sz w:val="20"/>
          <w:szCs w:val="20"/>
          <w:highlight w:val="white"/>
          <w:lang w:eastAsia="en-AU"/>
        </w:rPr>
        <w:t xml:space="preserve">roductivity Program (HVSPP). This is a safety fund specifically aimed at financing rest areas, changeover bays and other safety and productivity initiatives. </w:t>
      </w:r>
    </w:p>
    <w:p w:rsidR="006A79C1" w:rsidRDefault="006A79C1" w:rsidP="006A79C1">
      <w:pPr>
        <w:autoSpaceDE w:val="0"/>
        <w:autoSpaceDN w:val="0"/>
        <w:adjustRightInd w:val="0"/>
        <w:spacing w:line="264" w:lineRule="auto"/>
        <w:rPr>
          <w:rFonts w:ascii="Arial" w:hAnsi="Arial" w:cs="Arial"/>
          <w:sz w:val="20"/>
          <w:szCs w:val="20"/>
          <w:highlight w:val="white"/>
          <w:lang w:eastAsia="en-AU"/>
        </w:rPr>
      </w:pPr>
    </w:p>
    <w:p w:rsidR="006A79C1" w:rsidRDefault="006A79C1" w:rsidP="006A79C1">
      <w:pPr>
        <w:autoSpaceDE w:val="0"/>
        <w:autoSpaceDN w:val="0"/>
        <w:adjustRightInd w:val="0"/>
        <w:spacing w:line="264" w:lineRule="auto"/>
        <w:rPr>
          <w:rFonts w:ascii="Arial" w:hAnsi="Arial" w:cs="Arial"/>
          <w:sz w:val="20"/>
          <w:szCs w:val="20"/>
          <w:highlight w:val="white"/>
          <w:lang w:eastAsia="en-AU"/>
        </w:rPr>
      </w:pPr>
      <w:r>
        <w:rPr>
          <w:rFonts w:ascii="Arial" w:hAnsi="Arial" w:cs="Arial"/>
          <w:sz w:val="20"/>
          <w:szCs w:val="20"/>
          <w:highlight w:val="white"/>
          <w:lang w:eastAsia="en-AU"/>
        </w:rPr>
        <w:t xml:space="preserve">High productivity vehicles will reduce the number of heavy vehicles necessary to complete the freight task, and therefore the incidence of accidents. They should not be penalised for increasing safety on roads they operate on by being required to pay additional payments above PayGo.  </w:t>
      </w:r>
    </w:p>
    <w:p w:rsidR="006A79C1" w:rsidRDefault="006A79C1" w:rsidP="006A79C1">
      <w:pPr>
        <w:autoSpaceDE w:val="0"/>
        <w:autoSpaceDN w:val="0"/>
        <w:adjustRightInd w:val="0"/>
        <w:spacing w:line="264" w:lineRule="auto"/>
        <w:rPr>
          <w:rFonts w:ascii="Arial" w:hAnsi="Arial" w:cs="Arial"/>
          <w:sz w:val="20"/>
          <w:szCs w:val="20"/>
          <w:highlight w:val="white"/>
          <w:lang w:eastAsia="en-AU"/>
        </w:rPr>
      </w:pPr>
    </w:p>
    <w:p w:rsidR="006A79C1" w:rsidRDefault="006A79C1" w:rsidP="006A79C1">
      <w:pPr>
        <w:autoSpaceDE w:val="0"/>
        <w:autoSpaceDN w:val="0"/>
        <w:adjustRightInd w:val="0"/>
        <w:spacing w:line="264" w:lineRule="auto"/>
        <w:rPr>
          <w:rFonts w:ascii="Arial" w:hAnsi="Arial" w:cs="Arial"/>
          <w:sz w:val="20"/>
          <w:szCs w:val="20"/>
          <w:highlight w:val="white"/>
          <w:lang w:eastAsia="en-AU"/>
        </w:rPr>
      </w:pPr>
      <w:r>
        <w:rPr>
          <w:rFonts w:ascii="Arial" w:hAnsi="Arial" w:cs="Arial"/>
          <w:sz w:val="20"/>
          <w:szCs w:val="20"/>
          <w:highlight w:val="white"/>
          <w:lang w:eastAsia="en-AU"/>
        </w:rPr>
        <w:t>ATA has lodged an access request to allow modular (42.5m) AB triples on a route from the Victorian border to Queensland via the Hay and Hillston. This route plus the access given modular B-triples in road train areas allows three B-doubles of goods to be moved by two prime movers (i.e. 3 B-doubles = 1 B-triple + 1 AB triple) in through NSW</w:t>
      </w:r>
      <w:r w:rsidR="00EC27EB">
        <w:rPr>
          <w:rFonts w:ascii="Arial" w:hAnsi="Arial" w:cs="Arial"/>
          <w:sz w:val="20"/>
          <w:szCs w:val="20"/>
          <w:highlight w:val="white"/>
          <w:lang w:eastAsia="en-AU"/>
        </w:rPr>
        <w:t xml:space="preserve"> - </w:t>
      </w:r>
      <w:r>
        <w:rPr>
          <w:rFonts w:ascii="Arial" w:hAnsi="Arial" w:cs="Arial"/>
          <w:sz w:val="20"/>
          <w:szCs w:val="20"/>
          <w:highlight w:val="white"/>
          <w:lang w:eastAsia="en-AU"/>
        </w:rPr>
        <w:t xml:space="preserve"> </w:t>
      </w:r>
      <w:r w:rsidR="00EC27EB">
        <w:rPr>
          <w:rFonts w:ascii="Arial" w:hAnsi="Arial" w:cs="Arial"/>
          <w:sz w:val="20"/>
          <w:szCs w:val="20"/>
          <w:highlight w:val="white"/>
          <w:lang w:eastAsia="en-AU"/>
        </w:rPr>
        <w:t>a 33.3 percent</w:t>
      </w:r>
      <w:r>
        <w:rPr>
          <w:rFonts w:ascii="Arial" w:hAnsi="Arial" w:cs="Arial"/>
          <w:sz w:val="20"/>
          <w:szCs w:val="20"/>
          <w:highlight w:val="white"/>
          <w:lang w:eastAsia="en-AU"/>
        </w:rPr>
        <w:t xml:space="preserve"> gain in productivity. In order for this to occur</w:t>
      </w:r>
      <w:r w:rsidR="00EC27EB">
        <w:rPr>
          <w:rFonts w:ascii="Arial" w:hAnsi="Arial" w:cs="Arial"/>
          <w:sz w:val="20"/>
          <w:szCs w:val="20"/>
          <w:highlight w:val="white"/>
          <w:lang w:eastAsia="en-AU"/>
        </w:rPr>
        <w:t>,</w:t>
      </w:r>
      <w:r>
        <w:rPr>
          <w:rFonts w:ascii="Arial" w:hAnsi="Arial" w:cs="Arial"/>
          <w:sz w:val="20"/>
          <w:szCs w:val="20"/>
          <w:highlight w:val="white"/>
          <w:lang w:eastAsia="en-AU"/>
        </w:rPr>
        <w:t xml:space="preserve"> the level crossin</w:t>
      </w:r>
      <w:r w:rsidR="0051088E">
        <w:rPr>
          <w:rFonts w:ascii="Arial" w:hAnsi="Arial" w:cs="Arial"/>
          <w:sz w:val="20"/>
          <w:szCs w:val="20"/>
          <w:highlight w:val="white"/>
          <w:lang w:eastAsia="en-AU"/>
        </w:rPr>
        <w:t>g at Hillston needs its vehicle</w:t>
      </w:r>
      <w:r>
        <w:rPr>
          <w:rFonts w:ascii="Arial" w:hAnsi="Arial" w:cs="Arial"/>
          <w:sz w:val="20"/>
          <w:szCs w:val="20"/>
          <w:highlight w:val="white"/>
          <w:lang w:eastAsia="en-AU"/>
        </w:rPr>
        <w:t xml:space="preserve"> stacking distance increased by about 5m. This requires a realignment of the Kidman Way (Griffith</w:t>
      </w:r>
      <w:r w:rsidR="0051088E">
        <w:rPr>
          <w:rFonts w:ascii="Arial" w:hAnsi="Arial" w:cs="Arial"/>
          <w:sz w:val="20"/>
          <w:szCs w:val="20"/>
          <w:highlight w:val="white"/>
          <w:lang w:eastAsia="en-AU"/>
        </w:rPr>
        <w:t xml:space="preserve"> road</w:t>
      </w:r>
      <w:r>
        <w:rPr>
          <w:rFonts w:ascii="Arial" w:hAnsi="Arial" w:cs="Arial"/>
          <w:sz w:val="20"/>
          <w:szCs w:val="20"/>
          <w:highlight w:val="white"/>
          <w:lang w:eastAsia="en-AU"/>
        </w:rPr>
        <w:t>) junction with McKenzie road. This should also be funded by a HVSPP grant, as the benefits accrue to the whole economy.</w:t>
      </w:r>
    </w:p>
    <w:p w:rsidR="00E97D22" w:rsidRPr="008F04ED" w:rsidRDefault="00E97D22" w:rsidP="008F04ED">
      <w:pPr>
        <w:pStyle w:val="RecommendationStyle"/>
        <w:numPr>
          <w:ilvl w:val="0"/>
          <w:numId w:val="3"/>
        </w:numPr>
        <w:tabs>
          <w:tab w:val="clear" w:pos="1192"/>
        </w:tabs>
        <w:rPr>
          <w:color w:val="000000" w:themeColor="text1"/>
        </w:rPr>
      </w:pPr>
      <w:bookmarkStart w:id="8" w:name="_Toc338927188"/>
      <w:bookmarkStart w:id="9" w:name="_Toc339007843"/>
      <w:bookmarkEnd w:id="8"/>
      <w:bookmarkEnd w:id="9"/>
    </w:p>
    <w:p w:rsidR="00E97D22" w:rsidRPr="008F04ED" w:rsidRDefault="00500635" w:rsidP="008F04ED">
      <w:pPr>
        <w:pStyle w:val="RecommendationStyle"/>
        <w:numPr>
          <w:ilvl w:val="0"/>
          <w:numId w:val="0"/>
        </w:numPr>
        <w:rPr>
          <w:color w:val="000000" w:themeColor="text1"/>
        </w:rPr>
      </w:pPr>
      <w:bookmarkStart w:id="10" w:name="_Toc338855105"/>
      <w:bookmarkStart w:id="11" w:name="_Toc338857663"/>
      <w:bookmarkStart w:id="12" w:name="_Toc338917932"/>
      <w:bookmarkStart w:id="13" w:name="_Toc338927189"/>
      <w:bookmarkStart w:id="14" w:name="_Toc339007844"/>
      <w:r w:rsidRPr="008F04ED">
        <w:rPr>
          <w:color w:val="000000" w:themeColor="text1"/>
        </w:rPr>
        <w:t>ATA recommends</w:t>
      </w:r>
      <w:r w:rsidR="00E97D22" w:rsidRPr="008F04ED">
        <w:rPr>
          <w:color w:val="000000" w:themeColor="text1"/>
        </w:rPr>
        <w:t xml:space="preserve"> </w:t>
      </w:r>
      <w:bookmarkEnd w:id="10"/>
      <w:r w:rsidR="003E24E0" w:rsidRPr="003E24E0">
        <w:rPr>
          <w:bCs/>
          <w:iCs/>
          <w:color w:val="000000" w:themeColor="text1"/>
        </w:rPr>
        <w:t>the trial of high productivity vehicles on the Hume Highway, but without additional direct payments for access.</w:t>
      </w:r>
      <w:bookmarkEnd w:id="11"/>
      <w:bookmarkEnd w:id="12"/>
      <w:bookmarkEnd w:id="13"/>
      <w:bookmarkEnd w:id="14"/>
      <w:r w:rsidR="003E24E0" w:rsidRPr="003E24E0">
        <w:rPr>
          <w:bCs/>
          <w:iCs/>
          <w:color w:val="000000" w:themeColor="text1"/>
        </w:rPr>
        <w:t xml:space="preserve">  </w:t>
      </w:r>
    </w:p>
    <w:p w:rsidR="00E97D22" w:rsidRDefault="00E97D22" w:rsidP="00E97D22">
      <w:pPr>
        <w:pStyle w:val="RecommendationStyle"/>
        <w:numPr>
          <w:ilvl w:val="0"/>
          <w:numId w:val="3"/>
        </w:numPr>
        <w:tabs>
          <w:tab w:val="clear" w:pos="1192"/>
        </w:tabs>
        <w:rPr>
          <w:color w:val="000000" w:themeColor="text1"/>
        </w:rPr>
      </w:pPr>
      <w:bookmarkStart w:id="15" w:name="_Toc338848887"/>
      <w:bookmarkStart w:id="16" w:name="_Toc338855073"/>
      <w:bookmarkStart w:id="17" w:name="_Toc338855106"/>
      <w:bookmarkStart w:id="18" w:name="_Toc338857664"/>
      <w:bookmarkStart w:id="19" w:name="_Toc338917933"/>
      <w:bookmarkStart w:id="20" w:name="_Toc338927190"/>
      <w:bookmarkStart w:id="21" w:name="_Toc339007845"/>
      <w:bookmarkEnd w:id="15"/>
      <w:bookmarkEnd w:id="16"/>
      <w:bookmarkEnd w:id="17"/>
      <w:bookmarkEnd w:id="18"/>
      <w:bookmarkEnd w:id="19"/>
      <w:bookmarkEnd w:id="20"/>
      <w:bookmarkEnd w:id="21"/>
    </w:p>
    <w:p w:rsidR="00E97D22" w:rsidRDefault="006A79C1" w:rsidP="00E97D22">
      <w:pPr>
        <w:pStyle w:val="RecommendationStyle"/>
        <w:numPr>
          <w:ilvl w:val="0"/>
          <w:numId w:val="0"/>
        </w:numPr>
        <w:rPr>
          <w:bCs/>
          <w:iCs/>
          <w:color w:val="000000" w:themeColor="text1"/>
        </w:rPr>
      </w:pPr>
      <w:bookmarkStart w:id="22" w:name="_Toc338927191"/>
      <w:bookmarkStart w:id="23" w:name="_Toc339007846"/>
      <w:r w:rsidRPr="006A79C1">
        <w:rPr>
          <w:bCs/>
          <w:iCs/>
          <w:color w:val="000000" w:themeColor="text1"/>
        </w:rPr>
        <w:t>ATA recommends the payment for high productivity vehicle standard rest areas and change over bays be paid for by the Heavy Vehicle Safety and Productivity Program (HVSPP), not trial users of the Hume Highway project.</w:t>
      </w:r>
      <w:bookmarkEnd w:id="22"/>
      <w:bookmarkEnd w:id="23"/>
    </w:p>
    <w:p w:rsidR="001B1615" w:rsidRDefault="001B1615" w:rsidP="001B1615">
      <w:pPr>
        <w:pStyle w:val="RecommendationStyle"/>
        <w:numPr>
          <w:ilvl w:val="0"/>
          <w:numId w:val="3"/>
        </w:numPr>
        <w:tabs>
          <w:tab w:val="clear" w:pos="1192"/>
        </w:tabs>
        <w:rPr>
          <w:color w:val="000000" w:themeColor="text1"/>
        </w:rPr>
      </w:pPr>
      <w:bookmarkStart w:id="24" w:name="_Toc338917935"/>
      <w:bookmarkStart w:id="25" w:name="_Toc338927192"/>
      <w:bookmarkStart w:id="26" w:name="_Toc339007847"/>
      <w:bookmarkEnd w:id="24"/>
      <w:bookmarkEnd w:id="25"/>
      <w:bookmarkEnd w:id="26"/>
    </w:p>
    <w:p w:rsidR="001B1615" w:rsidRPr="00ED054B" w:rsidRDefault="006A79C1" w:rsidP="001B1615">
      <w:pPr>
        <w:pStyle w:val="RecommendationStyle"/>
        <w:numPr>
          <w:ilvl w:val="0"/>
          <w:numId w:val="0"/>
        </w:numPr>
        <w:rPr>
          <w:color w:val="000000" w:themeColor="text1"/>
        </w:rPr>
      </w:pPr>
      <w:bookmarkStart w:id="27" w:name="_Toc338917936"/>
      <w:bookmarkStart w:id="28" w:name="_Toc338927193"/>
      <w:bookmarkStart w:id="29" w:name="_Toc339007848"/>
      <w:r>
        <w:rPr>
          <w:color w:val="000000" w:themeColor="text1"/>
        </w:rPr>
        <w:t xml:space="preserve">ATA recommends </w:t>
      </w:r>
      <w:r w:rsidR="001B1615" w:rsidRPr="001B1615">
        <w:rPr>
          <w:color w:val="000000" w:themeColor="text1"/>
        </w:rPr>
        <w:t>funding fro</w:t>
      </w:r>
      <w:r>
        <w:rPr>
          <w:color w:val="000000" w:themeColor="text1"/>
        </w:rPr>
        <w:t xml:space="preserve">m the HVSPP be used to increase </w:t>
      </w:r>
      <w:r w:rsidR="001B1615" w:rsidRPr="001B1615">
        <w:rPr>
          <w:color w:val="000000" w:themeColor="text1"/>
        </w:rPr>
        <w:t>the stacking distance at the Hillston level crossing.</w:t>
      </w:r>
      <w:bookmarkEnd w:id="27"/>
      <w:bookmarkEnd w:id="28"/>
      <w:bookmarkEnd w:id="29"/>
    </w:p>
    <w:p w:rsidR="00E97D22" w:rsidRDefault="00E97D22" w:rsidP="00BD49FC">
      <w:pPr>
        <w:pStyle w:val="BodyText2"/>
        <w:spacing w:line="269" w:lineRule="auto"/>
        <w:rPr>
          <w:b w:val="0"/>
          <w:sz w:val="20"/>
        </w:rPr>
      </w:pPr>
    </w:p>
    <w:p w:rsidR="00E97D22" w:rsidRPr="00DA19C7" w:rsidRDefault="00DA19C7" w:rsidP="00DA19C7">
      <w:pPr>
        <w:rPr>
          <w:rFonts w:ascii="Arial" w:eastAsia="Times New Roman" w:hAnsi="Arial" w:cs="Arial"/>
          <w:bCs/>
          <w:sz w:val="20"/>
          <w:szCs w:val="20"/>
        </w:rPr>
      </w:pPr>
      <w:r>
        <w:rPr>
          <w:b/>
          <w:sz w:val="20"/>
        </w:rPr>
        <w:br w:type="page"/>
      </w:r>
    </w:p>
    <w:p w:rsidR="00873059" w:rsidRDefault="00873059" w:rsidP="00873059">
      <w:pPr>
        <w:pStyle w:val="ATAHeading2"/>
        <w:ind w:left="851" w:hanging="851"/>
      </w:pPr>
      <w:bookmarkStart w:id="30" w:name="_Toc339020956"/>
      <w:r w:rsidRPr="00873059">
        <w:lastRenderedPageBreak/>
        <w:t>Private provision of road infrastructure</w:t>
      </w:r>
      <w:bookmarkEnd w:id="30"/>
    </w:p>
    <w:p w:rsidR="00873059" w:rsidRDefault="00873059" w:rsidP="00873059"/>
    <w:p w:rsidR="0044423C" w:rsidRDefault="0044423C" w:rsidP="0044423C">
      <w:pPr>
        <w:autoSpaceDE w:val="0"/>
        <w:autoSpaceDN w:val="0"/>
        <w:adjustRightInd w:val="0"/>
        <w:spacing w:line="264" w:lineRule="auto"/>
        <w:rPr>
          <w:rFonts w:ascii="Arial" w:hAnsi="Arial" w:cs="Arial"/>
          <w:sz w:val="20"/>
          <w:szCs w:val="20"/>
          <w:highlight w:val="white"/>
          <w:lang w:eastAsia="en-AU"/>
        </w:rPr>
      </w:pPr>
      <w:r>
        <w:rPr>
          <w:rFonts w:ascii="Arial" w:hAnsi="Arial" w:cs="Arial"/>
          <w:sz w:val="20"/>
          <w:szCs w:val="20"/>
          <w:highlight w:val="white"/>
          <w:lang w:eastAsia="en-AU"/>
        </w:rPr>
        <w:t xml:space="preserve">The resources </w:t>
      </w:r>
      <w:r w:rsidR="0083292E">
        <w:rPr>
          <w:rFonts w:ascii="Arial" w:hAnsi="Arial" w:cs="Arial"/>
          <w:sz w:val="20"/>
          <w:szCs w:val="20"/>
          <w:highlight w:val="white"/>
          <w:lang w:eastAsia="en-AU"/>
        </w:rPr>
        <w:t>sector has</w:t>
      </w:r>
      <w:r>
        <w:rPr>
          <w:rFonts w:ascii="Arial" w:hAnsi="Arial" w:cs="Arial"/>
          <w:sz w:val="20"/>
          <w:szCs w:val="20"/>
          <w:highlight w:val="white"/>
          <w:lang w:eastAsia="en-AU"/>
        </w:rPr>
        <w:t xml:space="preserve"> profits well into the billions annually; to compare this to the heavy vehicle industry misunderstands the financial constraints the trucking industry operates under. The justification for private provision in the report states freight movements are ‘essentially a private sector undertaking’. All journeys on any road are based on private sector outcomes such as generating income in response to community demand for freight. Simply because these operations are based on business and not public sector movements</w:t>
      </w:r>
      <w:r w:rsidR="000A556B">
        <w:rPr>
          <w:rFonts w:ascii="Arial" w:hAnsi="Arial" w:cs="Arial"/>
          <w:sz w:val="20"/>
          <w:szCs w:val="20"/>
          <w:highlight w:val="white"/>
          <w:lang w:eastAsia="en-AU"/>
        </w:rPr>
        <w:t>,</w:t>
      </w:r>
      <w:r>
        <w:rPr>
          <w:rFonts w:ascii="Arial" w:hAnsi="Arial" w:cs="Arial"/>
          <w:sz w:val="20"/>
          <w:szCs w:val="20"/>
          <w:highlight w:val="white"/>
          <w:lang w:eastAsia="en-AU"/>
        </w:rPr>
        <w:t xml:space="preserve"> this is not a valid argument for why private provision of infrastructure should apply to the heavy vehicle industry. A stronger argument for why private provision may be necessary would be to improve efficiency in infrastructure allocation, not because industry has the theoretical ability to pay. This is absurd, as service industry operators simply pass on the costs to the community.  </w:t>
      </w:r>
    </w:p>
    <w:p w:rsidR="0044423C" w:rsidRDefault="0044423C" w:rsidP="0044423C">
      <w:pPr>
        <w:autoSpaceDE w:val="0"/>
        <w:autoSpaceDN w:val="0"/>
        <w:adjustRightInd w:val="0"/>
        <w:spacing w:line="264" w:lineRule="auto"/>
        <w:rPr>
          <w:rFonts w:ascii="Arial" w:hAnsi="Arial" w:cs="Arial"/>
          <w:sz w:val="20"/>
          <w:szCs w:val="20"/>
          <w:highlight w:val="white"/>
          <w:lang w:eastAsia="en-AU"/>
        </w:rPr>
      </w:pPr>
    </w:p>
    <w:p w:rsidR="0044423C" w:rsidRDefault="0044423C" w:rsidP="0044423C">
      <w:pPr>
        <w:autoSpaceDE w:val="0"/>
        <w:autoSpaceDN w:val="0"/>
        <w:adjustRightInd w:val="0"/>
        <w:spacing w:line="264" w:lineRule="auto"/>
        <w:rPr>
          <w:rFonts w:ascii="Arial" w:hAnsi="Arial" w:cs="Arial"/>
          <w:sz w:val="20"/>
          <w:szCs w:val="20"/>
          <w:highlight w:val="white"/>
          <w:lang w:eastAsia="en-AU"/>
        </w:rPr>
      </w:pPr>
      <w:r>
        <w:rPr>
          <w:rFonts w:ascii="Arial" w:hAnsi="Arial" w:cs="Arial"/>
          <w:sz w:val="20"/>
          <w:szCs w:val="20"/>
          <w:highlight w:val="white"/>
          <w:lang w:eastAsia="en-AU"/>
        </w:rPr>
        <w:t>Providing certainty to industry should be a pre-requisite to any private investment</w:t>
      </w:r>
      <w:r w:rsidR="000A556B">
        <w:rPr>
          <w:rFonts w:ascii="Arial" w:hAnsi="Arial" w:cs="Arial"/>
          <w:sz w:val="20"/>
          <w:szCs w:val="20"/>
          <w:highlight w:val="white"/>
          <w:lang w:eastAsia="en-AU"/>
        </w:rPr>
        <w:t>.</w:t>
      </w:r>
      <w:r>
        <w:rPr>
          <w:rFonts w:ascii="Arial" w:hAnsi="Arial" w:cs="Arial"/>
          <w:sz w:val="20"/>
          <w:szCs w:val="20"/>
          <w:highlight w:val="white"/>
          <w:lang w:eastAsia="en-AU"/>
        </w:rPr>
        <w:t xml:space="preserve"> </w:t>
      </w:r>
      <w:r w:rsidR="000A556B">
        <w:rPr>
          <w:rFonts w:ascii="Arial" w:hAnsi="Arial" w:cs="Arial"/>
          <w:sz w:val="20"/>
          <w:szCs w:val="20"/>
          <w:highlight w:val="white"/>
          <w:lang w:eastAsia="en-AU"/>
        </w:rPr>
        <w:t>However</w:t>
      </w:r>
      <w:r>
        <w:rPr>
          <w:rFonts w:ascii="Arial" w:hAnsi="Arial" w:cs="Arial"/>
          <w:sz w:val="20"/>
          <w:szCs w:val="20"/>
          <w:highlight w:val="white"/>
          <w:lang w:eastAsia="en-AU"/>
        </w:rPr>
        <w:t xml:space="preserve">, until there are legal penalties for firms that fail to produce budgeted suitable provision, industry is wary of simply handing over a complex role to private entities who have to factor in financial risk setting premiums, which government does not.  </w:t>
      </w:r>
    </w:p>
    <w:p w:rsidR="0044423C" w:rsidRDefault="0044423C" w:rsidP="0044423C">
      <w:pPr>
        <w:autoSpaceDE w:val="0"/>
        <w:autoSpaceDN w:val="0"/>
        <w:adjustRightInd w:val="0"/>
        <w:spacing w:line="264" w:lineRule="auto"/>
        <w:rPr>
          <w:rFonts w:ascii="Arial" w:hAnsi="Arial" w:cs="Arial"/>
          <w:sz w:val="20"/>
          <w:szCs w:val="20"/>
          <w:highlight w:val="white"/>
          <w:lang w:eastAsia="en-AU"/>
        </w:rPr>
      </w:pPr>
    </w:p>
    <w:p w:rsidR="00873059" w:rsidRPr="0044423C" w:rsidRDefault="0044423C" w:rsidP="0044423C">
      <w:pPr>
        <w:autoSpaceDE w:val="0"/>
        <w:autoSpaceDN w:val="0"/>
        <w:adjustRightInd w:val="0"/>
        <w:spacing w:line="264" w:lineRule="auto"/>
        <w:rPr>
          <w:rFonts w:ascii="Arial" w:hAnsi="Arial" w:cs="Arial"/>
          <w:sz w:val="20"/>
          <w:szCs w:val="20"/>
          <w:highlight w:val="white"/>
          <w:lang w:eastAsia="en-AU"/>
        </w:rPr>
      </w:pPr>
      <w:r>
        <w:rPr>
          <w:rFonts w:ascii="Arial" w:hAnsi="Arial" w:cs="Arial"/>
          <w:sz w:val="20"/>
          <w:szCs w:val="20"/>
          <w:highlight w:val="white"/>
          <w:lang w:eastAsia="en-AU"/>
        </w:rPr>
        <w:t xml:space="preserve">Industry cannot be assured that the same failings in road provision will not continue or become worse under private partnerships. </w:t>
      </w:r>
    </w:p>
    <w:p w:rsidR="00181811" w:rsidRDefault="00181811" w:rsidP="00181811">
      <w:pPr>
        <w:pStyle w:val="RecommendationStyle"/>
        <w:numPr>
          <w:ilvl w:val="0"/>
          <w:numId w:val="3"/>
        </w:numPr>
        <w:tabs>
          <w:tab w:val="clear" w:pos="1192"/>
        </w:tabs>
        <w:rPr>
          <w:color w:val="000000" w:themeColor="text1"/>
        </w:rPr>
      </w:pPr>
      <w:bookmarkStart w:id="31" w:name="_Toc338855075"/>
      <w:bookmarkStart w:id="32" w:name="_Toc338855108"/>
      <w:bookmarkStart w:id="33" w:name="_Toc338857666"/>
      <w:bookmarkStart w:id="34" w:name="_Toc338917937"/>
      <w:bookmarkStart w:id="35" w:name="_Toc338927194"/>
      <w:bookmarkStart w:id="36" w:name="_Toc339007849"/>
      <w:bookmarkEnd w:id="31"/>
      <w:bookmarkEnd w:id="32"/>
      <w:bookmarkEnd w:id="33"/>
      <w:bookmarkEnd w:id="34"/>
      <w:bookmarkEnd w:id="35"/>
      <w:bookmarkEnd w:id="36"/>
    </w:p>
    <w:p w:rsidR="00181811" w:rsidRPr="00ED054B" w:rsidRDefault="0044423C" w:rsidP="00181811">
      <w:pPr>
        <w:pStyle w:val="RecommendationStyle"/>
        <w:numPr>
          <w:ilvl w:val="0"/>
          <w:numId w:val="0"/>
        </w:numPr>
        <w:rPr>
          <w:color w:val="000000" w:themeColor="text1"/>
        </w:rPr>
      </w:pPr>
      <w:bookmarkStart w:id="37" w:name="_Toc338927195"/>
      <w:bookmarkStart w:id="38" w:name="_Toc339007850"/>
      <w:r w:rsidRPr="0044423C">
        <w:rPr>
          <w:bCs/>
          <w:iCs/>
          <w:color w:val="000000" w:themeColor="text1"/>
        </w:rPr>
        <w:t>ATA recommends that private provision of infrastructure should be provided only on the grounds of improving efficient provision of roads, not simply because Transport for NSW believes industry can pay.</w:t>
      </w:r>
      <w:bookmarkEnd w:id="37"/>
      <w:bookmarkEnd w:id="38"/>
    </w:p>
    <w:p w:rsidR="00181811" w:rsidRDefault="00181811" w:rsidP="00873059"/>
    <w:p w:rsidR="00181811" w:rsidRPr="00873059" w:rsidRDefault="00181811" w:rsidP="00873059"/>
    <w:p w:rsidR="00873059" w:rsidRPr="00873059" w:rsidRDefault="00873059" w:rsidP="00873059">
      <w:pPr>
        <w:pStyle w:val="ATAHeading2"/>
        <w:ind w:left="851" w:hanging="851"/>
      </w:pPr>
      <w:bookmarkStart w:id="39" w:name="_Toc339020957"/>
      <w:r w:rsidRPr="00873059">
        <w:t>Funding allocated for heavy vehicle safety programs</w:t>
      </w:r>
      <w:bookmarkEnd w:id="39"/>
    </w:p>
    <w:p w:rsidR="0044423C" w:rsidRDefault="0044423C" w:rsidP="0044423C">
      <w:pPr>
        <w:autoSpaceDE w:val="0"/>
        <w:autoSpaceDN w:val="0"/>
        <w:adjustRightInd w:val="0"/>
        <w:spacing w:line="264" w:lineRule="auto"/>
        <w:rPr>
          <w:rFonts w:ascii="Arial" w:hAnsi="Arial" w:cs="Arial"/>
          <w:sz w:val="20"/>
          <w:szCs w:val="20"/>
          <w:highlight w:val="white"/>
          <w:lang w:eastAsia="en-AU"/>
        </w:rPr>
      </w:pPr>
      <w:bookmarkStart w:id="40" w:name="_Toc338855077"/>
      <w:bookmarkStart w:id="41" w:name="_Toc338855110"/>
      <w:bookmarkStart w:id="42" w:name="_Toc338857668"/>
      <w:bookmarkStart w:id="43" w:name="_Toc338917939"/>
      <w:bookmarkEnd w:id="40"/>
      <w:bookmarkEnd w:id="41"/>
      <w:bookmarkEnd w:id="42"/>
      <w:bookmarkEnd w:id="43"/>
      <w:r>
        <w:rPr>
          <w:rFonts w:ascii="Arial" w:hAnsi="Arial" w:cs="Arial"/>
          <w:sz w:val="20"/>
          <w:szCs w:val="20"/>
          <w:highlight w:val="white"/>
          <w:lang w:eastAsia="en-AU"/>
        </w:rPr>
        <w:t>The funding allocated to investigating ‘</w:t>
      </w:r>
      <w:r w:rsidR="000A556B">
        <w:rPr>
          <w:rFonts w:ascii="Arial" w:hAnsi="Arial" w:cs="Arial"/>
          <w:sz w:val="20"/>
          <w:szCs w:val="20"/>
          <w:highlight w:val="white"/>
          <w:lang w:eastAsia="en-AU"/>
        </w:rPr>
        <w:t>f</w:t>
      </w:r>
      <w:r>
        <w:rPr>
          <w:rFonts w:ascii="Arial" w:hAnsi="Arial" w:cs="Arial"/>
          <w:sz w:val="20"/>
          <w:szCs w:val="20"/>
          <w:highlight w:val="white"/>
          <w:lang w:eastAsia="en-AU"/>
        </w:rPr>
        <w:t>ive star trucking’ is questionable, given there are already ways industry and customers recognise companies that produce safe practices above what is required</w:t>
      </w:r>
      <w:r w:rsidR="000A556B">
        <w:rPr>
          <w:rFonts w:ascii="Arial" w:hAnsi="Arial" w:cs="Arial"/>
          <w:sz w:val="20"/>
          <w:szCs w:val="20"/>
          <w:highlight w:val="white"/>
          <w:lang w:eastAsia="en-AU"/>
        </w:rPr>
        <w:t>,</w:t>
      </w:r>
      <w:r>
        <w:rPr>
          <w:rFonts w:ascii="Arial" w:hAnsi="Arial" w:cs="Arial"/>
          <w:sz w:val="20"/>
          <w:szCs w:val="20"/>
          <w:highlight w:val="white"/>
          <w:lang w:eastAsia="en-AU"/>
        </w:rPr>
        <w:t xml:space="preserve"> </w:t>
      </w:r>
      <w:r w:rsidR="000A556B">
        <w:rPr>
          <w:rFonts w:ascii="Arial" w:hAnsi="Arial" w:cs="Arial"/>
          <w:sz w:val="20"/>
          <w:szCs w:val="20"/>
          <w:highlight w:val="white"/>
          <w:lang w:eastAsia="en-AU"/>
        </w:rPr>
        <w:t>s</w:t>
      </w:r>
      <w:r>
        <w:rPr>
          <w:rFonts w:ascii="Arial" w:hAnsi="Arial" w:cs="Arial"/>
          <w:sz w:val="20"/>
          <w:szCs w:val="20"/>
          <w:highlight w:val="white"/>
          <w:lang w:eastAsia="en-AU"/>
        </w:rPr>
        <w:t>uch as TruckSafe</w:t>
      </w:r>
      <w:r w:rsidR="000A556B">
        <w:rPr>
          <w:rFonts w:ascii="Arial" w:hAnsi="Arial" w:cs="Arial"/>
          <w:sz w:val="20"/>
          <w:szCs w:val="20"/>
          <w:highlight w:val="white"/>
          <w:lang w:eastAsia="en-AU"/>
        </w:rPr>
        <w:t xml:space="preserve"> -</w:t>
      </w:r>
      <w:r>
        <w:rPr>
          <w:rFonts w:ascii="Arial" w:hAnsi="Arial" w:cs="Arial"/>
          <w:sz w:val="20"/>
          <w:szCs w:val="20"/>
          <w:highlight w:val="white"/>
          <w:lang w:eastAsia="en-AU"/>
        </w:rPr>
        <w:t xml:space="preserve"> a program with proven safety results, showing its members to be twice as safe as non-members.</w:t>
      </w:r>
      <w:r>
        <w:rPr>
          <w:rStyle w:val="FootnoteReference"/>
          <w:rFonts w:ascii="Arial" w:hAnsi="Arial"/>
          <w:sz w:val="20"/>
          <w:szCs w:val="20"/>
          <w:highlight w:val="white"/>
          <w:lang w:eastAsia="en-AU"/>
        </w:rPr>
        <w:footnoteReference w:id="1"/>
      </w:r>
      <w:r>
        <w:rPr>
          <w:rFonts w:ascii="Arial" w:hAnsi="Arial" w:cs="Arial"/>
          <w:sz w:val="20"/>
          <w:szCs w:val="20"/>
          <w:highlight w:val="white"/>
          <w:lang w:eastAsia="en-AU"/>
        </w:rPr>
        <w:t xml:space="preserve"> </w:t>
      </w:r>
    </w:p>
    <w:p w:rsidR="0044423C" w:rsidRDefault="000A556B" w:rsidP="0044423C">
      <w:pPr>
        <w:pStyle w:val="RecommendationStyle"/>
        <w:numPr>
          <w:ilvl w:val="0"/>
          <w:numId w:val="0"/>
        </w:numPr>
        <w:rPr>
          <w:lang w:eastAsia="en-AU"/>
        </w:rPr>
      </w:pPr>
      <w:bookmarkStart w:id="44" w:name="_Toc338927196"/>
      <w:bookmarkStart w:id="45" w:name="_Toc339007851"/>
      <w:r>
        <w:rPr>
          <w:b w:val="0"/>
          <w:i w:val="0"/>
          <w:highlight w:val="white"/>
          <w:lang w:eastAsia="en-AU"/>
        </w:rPr>
        <w:t>‘</w:t>
      </w:r>
      <w:r w:rsidR="0044423C" w:rsidRPr="0044423C">
        <w:rPr>
          <w:b w:val="0"/>
          <w:i w:val="0"/>
          <w:highlight w:val="white"/>
          <w:lang w:eastAsia="en-AU"/>
        </w:rPr>
        <w:t>Five star trucking</w:t>
      </w:r>
      <w:r>
        <w:rPr>
          <w:b w:val="0"/>
          <w:i w:val="0"/>
          <w:highlight w:val="white"/>
          <w:lang w:eastAsia="en-AU"/>
        </w:rPr>
        <w:t>’</w:t>
      </w:r>
      <w:r w:rsidR="0044423C" w:rsidRPr="0044423C">
        <w:rPr>
          <w:b w:val="0"/>
          <w:i w:val="0"/>
          <w:highlight w:val="white"/>
          <w:lang w:eastAsia="en-AU"/>
        </w:rPr>
        <w:t xml:space="preserve"> remains an intangible proposal, as its characteristics have not been explained and safety rating systems have not worked well in overseas examples</w:t>
      </w:r>
      <w:r w:rsidR="0044423C">
        <w:rPr>
          <w:highlight w:val="white"/>
          <w:lang w:eastAsia="en-AU"/>
        </w:rPr>
        <w:t>.</w:t>
      </w:r>
      <w:bookmarkEnd w:id="44"/>
      <w:bookmarkEnd w:id="45"/>
    </w:p>
    <w:p w:rsidR="00FD50F0" w:rsidRPr="00FD50F0" w:rsidRDefault="00FD50F0" w:rsidP="0044423C">
      <w:pPr>
        <w:pStyle w:val="RecommendationStyle"/>
        <w:numPr>
          <w:ilvl w:val="0"/>
          <w:numId w:val="0"/>
        </w:numPr>
        <w:rPr>
          <w:b w:val="0"/>
          <w:i w:val="0"/>
          <w:highlight w:val="white"/>
          <w:lang w:eastAsia="en-AU"/>
        </w:rPr>
      </w:pPr>
      <w:r w:rsidRPr="00FD50F0">
        <w:rPr>
          <w:b w:val="0"/>
          <w:i w:val="0"/>
          <w:highlight w:val="white"/>
          <w:lang w:eastAsia="en-AU"/>
        </w:rPr>
        <w:t>The ATA does not support ‘Five star trucking’</w:t>
      </w:r>
      <w:r>
        <w:rPr>
          <w:b w:val="0"/>
          <w:i w:val="0"/>
          <w:highlight w:val="white"/>
          <w:lang w:eastAsia="en-AU"/>
        </w:rPr>
        <w:t>,</w:t>
      </w:r>
      <w:r w:rsidRPr="00FD50F0">
        <w:rPr>
          <w:b w:val="0"/>
          <w:i w:val="0"/>
          <w:highlight w:val="white"/>
          <w:lang w:eastAsia="en-AU"/>
        </w:rPr>
        <w:t xml:space="preserve"> as it is viewed by industry to be duplicating</w:t>
      </w:r>
      <w:r>
        <w:rPr>
          <w:b w:val="0"/>
          <w:i w:val="0"/>
          <w:highlight w:val="white"/>
          <w:lang w:eastAsia="en-AU"/>
        </w:rPr>
        <w:t xml:space="preserve"> successful heavy vehicle safety programs that already exist such as, TruckSafe. </w:t>
      </w:r>
      <w:r w:rsidRPr="00FD50F0">
        <w:rPr>
          <w:b w:val="0"/>
          <w:i w:val="0"/>
          <w:highlight w:val="white"/>
          <w:lang w:eastAsia="en-AU"/>
        </w:rPr>
        <w:t xml:space="preserve"> </w:t>
      </w:r>
    </w:p>
    <w:p w:rsidR="0044423C" w:rsidRDefault="0044423C" w:rsidP="0044423C">
      <w:pPr>
        <w:pStyle w:val="RecommendationStyle"/>
        <w:numPr>
          <w:ilvl w:val="0"/>
          <w:numId w:val="3"/>
        </w:numPr>
        <w:tabs>
          <w:tab w:val="clear" w:pos="1192"/>
        </w:tabs>
        <w:rPr>
          <w:highlight w:val="white"/>
          <w:lang w:eastAsia="en-AU"/>
        </w:rPr>
      </w:pPr>
      <w:bookmarkStart w:id="46" w:name="_Toc338927197"/>
      <w:bookmarkStart w:id="47" w:name="_Toc339007852"/>
      <w:bookmarkStart w:id="48" w:name="_Toc338855078"/>
      <w:bookmarkStart w:id="49" w:name="_Toc338855111"/>
      <w:bookmarkStart w:id="50" w:name="_Toc338857669"/>
      <w:bookmarkStart w:id="51" w:name="_Toc338917940"/>
      <w:bookmarkEnd w:id="46"/>
      <w:bookmarkEnd w:id="47"/>
    </w:p>
    <w:p w:rsidR="00181811" w:rsidRPr="0044423C" w:rsidRDefault="00181811" w:rsidP="0044423C">
      <w:pPr>
        <w:pStyle w:val="RecommendationStyle"/>
        <w:numPr>
          <w:ilvl w:val="0"/>
          <w:numId w:val="0"/>
        </w:numPr>
        <w:rPr>
          <w:highlight w:val="white"/>
          <w:lang w:eastAsia="en-AU"/>
        </w:rPr>
      </w:pPr>
      <w:bookmarkStart w:id="52" w:name="_Toc338927198"/>
      <w:bookmarkStart w:id="53" w:name="_Toc339007853"/>
      <w:r w:rsidRPr="0044423C">
        <w:rPr>
          <w:highlight w:val="white"/>
          <w:lang w:eastAsia="en-AU"/>
        </w:rPr>
        <w:t xml:space="preserve">ATA recommends </w:t>
      </w:r>
      <w:bookmarkEnd w:id="48"/>
      <w:bookmarkEnd w:id="49"/>
      <w:r w:rsidR="003E24E0" w:rsidRPr="0044423C">
        <w:rPr>
          <w:highlight w:val="white"/>
          <w:lang w:eastAsia="en-AU"/>
        </w:rPr>
        <w:t>funding given to improve heavy vehicle safety should be allocated to projects with tangible results, such as TruckSafe.</w:t>
      </w:r>
      <w:bookmarkEnd w:id="50"/>
      <w:bookmarkEnd w:id="51"/>
      <w:bookmarkEnd w:id="52"/>
      <w:bookmarkEnd w:id="53"/>
      <w:r w:rsidR="003E24E0" w:rsidRPr="0044423C">
        <w:rPr>
          <w:highlight w:val="white"/>
          <w:lang w:eastAsia="en-AU"/>
        </w:rPr>
        <w:t xml:space="preserve">  </w:t>
      </w:r>
    </w:p>
    <w:p w:rsidR="00ED054B" w:rsidRDefault="00ED054B" w:rsidP="00181811"/>
    <w:p w:rsidR="008F04ED" w:rsidRPr="00181811" w:rsidRDefault="008F04ED" w:rsidP="00181811"/>
    <w:p w:rsidR="00EA5274" w:rsidRPr="00181811" w:rsidRDefault="00181811" w:rsidP="00181811">
      <w:pPr>
        <w:pStyle w:val="ATAHeading2"/>
        <w:ind w:left="851" w:hanging="851"/>
      </w:pPr>
      <w:bookmarkStart w:id="54" w:name="_Toc339020958"/>
      <w:r w:rsidRPr="00181811">
        <w:t>National consistency</w:t>
      </w:r>
      <w:bookmarkEnd w:id="54"/>
      <w:r w:rsidRPr="00181811">
        <w:t xml:space="preserve"> </w:t>
      </w:r>
    </w:p>
    <w:p w:rsidR="00BD49FC" w:rsidRPr="0053236A" w:rsidRDefault="00BD49FC" w:rsidP="00BD49FC">
      <w:pPr>
        <w:pStyle w:val="BodyText2"/>
        <w:spacing w:line="269" w:lineRule="auto"/>
        <w:rPr>
          <w:b w:val="0"/>
          <w:sz w:val="20"/>
        </w:rPr>
      </w:pPr>
    </w:p>
    <w:p w:rsidR="005839CE" w:rsidRDefault="003E24E0" w:rsidP="00181811">
      <w:pPr>
        <w:pStyle w:val="BodyText2"/>
        <w:spacing w:line="269" w:lineRule="auto"/>
        <w:rPr>
          <w:rFonts w:eastAsia="Calibri"/>
          <w:b w:val="0"/>
          <w:bCs w:val="0"/>
          <w:sz w:val="20"/>
        </w:rPr>
      </w:pPr>
      <w:bookmarkStart w:id="55" w:name="_Toc328472443"/>
      <w:bookmarkStart w:id="56" w:name="_Toc328472613"/>
      <w:bookmarkStart w:id="57" w:name="_Toc330200030"/>
      <w:bookmarkStart w:id="58" w:name="_Toc330204905"/>
      <w:bookmarkStart w:id="59" w:name="_Toc333405730"/>
      <w:bookmarkStart w:id="60" w:name="_Toc334102286"/>
      <w:bookmarkStart w:id="61" w:name="_Toc334102594"/>
      <w:bookmarkEnd w:id="55"/>
      <w:bookmarkEnd w:id="56"/>
      <w:bookmarkEnd w:id="57"/>
      <w:bookmarkEnd w:id="58"/>
      <w:bookmarkEnd w:id="59"/>
      <w:bookmarkEnd w:id="60"/>
      <w:bookmarkEnd w:id="61"/>
      <w:r w:rsidRPr="008A065A">
        <w:rPr>
          <w:rFonts w:eastAsia="Calibri"/>
          <w:b w:val="0"/>
          <w:bCs w:val="0"/>
          <w:sz w:val="20"/>
        </w:rPr>
        <w:t xml:space="preserve">It is important that NSW continues to play a role in national issues for the heavy vehicle industry, including the National Heavy Vehicle Regulator, current national charges and the Heavy Vehicle Charging and Investment </w:t>
      </w:r>
      <w:r w:rsidR="00FD50F0">
        <w:rPr>
          <w:rFonts w:eastAsia="Calibri"/>
          <w:b w:val="0"/>
          <w:bCs w:val="0"/>
          <w:sz w:val="20"/>
        </w:rPr>
        <w:t>reform plan</w:t>
      </w:r>
      <w:r w:rsidRPr="008A065A">
        <w:rPr>
          <w:rFonts w:eastAsia="Calibri"/>
          <w:b w:val="0"/>
          <w:bCs w:val="0"/>
          <w:sz w:val="20"/>
        </w:rPr>
        <w:t xml:space="preserve">. </w:t>
      </w:r>
      <w:r w:rsidR="0044423C">
        <w:rPr>
          <w:rFonts w:eastAsia="Calibri"/>
          <w:b w:val="0"/>
          <w:bCs w:val="0"/>
          <w:sz w:val="20"/>
        </w:rPr>
        <w:t xml:space="preserve">However, states should be able to compete competitively on a national level, and providing good foundations for investment and business in NSW should be a priority for NSW. </w:t>
      </w:r>
    </w:p>
    <w:p w:rsidR="00181811" w:rsidRPr="005839CE" w:rsidRDefault="005839CE" w:rsidP="005839CE">
      <w:pPr>
        <w:rPr>
          <w:rFonts w:ascii="Arial" w:hAnsi="Arial" w:cs="Arial"/>
          <w:sz w:val="20"/>
          <w:szCs w:val="20"/>
        </w:rPr>
      </w:pPr>
      <w:r>
        <w:rPr>
          <w:b/>
          <w:bCs/>
          <w:sz w:val="20"/>
        </w:rPr>
        <w:br w:type="page"/>
      </w:r>
    </w:p>
    <w:p w:rsidR="00181811" w:rsidRDefault="00181811" w:rsidP="00181811">
      <w:pPr>
        <w:pStyle w:val="RecommendationStyle"/>
        <w:numPr>
          <w:ilvl w:val="0"/>
          <w:numId w:val="3"/>
        </w:numPr>
        <w:tabs>
          <w:tab w:val="clear" w:pos="1192"/>
        </w:tabs>
        <w:rPr>
          <w:color w:val="000000" w:themeColor="text1"/>
        </w:rPr>
      </w:pPr>
      <w:bookmarkStart w:id="62" w:name="_Toc338855079"/>
      <w:bookmarkStart w:id="63" w:name="_Toc338855112"/>
      <w:bookmarkStart w:id="64" w:name="_Toc338857670"/>
      <w:bookmarkStart w:id="65" w:name="_Toc338917941"/>
      <w:bookmarkStart w:id="66" w:name="_Toc338927199"/>
      <w:bookmarkStart w:id="67" w:name="_Toc339007854"/>
      <w:bookmarkEnd w:id="62"/>
      <w:bookmarkEnd w:id="63"/>
      <w:bookmarkEnd w:id="64"/>
      <w:bookmarkEnd w:id="65"/>
      <w:bookmarkEnd w:id="66"/>
      <w:bookmarkEnd w:id="67"/>
    </w:p>
    <w:p w:rsidR="00C414E8" w:rsidRPr="00DA19C7" w:rsidRDefault="00181811" w:rsidP="00DA19C7">
      <w:pPr>
        <w:pStyle w:val="RecommendationStyle"/>
        <w:numPr>
          <w:ilvl w:val="0"/>
          <w:numId w:val="0"/>
        </w:numPr>
        <w:rPr>
          <w:color w:val="000000" w:themeColor="text1"/>
        </w:rPr>
      </w:pPr>
      <w:bookmarkStart w:id="68" w:name="_Toc338855080"/>
      <w:bookmarkStart w:id="69" w:name="_Toc338855113"/>
      <w:bookmarkStart w:id="70" w:name="_Toc338857671"/>
      <w:bookmarkStart w:id="71" w:name="_Toc338917942"/>
      <w:bookmarkStart w:id="72" w:name="_Toc338927200"/>
      <w:bookmarkStart w:id="73" w:name="_Toc339007855"/>
      <w:r>
        <w:rPr>
          <w:color w:val="000000" w:themeColor="text1"/>
        </w:rPr>
        <w:t>ATA recommends Transport NSW continues to be involved with national issues for the heavy vehicle industry such as NHVR and HVCI</w:t>
      </w:r>
      <w:bookmarkEnd w:id="68"/>
      <w:bookmarkEnd w:id="69"/>
      <w:r w:rsidR="003E24E0">
        <w:rPr>
          <w:color w:val="000000" w:themeColor="text1"/>
        </w:rPr>
        <w:t>.</w:t>
      </w:r>
      <w:bookmarkEnd w:id="70"/>
      <w:r w:rsidR="00C37044">
        <w:rPr>
          <w:color w:val="000000" w:themeColor="text1"/>
        </w:rPr>
        <w:t xml:space="preserve"> However, they need to act in the interest of </w:t>
      </w:r>
      <w:r w:rsidR="000A556B">
        <w:rPr>
          <w:color w:val="000000" w:themeColor="text1"/>
        </w:rPr>
        <w:t xml:space="preserve">the </w:t>
      </w:r>
      <w:r w:rsidR="00C37044">
        <w:rPr>
          <w:color w:val="000000" w:themeColor="text1"/>
        </w:rPr>
        <w:t>NSW community</w:t>
      </w:r>
      <w:r w:rsidR="0044423C">
        <w:rPr>
          <w:color w:val="000000" w:themeColor="text1"/>
        </w:rPr>
        <w:t>,</w:t>
      </w:r>
      <w:r w:rsidR="00C37044">
        <w:rPr>
          <w:color w:val="000000" w:themeColor="text1"/>
        </w:rPr>
        <w:t xml:space="preserve"> including the business community that generates wealth.</w:t>
      </w:r>
      <w:bookmarkEnd w:id="71"/>
      <w:bookmarkEnd w:id="72"/>
      <w:bookmarkEnd w:id="73"/>
      <w:r w:rsidR="00C37044">
        <w:rPr>
          <w:color w:val="000000" w:themeColor="text1"/>
        </w:rPr>
        <w:t xml:space="preserve"> </w:t>
      </w:r>
    </w:p>
    <w:sectPr w:rsidR="00C414E8" w:rsidRPr="00DA19C7" w:rsidSect="00A9141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121" w:rsidRDefault="00430121" w:rsidP="000F3D9F">
      <w:r>
        <w:separator/>
      </w:r>
    </w:p>
  </w:endnote>
  <w:endnote w:type="continuationSeparator" w:id="0">
    <w:p w:rsidR="00430121" w:rsidRDefault="00430121"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C1" w:rsidRDefault="006A79C1"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6A79C1" w:rsidRPr="00E8056B" w:rsidRDefault="006A79C1" w:rsidP="00E8056B">
    <w:pPr>
      <w:jc w:val="right"/>
      <w:rPr>
        <w:rFonts w:ascii="Arial" w:hAnsi="Arial" w:cs="Arial"/>
        <w:sz w:val="16"/>
        <w:szCs w:val="16"/>
      </w:rPr>
    </w:pPr>
  </w:p>
  <w:p w:rsidR="006A79C1" w:rsidRPr="00E8056B" w:rsidRDefault="006A79C1"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6A79C1" w:rsidRPr="00E8056B" w:rsidRDefault="006A79C1"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C1" w:rsidRDefault="001905BC">
    <w:pPr>
      <w:pStyle w:val="Footer"/>
      <w:jc w:val="right"/>
    </w:pPr>
    <w:fldSimple w:instr=" PAGE   \* MERGEFORMAT ">
      <w:r w:rsidR="006A79C1">
        <w:rPr>
          <w:noProof/>
        </w:rPr>
        <w:t>7</w:t>
      </w:r>
    </w:fldSimple>
  </w:p>
  <w:p w:rsidR="006A79C1" w:rsidRDefault="006A79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C1" w:rsidRDefault="006A79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6A79C1" w:rsidRPr="00A91411" w:rsidTr="00D735FF">
      <w:trPr>
        <w:trHeight w:val="278"/>
      </w:trPr>
      <w:tc>
        <w:tcPr>
          <w:tcW w:w="4927" w:type="dxa"/>
          <w:vAlign w:val="center"/>
        </w:tcPr>
        <w:p w:rsidR="006A79C1" w:rsidRPr="00A91411" w:rsidRDefault="006A79C1" w:rsidP="00DB17ED">
          <w:pPr>
            <w:pStyle w:val="Footer"/>
            <w:rPr>
              <w:rFonts w:ascii="Arial" w:hAnsi="Arial" w:cs="Arial"/>
              <w:sz w:val="14"/>
              <w:szCs w:val="14"/>
            </w:rPr>
          </w:pPr>
          <w:r>
            <w:rPr>
              <w:rFonts w:ascii="Arial" w:hAnsi="Arial" w:cs="Arial"/>
              <w:sz w:val="14"/>
              <w:szCs w:val="14"/>
            </w:rPr>
            <w:t xml:space="preserve">ATA Submission: </w:t>
          </w:r>
          <w:r w:rsidRPr="00FC7CF5">
            <w:rPr>
              <w:rFonts w:ascii="Arial" w:hAnsi="Arial" w:cs="Arial"/>
              <w:sz w:val="14"/>
              <w:szCs w:val="14"/>
            </w:rPr>
            <w:t>Draft NSW Long Term Transport Master Plan</w:t>
          </w:r>
        </w:p>
      </w:tc>
      <w:tc>
        <w:tcPr>
          <w:tcW w:w="4927" w:type="dxa"/>
          <w:vAlign w:val="center"/>
        </w:tcPr>
        <w:p w:rsidR="006A79C1" w:rsidRPr="00A91411" w:rsidRDefault="006A79C1" w:rsidP="00D735FF">
          <w:pPr>
            <w:pStyle w:val="Footer"/>
            <w:jc w:val="right"/>
            <w:rPr>
              <w:rFonts w:ascii="Arial" w:hAnsi="Arial" w:cs="Arial"/>
              <w:sz w:val="14"/>
              <w:szCs w:val="14"/>
            </w:rPr>
          </w:pPr>
          <w:r w:rsidRPr="00A91411">
            <w:rPr>
              <w:rFonts w:ascii="Arial" w:hAnsi="Arial" w:cs="Arial"/>
              <w:sz w:val="14"/>
              <w:szCs w:val="14"/>
            </w:rPr>
            <w:t xml:space="preserve">Page </w:t>
          </w:r>
          <w:r w:rsidR="001905BC"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1905BC" w:rsidRPr="00A91411">
            <w:rPr>
              <w:rFonts w:ascii="Arial" w:hAnsi="Arial" w:cs="Arial"/>
              <w:sz w:val="14"/>
              <w:szCs w:val="14"/>
            </w:rPr>
            <w:fldChar w:fldCharType="separate"/>
          </w:r>
          <w:r w:rsidR="005839CE">
            <w:rPr>
              <w:rFonts w:ascii="Arial" w:hAnsi="Arial" w:cs="Arial"/>
              <w:noProof/>
              <w:sz w:val="14"/>
              <w:szCs w:val="14"/>
            </w:rPr>
            <w:t>6</w:t>
          </w:r>
          <w:r w:rsidR="001905BC" w:rsidRPr="00A91411">
            <w:rPr>
              <w:rFonts w:ascii="Arial" w:hAnsi="Arial" w:cs="Arial"/>
              <w:sz w:val="14"/>
              <w:szCs w:val="14"/>
            </w:rPr>
            <w:fldChar w:fldCharType="end"/>
          </w:r>
        </w:p>
      </w:tc>
    </w:tr>
  </w:tbl>
  <w:p w:rsidR="006A79C1" w:rsidRPr="00A91411" w:rsidRDefault="006A79C1">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C1" w:rsidRDefault="006A7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121" w:rsidRDefault="00430121" w:rsidP="000F3D9F">
      <w:r>
        <w:separator/>
      </w:r>
    </w:p>
  </w:footnote>
  <w:footnote w:type="continuationSeparator" w:id="0">
    <w:p w:rsidR="00430121" w:rsidRDefault="00430121" w:rsidP="000F3D9F">
      <w:r>
        <w:continuationSeparator/>
      </w:r>
    </w:p>
  </w:footnote>
  <w:footnote w:id="1">
    <w:p w:rsidR="0044423C" w:rsidRDefault="0044423C">
      <w:pPr>
        <w:pStyle w:val="FootnoteText"/>
      </w:pPr>
      <w:r>
        <w:rPr>
          <w:rStyle w:val="FootnoteReference"/>
        </w:rPr>
        <w:footnoteRef/>
      </w:r>
      <w:r>
        <w:t xml:space="preserve"> </w:t>
      </w:r>
      <w:hyperlink r:id="rId1" w:history="1">
        <w:r w:rsidRPr="00D754D8">
          <w:rPr>
            <w:rStyle w:val="Hyperlink"/>
          </w:rPr>
          <w:t>http://www.trucksafe.com.au/</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C1" w:rsidRPr="00E8056B" w:rsidRDefault="006A79C1"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6A79C1" w:rsidRDefault="006A79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C1" w:rsidRDefault="006A79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C1" w:rsidRPr="0019542E" w:rsidRDefault="006A79C1"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C1" w:rsidRDefault="006A7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4E0"/>
    <w:multiLevelType w:val="hybridMultilevel"/>
    <w:tmpl w:val="9CCCE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E44CA"/>
    <w:multiLevelType w:val="hybridMultilevel"/>
    <w:tmpl w:val="9AC6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4D226110"/>
    <w:multiLevelType w:val="hybridMultilevel"/>
    <w:tmpl w:val="C5A25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6E39EB2B"/>
    <w:multiLevelType w:val="hybridMultilevel"/>
    <w:tmpl w:val="8F06717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1FF1A85"/>
    <w:multiLevelType w:val="hybridMultilevel"/>
    <w:tmpl w:val="074E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0"/>
  </w:num>
  <w:num w:numId="5">
    <w:abstractNumId w:val="2"/>
  </w:num>
  <w:num w:numId="6">
    <w:abstractNumId w:val="6"/>
  </w:num>
  <w:num w:numId="7">
    <w:abstractNumId w:val="5"/>
  </w:num>
  <w:num w:numId="8">
    <w:abstractNumId w:val="1"/>
  </w:num>
  <w:num w:numId="9">
    <w:abstractNumId w:val="3"/>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2"/>
  </w:num>
  <w:num w:numId="24">
    <w:abstractNumId w:val="4"/>
  </w:num>
  <w:num w:numId="25">
    <w:abstractNumId w:val="4"/>
  </w:num>
  <w:num w:numId="26">
    <w:abstractNumId w:val="4"/>
  </w:num>
  <w:num w:numId="27">
    <w:abstractNumId w:val="4"/>
  </w:num>
  <w:num w:numId="28">
    <w:abstractNumId w:val="4"/>
  </w:num>
  <w:num w:numId="29">
    <w:abstractNumId w:val="4"/>
  </w:num>
  <w:num w:numId="30">
    <w:abstractNumId w:val="2"/>
  </w:num>
  <w:num w:numId="31">
    <w:abstractNumId w:val="2"/>
  </w:num>
  <w:num w:numId="32">
    <w:abstractNumId w:val="2"/>
  </w:num>
  <w:num w:numId="3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2278E9"/>
    <w:rsid w:val="0000052A"/>
    <w:rsid w:val="00001E4D"/>
    <w:rsid w:val="00005E0D"/>
    <w:rsid w:val="00006C53"/>
    <w:rsid w:val="00007CA7"/>
    <w:rsid w:val="000156D1"/>
    <w:rsid w:val="0001639C"/>
    <w:rsid w:val="000169A5"/>
    <w:rsid w:val="00017F64"/>
    <w:rsid w:val="00020B9C"/>
    <w:rsid w:val="00021886"/>
    <w:rsid w:val="00027E86"/>
    <w:rsid w:val="00035CFC"/>
    <w:rsid w:val="0004081E"/>
    <w:rsid w:val="00040876"/>
    <w:rsid w:val="000429A6"/>
    <w:rsid w:val="000447B1"/>
    <w:rsid w:val="000505CE"/>
    <w:rsid w:val="000508FA"/>
    <w:rsid w:val="00052E9C"/>
    <w:rsid w:val="00056113"/>
    <w:rsid w:val="000606F0"/>
    <w:rsid w:val="0006283B"/>
    <w:rsid w:val="00063D15"/>
    <w:rsid w:val="00067472"/>
    <w:rsid w:val="00067698"/>
    <w:rsid w:val="00070737"/>
    <w:rsid w:val="0007542B"/>
    <w:rsid w:val="00075E7B"/>
    <w:rsid w:val="00077364"/>
    <w:rsid w:val="00083C15"/>
    <w:rsid w:val="000848A1"/>
    <w:rsid w:val="00087208"/>
    <w:rsid w:val="00091EB9"/>
    <w:rsid w:val="00093679"/>
    <w:rsid w:val="00094FE3"/>
    <w:rsid w:val="00095A59"/>
    <w:rsid w:val="00095C3B"/>
    <w:rsid w:val="000976B9"/>
    <w:rsid w:val="000A2163"/>
    <w:rsid w:val="000A2BCF"/>
    <w:rsid w:val="000A4EB0"/>
    <w:rsid w:val="000A556B"/>
    <w:rsid w:val="000A5FAB"/>
    <w:rsid w:val="000A6499"/>
    <w:rsid w:val="000B0410"/>
    <w:rsid w:val="000B069A"/>
    <w:rsid w:val="000B1819"/>
    <w:rsid w:val="000B496C"/>
    <w:rsid w:val="000C0C35"/>
    <w:rsid w:val="000C3ED2"/>
    <w:rsid w:val="000C7BBC"/>
    <w:rsid w:val="000D26DA"/>
    <w:rsid w:val="000D28FF"/>
    <w:rsid w:val="000D7CD4"/>
    <w:rsid w:val="000E7B14"/>
    <w:rsid w:val="000F0F7B"/>
    <w:rsid w:val="000F3D9F"/>
    <w:rsid w:val="000F53C2"/>
    <w:rsid w:val="000F566E"/>
    <w:rsid w:val="000F7F6F"/>
    <w:rsid w:val="00103E24"/>
    <w:rsid w:val="001051CB"/>
    <w:rsid w:val="00110610"/>
    <w:rsid w:val="00110A53"/>
    <w:rsid w:val="00114FC5"/>
    <w:rsid w:val="00121A53"/>
    <w:rsid w:val="00125023"/>
    <w:rsid w:val="0013041A"/>
    <w:rsid w:val="001320D5"/>
    <w:rsid w:val="001360D7"/>
    <w:rsid w:val="001368EB"/>
    <w:rsid w:val="00141274"/>
    <w:rsid w:val="00141395"/>
    <w:rsid w:val="0014300C"/>
    <w:rsid w:val="0014683D"/>
    <w:rsid w:val="00150065"/>
    <w:rsid w:val="00152A71"/>
    <w:rsid w:val="001533F1"/>
    <w:rsid w:val="001552BC"/>
    <w:rsid w:val="00160FE3"/>
    <w:rsid w:val="001611AB"/>
    <w:rsid w:val="00166CBD"/>
    <w:rsid w:val="00176C09"/>
    <w:rsid w:val="001807A8"/>
    <w:rsid w:val="001811B8"/>
    <w:rsid w:val="00181811"/>
    <w:rsid w:val="001846D4"/>
    <w:rsid w:val="001905BC"/>
    <w:rsid w:val="0019542E"/>
    <w:rsid w:val="00197B9E"/>
    <w:rsid w:val="001A0DC3"/>
    <w:rsid w:val="001A0DEF"/>
    <w:rsid w:val="001A6510"/>
    <w:rsid w:val="001B0529"/>
    <w:rsid w:val="001B0E57"/>
    <w:rsid w:val="001B1615"/>
    <w:rsid w:val="001B2CD7"/>
    <w:rsid w:val="001B3675"/>
    <w:rsid w:val="001B3E52"/>
    <w:rsid w:val="001C0C68"/>
    <w:rsid w:val="001C125D"/>
    <w:rsid w:val="001C2D59"/>
    <w:rsid w:val="001C3659"/>
    <w:rsid w:val="001D2D61"/>
    <w:rsid w:val="001D50C7"/>
    <w:rsid w:val="001D77A8"/>
    <w:rsid w:val="001D7817"/>
    <w:rsid w:val="001E0A75"/>
    <w:rsid w:val="001E474C"/>
    <w:rsid w:val="001E5C29"/>
    <w:rsid w:val="001F1455"/>
    <w:rsid w:val="001F187C"/>
    <w:rsid w:val="002041FF"/>
    <w:rsid w:val="00210088"/>
    <w:rsid w:val="0021270C"/>
    <w:rsid w:val="0021283E"/>
    <w:rsid w:val="002137D3"/>
    <w:rsid w:val="00216CE6"/>
    <w:rsid w:val="002278E9"/>
    <w:rsid w:val="0022794C"/>
    <w:rsid w:val="00230DFC"/>
    <w:rsid w:val="002333DB"/>
    <w:rsid w:val="00234745"/>
    <w:rsid w:val="00237081"/>
    <w:rsid w:val="00241C15"/>
    <w:rsid w:val="00243731"/>
    <w:rsid w:val="00250025"/>
    <w:rsid w:val="00252AA9"/>
    <w:rsid w:val="002542D1"/>
    <w:rsid w:val="00254301"/>
    <w:rsid w:val="002543DF"/>
    <w:rsid w:val="00255617"/>
    <w:rsid w:val="00257D05"/>
    <w:rsid w:val="00262C0A"/>
    <w:rsid w:val="002647C3"/>
    <w:rsid w:val="00264D5E"/>
    <w:rsid w:val="00266881"/>
    <w:rsid w:val="00266915"/>
    <w:rsid w:val="002714B5"/>
    <w:rsid w:val="00277981"/>
    <w:rsid w:val="0028399D"/>
    <w:rsid w:val="00291C6F"/>
    <w:rsid w:val="0029355B"/>
    <w:rsid w:val="002938B5"/>
    <w:rsid w:val="002953AA"/>
    <w:rsid w:val="00295501"/>
    <w:rsid w:val="00296633"/>
    <w:rsid w:val="00296A47"/>
    <w:rsid w:val="00297882"/>
    <w:rsid w:val="002A061F"/>
    <w:rsid w:val="002A3F63"/>
    <w:rsid w:val="002A4859"/>
    <w:rsid w:val="002A4F45"/>
    <w:rsid w:val="002A5C2E"/>
    <w:rsid w:val="002B0F48"/>
    <w:rsid w:val="002B172B"/>
    <w:rsid w:val="002B3668"/>
    <w:rsid w:val="002B381D"/>
    <w:rsid w:val="002C015C"/>
    <w:rsid w:val="002C1799"/>
    <w:rsid w:val="002C2485"/>
    <w:rsid w:val="002C51E3"/>
    <w:rsid w:val="002D592D"/>
    <w:rsid w:val="002E226D"/>
    <w:rsid w:val="002E453E"/>
    <w:rsid w:val="002E5D82"/>
    <w:rsid w:val="002E6075"/>
    <w:rsid w:val="002E7897"/>
    <w:rsid w:val="002E7F28"/>
    <w:rsid w:val="002F2F65"/>
    <w:rsid w:val="002F5A71"/>
    <w:rsid w:val="002F632C"/>
    <w:rsid w:val="00302E87"/>
    <w:rsid w:val="00304B46"/>
    <w:rsid w:val="003054ED"/>
    <w:rsid w:val="00306FBF"/>
    <w:rsid w:val="00315333"/>
    <w:rsid w:val="00320AFE"/>
    <w:rsid w:val="003218F1"/>
    <w:rsid w:val="00321A43"/>
    <w:rsid w:val="00321D2D"/>
    <w:rsid w:val="0032308F"/>
    <w:rsid w:val="00323325"/>
    <w:rsid w:val="00325A6C"/>
    <w:rsid w:val="00330F29"/>
    <w:rsid w:val="00336760"/>
    <w:rsid w:val="00342826"/>
    <w:rsid w:val="00347DA7"/>
    <w:rsid w:val="00350890"/>
    <w:rsid w:val="003533CA"/>
    <w:rsid w:val="00354394"/>
    <w:rsid w:val="0035493A"/>
    <w:rsid w:val="003561DE"/>
    <w:rsid w:val="00360759"/>
    <w:rsid w:val="00372137"/>
    <w:rsid w:val="00380998"/>
    <w:rsid w:val="00384772"/>
    <w:rsid w:val="00385F00"/>
    <w:rsid w:val="0039063B"/>
    <w:rsid w:val="00390696"/>
    <w:rsid w:val="003911E4"/>
    <w:rsid w:val="00396A7F"/>
    <w:rsid w:val="003A4520"/>
    <w:rsid w:val="003B1937"/>
    <w:rsid w:val="003B56E7"/>
    <w:rsid w:val="003B74E4"/>
    <w:rsid w:val="003B7C68"/>
    <w:rsid w:val="003C2311"/>
    <w:rsid w:val="003C42D2"/>
    <w:rsid w:val="003C4664"/>
    <w:rsid w:val="003C6E58"/>
    <w:rsid w:val="003D0AC3"/>
    <w:rsid w:val="003D4E28"/>
    <w:rsid w:val="003D6F49"/>
    <w:rsid w:val="003E24E0"/>
    <w:rsid w:val="003E2B20"/>
    <w:rsid w:val="003E7053"/>
    <w:rsid w:val="003F6CA9"/>
    <w:rsid w:val="004008C7"/>
    <w:rsid w:val="00403823"/>
    <w:rsid w:val="00404392"/>
    <w:rsid w:val="00404731"/>
    <w:rsid w:val="004053D4"/>
    <w:rsid w:val="00407EF2"/>
    <w:rsid w:val="004115B6"/>
    <w:rsid w:val="00411877"/>
    <w:rsid w:val="004130C2"/>
    <w:rsid w:val="00413868"/>
    <w:rsid w:val="00415126"/>
    <w:rsid w:val="0042052C"/>
    <w:rsid w:val="00420F75"/>
    <w:rsid w:val="004212BB"/>
    <w:rsid w:val="00421306"/>
    <w:rsid w:val="00422BB7"/>
    <w:rsid w:val="00423CCC"/>
    <w:rsid w:val="00424D3E"/>
    <w:rsid w:val="0042557B"/>
    <w:rsid w:val="004263BE"/>
    <w:rsid w:val="00430121"/>
    <w:rsid w:val="00432273"/>
    <w:rsid w:val="004353C2"/>
    <w:rsid w:val="00440231"/>
    <w:rsid w:val="004436EB"/>
    <w:rsid w:val="0044423C"/>
    <w:rsid w:val="00445CDC"/>
    <w:rsid w:val="00446E31"/>
    <w:rsid w:val="00450FF8"/>
    <w:rsid w:val="00455514"/>
    <w:rsid w:val="00462423"/>
    <w:rsid w:val="004640D1"/>
    <w:rsid w:val="00466620"/>
    <w:rsid w:val="00473A75"/>
    <w:rsid w:val="00475C39"/>
    <w:rsid w:val="00483F2E"/>
    <w:rsid w:val="00484068"/>
    <w:rsid w:val="004854B9"/>
    <w:rsid w:val="00487F0F"/>
    <w:rsid w:val="004977DE"/>
    <w:rsid w:val="004A2F6F"/>
    <w:rsid w:val="004B0BF5"/>
    <w:rsid w:val="004B26EB"/>
    <w:rsid w:val="004B3EF6"/>
    <w:rsid w:val="004B509F"/>
    <w:rsid w:val="004B5FA9"/>
    <w:rsid w:val="004B6187"/>
    <w:rsid w:val="004C21BB"/>
    <w:rsid w:val="004C3CC3"/>
    <w:rsid w:val="004C6FD6"/>
    <w:rsid w:val="004C7AD5"/>
    <w:rsid w:val="004C7EE3"/>
    <w:rsid w:val="004D6BAD"/>
    <w:rsid w:val="004E1EBB"/>
    <w:rsid w:val="004E5EA3"/>
    <w:rsid w:val="004F112A"/>
    <w:rsid w:val="004F3B07"/>
    <w:rsid w:val="004F500B"/>
    <w:rsid w:val="004F79DA"/>
    <w:rsid w:val="00500635"/>
    <w:rsid w:val="00501270"/>
    <w:rsid w:val="00502292"/>
    <w:rsid w:val="00503808"/>
    <w:rsid w:val="00504707"/>
    <w:rsid w:val="0051088E"/>
    <w:rsid w:val="00510952"/>
    <w:rsid w:val="005223FD"/>
    <w:rsid w:val="00525303"/>
    <w:rsid w:val="0053137B"/>
    <w:rsid w:val="0053194E"/>
    <w:rsid w:val="0053236A"/>
    <w:rsid w:val="00532B38"/>
    <w:rsid w:val="00532BFB"/>
    <w:rsid w:val="00533467"/>
    <w:rsid w:val="0053492E"/>
    <w:rsid w:val="005365E0"/>
    <w:rsid w:val="00542877"/>
    <w:rsid w:val="00543163"/>
    <w:rsid w:val="00545151"/>
    <w:rsid w:val="00545CB8"/>
    <w:rsid w:val="005470D0"/>
    <w:rsid w:val="00550256"/>
    <w:rsid w:val="005551EA"/>
    <w:rsid w:val="0056179B"/>
    <w:rsid w:val="0056479F"/>
    <w:rsid w:val="00564DAA"/>
    <w:rsid w:val="00565F92"/>
    <w:rsid w:val="0057591D"/>
    <w:rsid w:val="00576ED0"/>
    <w:rsid w:val="00576F0D"/>
    <w:rsid w:val="005773CF"/>
    <w:rsid w:val="00580BDF"/>
    <w:rsid w:val="0058247C"/>
    <w:rsid w:val="005839CE"/>
    <w:rsid w:val="005860E5"/>
    <w:rsid w:val="00587C8F"/>
    <w:rsid w:val="00593217"/>
    <w:rsid w:val="005A27BA"/>
    <w:rsid w:val="005A2A86"/>
    <w:rsid w:val="005B0230"/>
    <w:rsid w:val="005B1179"/>
    <w:rsid w:val="005B3729"/>
    <w:rsid w:val="005B4CA8"/>
    <w:rsid w:val="005B68E9"/>
    <w:rsid w:val="005B6EB5"/>
    <w:rsid w:val="005C31A0"/>
    <w:rsid w:val="005C4952"/>
    <w:rsid w:val="005C63F7"/>
    <w:rsid w:val="005D2355"/>
    <w:rsid w:val="005D6CD2"/>
    <w:rsid w:val="005E11FC"/>
    <w:rsid w:val="005E1E15"/>
    <w:rsid w:val="005E20ED"/>
    <w:rsid w:val="005E28FB"/>
    <w:rsid w:val="005E6294"/>
    <w:rsid w:val="005E6D8B"/>
    <w:rsid w:val="005F1009"/>
    <w:rsid w:val="005F21D1"/>
    <w:rsid w:val="005F4FBC"/>
    <w:rsid w:val="005F5ACC"/>
    <w:rsid w:val="005F69CC"/>
    <w:rsid w:val="00600132"/>
    <w:rsid w:val="006007D6"/>
    <w:rsid w:val="00600AC6"/>
    <w:rsid w:val="00601B01"/>
    <w:rsid w:val="00603655"/>
    <w:rsid w:val="006109E9"/>
    <w:rsid w:val="00610CFE"/>
    <w:rsid w:val="006110D1"/>
    <w:rsid w:val="006159AF"/>
    <w:rsid w:val="006244DA"/>
    <w:rsid w:val="00625BAD"/>
    <w:rsid w:val="006278F6"/>
    <w:rsid w:val="00632AA0"/>
    <w:rsid w:val="006331D5"/>
    <w:rsid w:val="0063609C"/>
    <w:rsid w:val="00640DAD"/>
    <w:rsid w:val="00647FBE"/>
    <w:rsid w:val="006509D3"/>
    <w:rsid w:val="00664D33"/>
    <w:rsid w:val="00666A1A"/>
    <w:rsid w:val="00667036"/>
    <w:rsid w:val="0066769B"/>
    <w:rsid w:val="0067773A"/>
    <w:rsid w:val="00683D7C"/>
    <w:rsid w:val="006858FF"/>
    <w:rsid w:val="006859F7"/>
    <w:rsid w:val="00686470"/>
    <w:rsid w:val="0069019B"/>
    <w:rsid w:val="00693363"/>
    <w:rsid w:val="0069483A"/>
    <w:rsid w:val="00694C83"/>
    <w:rsid w:val="006A1612"/>
    <w:rsid w:val="006A208A"/>
    <w:rsid w:val="006A52C4"/>
    <w:rsid w:val="006A556A"/>
    <w:rsid w:val="006A797E"/>
    <w:rsid w:val="006A79C1"/>
    <w:rsid w:val="006B36C8"/>
    <w:rsid w:val="006B558F"/>
    <w:rsid w:val="006C38AD"/>
    <w:rsid w:val="006D4D41"/>
    <w:rsid w:val="006F050F"/>
    <w:rsid w:val="006F0C79"/>
    <w:rsid w:val="006F2893"/>
    <w:rsid w:val="00704823"/>
    <w:rsid w:val="007062D8"/>
    <w:rsid w:val="00714204"/>
    <w:rsid w:val="007162A5"/>
    <w:rsid w:val="0071762D"/>
    <w:rsid w:val="00717BAD"/>
    <w:rsid w:val="0072092D"/>
    <w:rsid w:val="00725BC0"/>
    <w:rsid w:val="00726797"/>
    <w:rsid w:val="0073226D"/>
    <w:rsid w:val="00737149"/>
    <w:rsid w:val="00740005"/>
    <w:rsid w:val="00740DF8"/>
    <w:rsid w:val="00741304"/>
    <w:rsid w:val="007468FB"/>
    <w:rsid w:val="00746BF5"/>
    <w:rsid w:val="007470CF"/>
    <w:rsid w:val="007508AA"/>
    <w:rsid w:val="00753F95"/>
    <w:rsid w:val="0075427A"/>
    <w:rsid w:val="0076023A"/>
    <w:rsid w:val="0076304F"/>
    <w:rsid w:val="00774FE0"/>
    <w:rsid w:val="0077582D"/>
    <w:rsid w:val="007802E1"/>
    <w:rsid w:val="00791216"/>
    <w:rsid w:val="00792CEB"/>
    <w:rsid w:val="007940E8"/>
    <w:rsid w:val="00795047"/>
    <w:rsid w:val="007A673A"/>
    <w:rsid w:val="007A69C1"/>
    <w:rsid w:val="007B11CC"/>
    <w:rsid w:val="007B3B54"/>
    <w:rsid w:val="007B3BE2"/>
    <w:rsid w:val="007B711A"/>
    <w:rsid w:val="007C385B"/>
    <w:rsid w:val="007C3F49"/>
    <w:rsid w:val="007C5AD5"/>
    <w:rsid w:val="007C746E"/>
    <w:rsid w:val="007D608A"/>
    <w:rsid w:val="007E0ABA"/>
    <w:rsid w:val="007E3FCC"/>
    <w:rsid w:val="007E4A58"/>
    <w:rsid w:val="007E7BC6"/>
    <w:rsid w:val="007E7F34"/>
    <w:rsid w:val="007E7F67"/>
    <w:rsid w:val="007F0554"/>
    <w:rsid w:val="007F15BB"/>
    <w:rsid w:val="007F3589"/>
    <w:rsid w:val="007F4404"/>
    <w:rsid w:val="007F44BE"/>
    <w:rsid w:val="007F4C48"/>
    <w:rsid w:val="0080211A"/>
    <w:rsid w:val="00804638"/>
    <w:rsid w:val="00821537"/>
    <w:rsid w:val="00823880"/>
    <w:rsid w:val="00825673"/>
    <w:rsid w:val="00825C08"/>
    <w:rsid w:val="0083058C"/>
    <w:rsid w:val="00831AA7"/>
    <w:rsid w:val="0083292E"/>
    <w:rsid w:val="00832999"/>
    <w:rsid w:val="00836304"/>
    <w:rsid w:val="00840B49"/>
    <w:rsid w:val="00840EBE"/>
    <w:rsid w:val="00846848"/>
    <w:rsid w:val="00847D7A"/>
    <w:rsid w:val="00850D33"/>
    <w:rsid w:val="00852672"/>
    <w:rsid w:val="00852A83"/>
    <w:rsid w:val="00853473"/>
    <w:rsid w:val="00854D3E"/>
    <w:rsid w:val="00861D20"/>
    <w:rsid w:val="00863B20"/>
    <w:rsid w:val="00864052"/>
    <w:rsid w:val="0086739A"/>
    <w:rsid w:val="00871395"/>
    <w:rsid w:val="00872E19"/>
    <w:rsid w:val="00873059"/>
    <w:rsid w:val="00874AAE"/>
    <w:rsid w:val="00875BF1"/>
    <w:rsid w:val="00877FD8"/>
    <w:rsid w:val="008808E3"/>
    <w:rsid w:val="00880C16"/>
    <w:rsid w:val="00881A97"/>
    <w:rsid w:val="00882C09"/>
    <w:rsid w:val="00885151"/>
    <w:rsid w:val="00890346"/>
    <w:rsid w:val="00893728"/>
    <w:rsid w:val="008979D4"/>
    <w:rsid w:val="008A065A"/>
    <w:rsid w:val="008A12C6"/>
    <w:rsid w:val="008A5088"/>
    <w:rsid w:val="008B0EEF"/>
    <w:rsid w:val="008B2A89"/>
    <w:rsid w:val="008B4082"/>
    <w:rsid w:val="008B7312"/>
    <w:rsid w:val="008C09D2"/>
    <w:rsid w:val="008C1818"/>
    <w:rsid w:val="008C21E6"/>
    <w:rsid w:val="008C3592"/>
    <w:rsid w:val="008C38B7"/>
    <w:rsid w:val="008C6E07"/>
    <w:rsid w:val="008D3E3D"/>
    <w:rsid w:val="008D42D4"/>
    <w:rsid w:val="008E0E01"/>
    <w:rsid w:val="008E1721"/>
    <w:rsid w:val="008E3865"/>
    <w:rsid w:val="008E7E11"/>
    <w:rsid w:val="008F04ED"/>
    <w:rsid w:val="008F11A3"/>
    <w:rsid w:val="0090378D"/>
    <w:rsid w:val="00904039"/>
    <w:rsid w:val="00907971"/>
    <w:rsid w:val="00907A05"/>
    <w:rsid w:val="009100A8"/>
    <w:rsid w:val="009132E3"/>
    <w:rsid w:val="0091357C"/>
    <w:rsid w:val="009148AC"/>
    <w:rsid w:val="00914C1D"/>
    <w:rsid w:val="00914E4A"/>
    <w:rsid w:val="00915F3F"/>
    <w:rsid w:val="0091747C"/>
    <w:rsid w:val="00922A9B"/>
    <w:rsid w:val="00923ADD"/>
    <w:rsid w:val="0093306C"/>
    <w:rsid w:val="0093747B"/>
    <w:rsid w:val="00940B60"/>
    <w:rsid w:val="00940D05"/>
    <w:rsid w:val="009433C1"/>
    <w:rsid w:val="00943829"/>
    <w:rsid w:val="00945A6D"/>
    <w:rsid w:val="00946E17"/>
    <w:rsid w:val="00947278"/>
    <w:rsid w:val="009539FA"/>
    <w:rsid w:val="00960FE0"/>
    <w:rsid w:val="00961FC2"/>
    <w:rsid w:val="00967D23"/>
    <w:rsid w:val="009802CB"/>
    <w:rsid w:val="0098465E"/>
    <w:rsid w:val="00985D31"/>
    <w:rsid w:val="00986804"/>
    <w:rsid w:val="00993BAE"/>
    <w:rsid w:val="00993E39"/>
    <w:rsid w:val="0099546D"/>
    <w:rsid w:val="00997EED"/>
    <w:rsid w:val="009A3853"/>
    <w:rsid w:val="009B0520"/>
    <w:rsid w:val="009B4220"/>
    <w:rsid w:val="009B5742"/>
    <w:rsid w:val="009C3182"/>
    <w:rsid w:val="009C34F3"/>
    <w:rsid w:val="009C5B87"/>
    <w:rsid w:val="009D2F28"/>
    <w:rsid w:val="009D3731"/>
    <w:rsid w:val="009D38A1"/>
    <w:rsid w:val="009E3C08"/>
    <w:rsid w:val="009E7393"/>
    <w:rsid w:val="009E77F2"/>
    <w:rsid w:val="009F23BD"/>
    <w:rsid w:val="00A0156A"/>
    <w:rsid w:val="00A023EA"/>
    <w:rsid w:val="00A047CA"/>
    <w:rsid w:val="00A109D4"/>
    <w:rsid w:val="00A12D70"/>
    <w:rsid w:val="00A1430A"/>
    <w:rsid w:val="00A2215A"/>
    <w:rsid w:val="00A23059"/>
    <w:rsid w:val="00A2623B"/>
    <w:rsid w:val="00A26814"/>
    <w:rsid w:val="00A300E2"/>
    <w:rsid w:val="00A34447"/>
    <w:rsid w:val="00A34465"/>
    <w:rsid w:val="00A35D7E"/>
    <w:rsid w:val="00A37A93"/>
    <w:rsid w:val="00A40847"/>
    <w:rsid w:val="00A444A6"/>
    <w:rsid w:val="00A44995"/>
    <w:rsid w:val="00A45C33"/>
    <w:rsid w:val="00A466B6"/>
    <w:rsid w:val="00A5128C"/>
    <w:rsid w:val="00A57D2F"/>
    <w:rsid w:val="00A57DBC"/>
    <w:rsid w:val="00A674D0"/>
    <w:rsid w:val="00A7032F"/>
    <w:rsid w:val="00A71BAA"/>
    <w:rsid w:val="00A768B6"/>
    <w:rsid w:val="00A87317"/>
    <w:rsid w:val="00A91411"/>
    <w:rsid w:val="00A931E9"/>
    <w:rsid w:val="00A94647"/>
    <w:rsid w:val="00A96C7C"/>
    <w:rsid w:val="00A97C9C"/>
    <w:rsid w:val="00AA0C5A"/>
    <w:rsid w:val="00AA2D57"/>
    <w:rsid w:val="00AA44E0"/>
    <w:rsid w:val="00AA5D5F"/>
    <w:rsid w:val="00AA7670"/>
    <w:rsid w:val="00AB3269"/>
    <w:rsid w:val="00AB3C78"/>
    <w:rsid w:val="00AB3E66"/>
    <w:rsid w:val="00AB6D11"/>
    <w:rsid w:val="00AC0045"/>
    <w:rsid w:val="00AC4A34"/>
    <w:rsid w:val="00AC5296"/>
    <w:rsid w:val="00AC5B44"/>
    <w:rsid w:val="00AD29E4"/>
    <w:rsid w:val="00AD51CE"/>
    <w:rsid w:val="00AD6FA9"/>
    <w:rsid w:val="00AD7650"/>
    <w:rsid w:val="00AE1BC2"/>
    <w:rsid w:val="00AE2DD6"/>
    <w:rsid w:val="00AE4A80"/>
    <w:rsid w:val="00AE7959"/>
    <w:rsid w:val="00AF2921"/>
    <w:rsid w:val="00AF440E"/>
    <w:rsid w:val="00B01A6B"/>
    <w:rsid w:val="00B030B3"/>
    <w:rsid w:val="00B05F83"/>
    <w:rsid w:val="00B064C6"/>
    <w:rsid w:val="00B115A2"/>
    <w:rsid w:val="00B13AC3"/>
    <w:rsid w:val="00B13B6B"/>
    <w:rsid w:val="00B15CA5"/>
    <w:rsid w:val="00B210F4"/>
    <w:rsid w:val="00B21270"/>
    <w:rsid w:val="00B31461"/>
    <w:rsid w:val="00B31649"/>
    <w:rsid w:val="00B40005"/>
    <w:rsid w:val="00B43A28"/>
    <w:rsid w:val="00B43E2A"/>
    <w:rsid w:val="00B440EB"/>
    <w:rsid w:val="00B53589"/>
    <w:rsid w:val="00B56443"/>
    <w:rsid w:val="00B57F53"/>
    <w:rsid w:val="00B636DC"/>
    <w:rsid w:val="00B639E5"/>
    <w:rsid w:val="00B818D7"/>
    <w:rsid w:val="00B85678"/>
    <w:rsid w:val="00B867DD"/>
    <w:rsid w:val="00B86C14"/>
    <w:rsid w:val="00B90EA0"/>
    <w:rsid w:val="00B91BAA"/>
    <w:rsid w:val="00B92C39"/>
    <w:rsid w:val="00B9320E"/>
    <w:rsid w:val="00B93F58"/>
    <w:rsid w:val="00B952B5"/>
    <w:rsid w:val="00BA0CE8"/>
    <w:rsid w:val="00BA19BE"/>
    <w:rsid w:val="00BA1F1D"/>
    <w:rsid w:val="00BA2A76"/>
    <w:rsid w:val="00BA374F"/>
    <w:rsid w:val="00BB3537"/>
    <w:rsid w:val="00BB48FA"/>
    <w:rsid w:val="00BB5312"/>
    <w:rsid w:val="00BC1B68"/>
    <w:rsid w:val="00BC5ACA"/>
    <w:rsid w:val="00BC5ECE"/>
    <w:rsid w:val="00BD0BA3"/>
    <w:rsid w:val="00BD49FC"/>
    <w:rsid w:val="00BE0BD4"/>
    <w:rsid w:val="00BE391B"/>
    <w:rsid w:val="00BE46AC"/>
    <w:rsid w:val="00BE639D"/>
    <w:rsid w:val="00BF2696"/>
    <w:rsid w:val="00BF33B0"/>
    <w:rsid w:val="00BF59B2"/>
    <w:rsid w:val="00C00DC1"/>
    <w:rsid w:val="00C061E3"/>
    <w:rsid w:val="00C06240"/>
    <w:rsid w:val="00C119C2"/>
    <w:rsid w:val="00C14413"/>
    <w:rsid w:val="00C14967"/>
    <w:rsid w:val="00C14B25"/>
    <w:rsid w:val="00C1627A"/>
    <w:rsid w:val="00C1777A"/>
    <w:rsid w:val="00C24C12"/>
    <w:rsid w:val="00C26E47"/>
    <w:rsid w:val="00C3083F"/>
    <w:rsid w:val="00C31B7A"/>
    <w:rsid w:val="00C32E9F"/>
    <w:rsid w:val="00C33404"/>
    <w:rsid w:val="00C34E14"/>
    <w:rsid w:val="00C364D6"/>
    <w:rsid w:val="00C37044"/>
    <w:rsid w:val="00C414E8"/>
    <w:rsid w:val="00C42CE4"/>
    <w:rsid w:val="00C51A84"/>
    <w:rsid w:val="00C531DC"/>
    <w:rsid w:val="00C532F8"/>
    <w:rsid w:val="00C533FE"/>
    <w:rsid w:val="00C54162"/>
    <w:rsid w:val="00C61020"/>
    <w:rsid w:val="00C62631"/>
    <w:rsid w:val="00C65241"/>
    <w:rsid w:val="00C655C4"/>
    <w:rsid w:val="00C66CB0"/>
    <w:rsid w:val="00C676E5"/>
    <w:rsid w:val="00C7661F"/>
    <w:rsid w:val="00C8621A"/>
    <w:rsid w:val="00C926AD"/>
    <w:rsid w:val="00CA04DC"/>
    <w:rsid w:val="00CA0ADF"/>
    <w:rsid w:val="00CA5938"/>
    <w:rsid w:val="00CB0D56"/>
    <w:rsid w:val="00CB3DBD"/>
    <w:rsid w:val="00CB7123"/>
    <w:rsid w:val="00CB7F0D"/>
    <w:rsid w:val="00CC1DF7"/>
    <w:rsid w:val="00CC28C6"/>
    <w:rsid w:val="00CC4808"/>
    <w:rsid w:val="00CD0400"/>
    <w:rsid w:val="00CE0D2C"/>
    <w:rsid w:val="00CE1B8A"/>
    <w:rsid w:val="00CE4936"/>
    <w:rsid w:val="00CE6205"/>
    <w:rsid w:val="00CF0755"/>
    <w:rsid w:val="00CF27C4"/>
    <w:rsid w:val="00D00D5F"/>
    <w:rsid w:val="00D06F27"/>
    <w:rsid w:val="00D1102D"/>
    <w:rsid w:val="00D13DF0"/>
    <w:rsid w:val="00D14486"/>
    <w:rsid w:val="00D24520"/>
    <w:rsid w:val="00D262EA"/>
    <w:rsid w:val="00D316EA"/>
    <w:rsid w:val="00D31703"/>
    <w:rsid w:val="00D40AAD"/>
    <w:rsid w:val="00D47ACC"/>
    <w:rsid w:val="00D51FE7"/>
    <w:rsid w:val="00D57AF4"/>
    <w:rsid w:val="00D600F0"/>
    <w:rsid w:val="00D61332"/>
    <w:rsid w:val="00D61F8A"/>
    <w:rsid w:val="00D6239E"/>
    <w:rsid w:val="00D66A48"/>
    <w:rsid w:val="00D729B1"/>
    <w:rsid w:val="00D73129"/>
    <w:rsid w:val="00D735FF"/>
    <w:rsid w:val="00D73A3C"/>
    <w:rsid w:val="00D77CD3"/>
    <w:rsid w:val="00D813C5"/>
    <w:rsid w:val="00D83999"/>
    <w:rsid w:val="00D84ABE"/>
    <w:rsid w:val="00D84F60"/>
    <w:rsid w:val="00D87B35"/>
    <w:rsid w:val="00D9098B"/>
    <w:rsid w:val="00D91BC7"/>
    <w:rsid w:val="00D9288B"/>
    <w:rsid w:val="00DA19C7"/>
    <w:rsid w:val="00DA2373"/>
    <w:rsid w:val="00DA6F20"/>
    <w:rsid w:val="00DB17ED"/>
    <w:rsid w:val="00DB2A9B"/>
    <w:rsid w:val="00DB4087"/>
    <w:rsid w:val="00DB4D92"/>
    <w:rsid w:val="00DB5237"/>
    <w:rsid w:val="00DC07A6"/>
    <w:rsid w:val="00DC217B"/>
    <w:rsid w:val="00DC428F"/>
    <w:rsid w:val="00DD04B4"/>
    <w:rsid w:val="00DD2866"/>
    <w:rsid w:val="00DD332A"/>
    <w:rsid w:val="00DD536D"/>
    <w:rsid w:val="00DD6622"/>
    <w:rsid w:val="00DE1245"/>
    <w:rsid w:val="00DE16B2"/>
    <w:rsid w:val="00DE17F9"/>
    <w:rsid w:val="00DE3A75"/>
    <w:rsid w:val="00DE4C92"/>
    <w:rsid w:val="00DE6050"/>
    <w:rsid w:val="00DE65EC"/>
    <w:rsid w:val="00DF54C2"/>
    <w:rsid w:val="00DF5787"/>
    <w:rsid w:val="00DF794F"/>
    <w:rsid w:val="00E02DF9"/>
    <w:rsid w:val="00E07431"/>
    <w:rsid w:val="00E07F22"/>
    <w:rsid w:val="00E12228"/>
    <w:rsid w:val="00E15852"/>
    <w:rsid w:val="00E1630A"/>
    <w:rsid w:val="00E165CA"/>
    <w:rsid w:val="00E23208"/>
    <w:rsid w:val="00E23A7E"/>
    <w:rsid w:val="00E24A15"/>
    <w:rsid w:val="00E24F4E"/>
    <w:rsid w:val="00E25699"/>
    <w:rsid w:val="00E2629D"/>
    <w:rsid w:val="00E275CC"/>
    <w:rsid w:val="00E3023E"/>
    <w:rsid w:val="00E325CC"/>
    <w:rsid w:val="00E32D04"/>
    <w:rsid w:val="00E32F40"/>
    <w:rsid w:val="00E34B78"/>
    <w:rsid w:val="00E51FE7"/>
    <w:rsid w:val="00E540E3"/>
    <w:rsid w:val="00E54235"/>
    <w:rsid w:val="00E61488"/>
    <w:rsid w:val="00E6207F"/>
    <w:rsid w:val="00E63547"/>
    <w:rsid w:val="00E64D6B"/>
    <w:rsid w:val="00E67D3E"/>
    <w:rsid w:val="00E7035E"/>
    <w:rsid w:val="00E8056B"/>
    <w:rsid w:val="00E80CF1"/>
    <w:rsid w:val="00E97D22"/>
    <w:rsid w:val="00EA1831"/>
    <w:rsid w:val="00EA2204"/>
    <w:rsid w:val="00EA3251"/>
    <w:rsid w:val="00EA3F83"/>
    <w:rsid w:val="00EA5274"/>
    <w:rsid w:val="00EA6150"/>
    <w:rsid w:val="00EA6D50"/>
    <w:rsid w:val="00EB0C47"/>
    <w:rsid w:val="00EB3E6E"/>
    <w:rsid w:val="00EC27EB"/>
    <w:rsid w:val="00EC4A38"/>
    <w:rsid w:val="00ED054B"/>
    <w:rsid w:val="00ED2995"/>
    <w:rsid w:val="00ED39AB"/>
    <w:rsid w:val="00EE1FFF"/>
    <w:rsid w:val="00EE2127"/>
    <w:rsid w:val="00EE275D"/>
    <w:rsid w:val="00EE4129"/>
    <w:rsid w:val="00EF5F37"/>
    <w:rsid w:val="00F10751"/>
    <w:rsid w:val="00F16C2D"/>
    <w:rsid w:val="00F17E6F"/>
    <w:rsid w:val="00F2072F"/>
    <w:rsid w:val="00F21CE8"/>
    <w:rsid w:val="00F24FD9"/>
    <w:rsid w:val="00F25484"/>
    <w:rsid w:val="00F26132"/>
    <w:rsid w:val="00F33008"/>
    <w:rsid w:val="00F33089"/>
    <w:rsid w:val="00F35870"/>
    <w:rsid w:val="00F40A61"/>
    <w:rsid w:val="00F4543E"/>
    <w:rsid w:val="00F46E65"/>
    <w:rsid w:val="00F51B8C"/>
    <w:rsid w:val="00F52310"/>
    <w:rsid w:val="00F5399F"/>
    <w:rsid w:val="00F54606"/>
    <w:rsid w:val="00F70531"/>
    <w:rsid w:val="00F73ACC"/>
    <w:rsid w:val="00F76B5D"/>
    <w:rsid w:val="00F84D4F"/>
    <w:rsid w:val="00F971D6"/>
    <w:rsid w:val="00FA2450"/>
    <w:rsid w:val="00FA321F"/>
    <w:rsid w:val="00FA6CB0"/>
    <w:rsid w:val="00FB5CCE"/>
    <w:rsid w:val="00FC0189"/>
    <w:rsid w:val="00FC1291"/>
    <w:rsid w:val="00FC1708"/>
    <w:rsid w:val="00FC3859"/>
    <w:rsid w:val="00FC54E7"/>
    <w:rsid w:val="00FC7369"/>
    <w:rsid w:val="00FC7CF5"/>
    <w:rsid w:val="00FD0E51"/>
    <w:rsid w:val="00FD3FFC"/>
    <w:rsid w:val="00FD4E53"/>
    <w:rsid w:val="00FD50F0"/>
    <w:rsid w:val="00FD7129"/>
    <w:rsid w:val="00FF0E35"/>
    <w:rsid w:val="00FF4F15"/>
    <w:rsid w:val="00FF66DB"/>
    <w:rsid w:val="00FF78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00D5F"/>
    <w:pPr>
      <w:tabs>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rPr>
  </w:style>
  <w:style w:type="paragraph" w:customStyle="1" w:styleId="Pa1">
    <w:name w:val="Pa1"/>
    <w:basedOn w:val="Default"/>
    <w:next w:val="Default"/>
    <w:uiPriority w:val="99"/>
    <w:rsid w:val="000508FA"/>
    <w:pPr>
      <w:spacing w:line="179" w:lineRule="atLeast"/>
    </w:pPr>
    <w:rPr>
      <w:rFonts w:ascii="Gotham Book" w:hAnsi="Gotham Book"/>
      <w:color w:val="auto"/>
    </w:rPr>
  </w:style>
  <w:style w:type="paragraph" w:customStyle="1" w:styleId="Pa27">
    <w:name w:val="Pa27"/>
    <w:basedOn w:val="Default"/>
    <w:next w:val="Default"/>
    <w:uiPriority w:val="99"/>
    <w:rsid w:val="000508FA"/>
    <w:pPr>
      <w:spacing w:line="241" w:lineRule="atLeast"/>
    </w:pPr>
    <w:rPr>
      <w:rFonts w:ascii="Gotham Light" w:hAnsi="Gotham Light"/>
      <w:color w:val="auto"/>
    </w:rPr>
  </w:style>
  <w:style w:type="paragraph" w:customStyle="1" w:styleId="Pa7">
    <w:name w:val="Pa7"/>
    <w:basedOn w:val="Default"/>
    <w:next w:val="Default"/>
    <w:uiPriority w:val="99"/>
    <w:rsid w:val="00840B49"/>
    <w:pPr>
      <w:spacing w:line="201" w:lineRule="atLeast"/>
    </w:pPr>
    <w:rPr>
      <w:rFonts w:ascii="Gotham Medium" w:hAnsi="Gotham Medium"/>
      <w:color w:val="auto"/>
    </w:rPr>
  </w:style>
  <w:style w:type="character" w:customStyle="1" w:styleId="A10">
    <w:name w:val="A10"/>
    <w:uiPriority w:val="99"/>
    <w:rsid w:val="00840B49"/>
    <w:rPr>
      <w:rFonts w:cs="Gotham Bold"/>
      <w:color w:val="000000"/>
      <w:sz w:val="32"/>
      <w:szCs w:val="32"/>
    </w:rPr>
  </w:style>
  <w:style w:type="paragraph" w:customStyle="1" w:styleId="Pa36">
    <w:name w:val="Pa36"/>
    <w:basedOn w:val="Default"/>
    <w:next w:val="Default"/>
    <w:uiPriority w:val="99"/>
    <w:rsid w:val="00840B49"/>
    <w:pPr>
      <w:spacing w:line="179" w:lineRule="atLeast"/>
    </w:pPr>
    <w:rPr>
      <w:rFonts w:ascii="Gotham Book" w:hAnsi="Gotham Book"/>
      <w:color w:val="auto"/>
    </w:rPr>
  </w:style>
</w:styles>
</file>

<file path=word/webSettings.xml><?xml version="1.0" encoding="utf-8"?>
<w:webSettings xmlns:r="http://schemas.openxmlformats.org/officeDocument/2006/relationships" xmlns:w="http://schemas.openxmlformats.org/wordprocessingml/2006/main">
  <w:divs>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087240">
      <w:bodyDiv w:val="1"/>
      <w:marLeft w:val="0"/>
      <w:marRight w:val="0"/>
      <w:marTop w:val="0"/>
      <w:marBottom w:val="0"/>
      <w:divBdr>
        <w:top w:val="none" w:sz="0" w:space="0" w:color="auto"/>
        <w:left w:val="none" w:sz="0" w:space="0" w:color="auto"/>
        <w:bottom w:val="none" w:sz="0" w:space="0" w:color="auto"/>
        <w:right w:val="none" w:sz="0" w:space="0" w:color="auto"/>
      </w:divBdr>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trucksaf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A35B-AAB6-4914-B6DE-126DC9F5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1312</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harbers</cp:lastModifiedBy>
  <cp:revision>2</cp:revision>
  <cp:lastPrinted>2012-10-25T22:51:00Z</cp:lastPrinted>
  <dcterms:created xsi:type="dcterms:W3CDTF">2012-10-26T02:21:00Z</dcterms:created>
  <dcterms:modified xsi:type="dcterms:W3CDTF">2012-10-26T02:21:00Z</dcterms:modified>
</cp:coreProperties>
</file>